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2D34C4">
        <w:rPr>
          <w:rFonts w:ascii="Calibri" w:eastAsia="Times New Roman" w:hAnsi="Calibri" w:cs="Times New Roman"/>
          <w:b/>
          <w:sz w:val="32"/>
          <w:szCs w:val="32"/>
          <w:lang w:eastAsia="cs-CZ"/>
        </w:rPr>
        <w:t>Smlouva o zřízení věcného břemene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uzavřená podle ustanovení § 59 odst. 2 zákona č. 458/2000Sb., energetický zákon, 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a § 1257 a následujících ustanovení zákona č. 89/2012 Sb., </w:t>
      </w:r>
      <w:r w:rsidR="00F61572">
        <w:rPr>
          <w:rFonts w:ascii="Calibri" w:eastAsia="Times New Roman" w:hAnsi="Calibri" w:cs="Times New Roman"/>
          <w:lang w:eastAsia="cs-CZ"/>
        </w:rPr>
        <w:t>o</w:t>
      </w:r>
      <w:r w:rsidRPr="002D34C4">
        <w:rPr>
          <w:rFonts w:ascii="Calibri" w:eastAsia="Times New Roman" w:hAnsi="Calibri" w:cs="Times New Roman"/>
          <w:lang w:eastAsia="cs-CZ"/>
        </w:rPr>
        <w:t xml:space="preserve">bčanský zákoník, </w:t>
      </w:r>
      <w:r w:rsidR="00F61572">
        <w:rPr>
          <w:rFonts w:ascii="Calibri" w:eastAsia="Times New Roman" w:hAnsi="Calibri" w:cs="Times New Roman"/>
          <w:lang w:eastAsia="cs-CZ"/>
        </w:rPr>
        <w:t>oboje ve znění pozdějších předpisů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196F41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Číslo smlouvy: 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>1106/2016/OOBCH</w:t>
      </w:r>
    </w:p>
    <w:p w:rsidR="002D34C4" w:rsidRPr="00196F41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196F41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196F41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196F41">
        <w:rPr>
          <w:rFonts w:ascii="Calibri" w:eastAsia="Times New Roman" w:hAnsi="Calibri" w:cs="Times New Roman"/>
          <w:b/>
          <w:lang w:eastAsia="cs-CZ"/>
        </w:rPr>
        <w:t>Smluvní strany</w:t>
      </w:r>
    </w:p>
    <w:p w:rsidR="002D34C4" w:rsidRPr="00196F41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196F41" w:rsidRDefault="00F61572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m</w:t>
      </w:r>
      <w:r w:rsidR="00196F41">
        <w:rPr>
          <w:rFonts w:ascii="Calibri" w:eastAsia="Times New Roman" w:hAnsi="Calibri" w:cs="Times New Roman"/>
          <w:b/>
          <w:lang w:eastAsia="cs-CZ"/>
        </w:rPr>
        <w:t>ěstská část</w:t>
      </w:r>
      <w:r w:rsidR="002D34C4" w:rsidRPr="00196F41">
        <w:rPr>
          <w:rFonts w:ascii="Calibri" w:eastAsia="Times New Roman" w:hAnsi="Calibri" w:cs="Times New Roman"/>
          <w:b/>
          <w:lang w:eastAsia="cs-CZ"/>
        </w:rPr>
        <w:t xml:space="preserve"> P</w:t>
      </w:r>
      <w:r w:rsidR="00196F41">
        <w:rPr>
          <w:rFonts w:ascii="Calibri" w:eastAsia="Times New Roman" w:hAnsi="Calibri" w:cs="Times New Roman"/>
          <w:b/>
          <w:lang w:eastAsia="cs-CZ"/>
        </w:rPr>
        <w:t>raha</w:t>
      </w:r>
      <w:r w:rsidR="002D34C4" w:rsidRPr="00196F41">
        <w:rPr>
          <w:rFonts w:ascii="Calibri" w:eastAsia="Times New Roman" w:hAnsi="Calibri" w:cs="Times New Roman"/>
          <w:b/>
          <w:lang w:eastAsia="cs-CZ"/>
        </w:rPr>
        <w:t xml:space="preserve"> 12</w:t>
      </w:r>
    </w:p>
    <w:p w:rsidR="002D34C4" w:rsidRPr="00196F41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96F41">
        <w:rPr>
          <w:rFonts w:ascii="Calibri" w:eastAsia="Times New Roman" w:hAnsi="Calibri" w:cs="Times New Roman"/>
          <w:lang w:eastAsia="cs-CZ"/>
        </w:rPr>
        <w:t>se sídlem:</w:t>
      </w:r>
      <w:r w:rsidRPr="00196F41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ab/>
        <w:t>Praha, Modřany, Písková 830/25, PSČ 14312</w:t>
      </w:r>
      <w:r w:rsidRPr="00196F41">
        <w:rPr>
          <w:rFonts w:ascii="Calibri" w:eastAsia="Times New Roman" w:hAnsi="Calibri" w:cs="Times New Roman"/>
          <w:lang w:eastAsia="cs-CZ"/>
        </w:rPr>
        <w:tab/>
      </w:r>
    </w:p>
    <w:p w:rsidR="002D34C4" w:rsidRPr="00196F41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96F41">
        <w:rPr>
          <w:rFonts w:ascii="Calibri" w:eastAsia="Times New Roman" w:hAnsi="Calibri" w:cs="Times New Roman"/>
          <w:lang w:eastAsia="cs-CZ"/>
        </w:rPr>
        <w:t>zastoupen</w:t>
      </w:r>
      <w:r w:rsidR="009342D9">
        <w:rPr>
          <w:rFonts w:ascii="Calibri" w:eastAsia="Times New Roman" w:hAnsi="Calibri" w:cs="Times New Roman"/>
          <w:lang w:eastAsia="cs-CZ"/>
        </w:rPr>
        <w:t>a</w:t>
      </w:r>
      <w:r w:rsidRPr="00196F41">
        <w:rPr>
          <w:rFonts w:ascii="Calibri" w:eastAsia="Times New Roman" w:hAnsi="Calibri" w:cs="Times New Roman"/>
          <w:lang w:eastAsia="cs-CZ"/>
        </w:rPr>
        <w:t>:</w:t>
      </w:r>
      <w:r w:rsidRPr="00196F41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ab/>
      </w:r>
      <w:r w:rsidR="008F11E9" w:rsidRPr="008F11E9">
        <w:t>Milanem Maruštíkem</w:t>
      </w:r>
      <w:r w:rsidR="008F11E9" w:rsidRPr="008F11E9">
        <w:rPr>
          <w:rFonts w:eastAsia="Times New Roman" w:cs="Times New Roman"/>
          <w:lang w:eastAsia="cs-CZ"/>
        </w:rPr>
        <w:t>, starostou</w:t>
      </w:r>
    </w:p>
    <w:p w:rsidR="002D34C4" w:rsidRPr="00196F41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96F41">
        <w:rPr>
          <w:rFonts w:ascii="Calibri" w:eastAsia="Times New Roman" w:hAnsi="Calibri" w:cs="Times New Roman"/>
          <w:lang w:eastAsia="cs-CZ"/>
        </w:rPr>
        <w:t>IČO:</w:t>
      </w:r>
      <w:r w:rsidRPr="00196F41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ab/>
        <w:t>231151</w:t>
      </w:r>
    </w:p>
    <w:p w:rsidR="002D34C4" w:rsidRPr="00196F41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96F41">
        <w:rPr>
          <w:rFonts w:ascii="Calibri" w:eastAsia="Times New Roman" w:hAnsi="Calibri" w:cs="Times New Roman"/>
          <w:lang w:eastAsia="cs-CZ"/>
        </w:rPr>
        <w:t>DIČ:</w:t>
      </w:r>
      <w:r w:rsidRPr="00196F41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ab/>
        <w:t>CZ231151</w:t>
      </w:r>
    </w:p>
    <w:p w:rsidR="002D34C4" w:rsidRPr="00196F41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96F41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ab/>
      </w:r>
      <w:r w:rsidRPr="00196F41">
        <w:rPr>
          <w:rFonts w:ascii="Calibri" w:eastAsia="Times New Roman" w:hAnsi="Calibri" w:cs="Times New Roman"/>
          <w:lang w:eastAsia="cs-CZ"/>
        </w:rPr>
        <w:tab/>
        <w:t>plátce DPH</w:t>
      </w:r>
    </w:p>
    <w:p w:rsidR="002D34C4" w:rsidRPr="00196F41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96F41">
        <w:rPr>
          <w:rFonts w:ascii="Calibri" w:eastAsia="Times New Roman" w:hAnsi="Calibri" w:cs="Times New Roman"/>
          <w:lang w:eastAsia="cs-CZ"/>
        </w:rPr>
        <w:t>bankovní spojení:</w:t>
      </w:r>
      <w:r w:rsidRPr="00196F41">
        <w:rPr>
          <w:rFonts w:ascii="Calibri" w:eastAsia="Times New Roman" w:hAnsi="Calibri" w:cs="Times New Roman"/>
          <w:lang w:eastAsia="cs-CZ"/>
        </w:rPr>
        <w:tab/>
      </w:r>
      <w:r w:rsidR="00F54B86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 '''''''''''''''''''' '''''''' ''' '''' ''''''''''''''''''''''''''''''''''''''''</w:t>
      </w:r>
    </w:p>
    <w:p w:rsidR="002D34C4" w:rsidRPr="009F263D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196F41">
        <w:rPr>
          <w:rFonts w:ascii="Calibri" w:eastAsia="Times New Roman" w:hAnsi="Calibri" w:cs="Times New Roman"/>
          <w:lang w:eastAsia="cs-CZ"/>
        </w:rPr>
        <w:t xml:space="preserve">jako </w:t>
      </w:r>
      <w:r w:rsidRPr="00196F41">
        <w:rPr>
          <w:rFonts w:ascii="Calibri" w:eastAsia="Times New Roman" w:hAnsi="Calibri" w:cs="Times New Roman"/>
          <w:b/>
          <w:lang w:eastAsia="cs-CZ"/>
        </w:rPr>
        <w:t>povinný</w:t>
      </w:r>
    </w:p>
    <w:p w:rsidR="002D34C4" w:rsidRPr="009F263D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a</w:t>
      </w:r>
    </w:p>
    <w:p w:rsidR="002D34C4" w:rsidRPr="009F263D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Pražská plynárenská Distribuce, a.s., člen koncernu Pražská plynárenská, a.s.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se sídlem: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 xml:space="preserve">U Plynárny 500, 145 08 Praha 4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zapsaná v obchodním rejstříku vedeném Městským soudem v Praze, oddíl B, vložka 10356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zastoupená: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F54B86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 ''''''''''' '''''''''''''''''''</w:t>
      </w:r>
      <w:r w:rsidRPr="002D34C4">
        <w:rPr>
          <w:rFonts w:ascii="Calibri" w:eastAsia="Times New Roman" w:hAnsi="Calibri" w:cs="Times New Roman"/>
          <w:lang w:eastAsia="cs-CZ"/>
        </w:rPr>
        <w:t xml:space="preserve"> na základě pověření ze dne </w:t>
      </w:r>
      <w:r w:rsidR="007B1189">
        <w:rPr>
          <w:rFonts w:ascii="Calibri" w:eastAsia="Times New Roman" w:hAnsi="Calibri" w:cs="Times New Roman"/>
          <w:lang w:eastAsia="cs-CZ"/>
        </w:rPr>
        <w:t>3.</w:t>
      </w:r>
      <w:r w:rsidRPr="002D34C4">
        <w:rPr>
          <w:rFonts w:ascii="Calibri" w:eastAsia="Times New Roman" w:hAnsi="Calibri" w:cs="Times New Roman"/>
          <w:lang w:eastAsia="cs-CZ"/>
        </w:rPr>
        <w:t>1.201</w:t>
      </w:r>
      <w:r w:rsidR="007B1189">
        <w:rPr>
          <w:rFonts w:ascii="Calibri" w:eastAsia="Times New Roman" w:hAnsi="Calibri" w:cs="Times New Roman"/>
          <w:lang w:eastAsia="cs-CZ"/>
        </w:rPr>
        <w:t>7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IČO: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27403505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DIČ: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</w:r>
      <w:r w:rsidRPr="002D34C4">
        <w:rPr>
          <w:rFonts w:ascii="Calibri" w:eastAsia="Times New Roman" w:hAnsi="Calibri" w:cs="Times New Roman"/>
          <w:lang w:eastAsia="cs-CZ"/>
        </w:rPr>
        <w:tab/>
        <w:t>CZ27403505</w:t>
      </w:r>
    </w:p>
    <w:p w:rsidR="002D34C4" w:rsidRPr="002D34C4" w:rsidRDefault="002D34C4" w:rsidP="002D34C4">
      <w:pPr>
        <w:spacing w:after="0" w:line="276" w:lineRule="auto"/>
        <w:ind w:left="1418" w:firstLine="709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plátce DPH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bankovní spojení:</w:t>
      </w:r>
      <w:r w:rsidRPr="002D34C4">
        <w:rPr>
          <w:rFonts w:ascii="Calibri" w:eastAsia="Times New Roman" w:hAnsi="Calibri" w:cs="Times New Roman"/>
          <w:lang w:eastAsia="cs-CZ"/>
        </w:rPr>
        <w:tab/>
      </w:r>
      <w:r w:rsidR="00F54B86">
        <w:rPr>
          <w:rFonts w:ascii="Calibri" w:eastAsia="Times New Roman" w:hAnsi="Calibri" w:cs="Times New Roman"/>
          <w:noProof/>
          <w:color w:val="000000"/>
          <w:highlight w:val="black"/>
          <w:lang w:eastAsia="cs-CZ"/>
        </w:rPr>
        <w:t>'''''''''''' ''''''''''''''''''''' '''''''' '''''''' '''''''''''''''''''''''''</w:t>
      </w:r>
    </w:p>
    <w:p w:rsidR="002D34C4" w:rsidRPr="009F263D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jako </w:t>
      </w:r>
      <w:r w:rsidRPr="002D34C4">
        <w:rPr>
          <w:rFonts w:ascii="Calibri" w:eastAsia="Times New Roman" w:hAnsi="Calibri" w:cs="Times New Roman"/>
          <w:b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 xml:space="preserve">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Úvodní ustanovení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je provozovatelem distribuční soustavy (dále jen „PDS“) na území, vymezeném licencí, ve smyslu </w:t>
      </w:r>
      <w:r w:rsidR="00F61572" w:rsidRPr="002D34C4">
        <w:rPr>
          <w:rFonts w:ascii="Calibri" w:eastAsia="Times New Roman" w:hAnsi="Calibri" w:cs="Times New Roman"/>
          <w:lang w:eastAsia="cs-CZ"/>
        </w:rPr>
        <w:t>energetick</w:t>
      </w:r>
      <w:r w:rsidR="00F61572">
        <w:rPr>
          <w:rFonts w:ascii="Calibri" w:eastAsia="Times New Roman" w:hAnsi="Calibri" w:cs="Times New Roman"/>
          <w:lang w:eastAsia="cs-CZ"/>
        </w:rPr>
        <w:t>ého</w:t>
      </w:r>
      <w:r w:rsidR="00F61572" w:rsidRPr="002D34C4">
        <w:rPr>
          <w:rFonts w:ascii="Calibri" w:eastAsia="Times New Roman" w:hAnsi="Calibri" w:cs="Times New Roman"/>
          <w:lang w:eastAsia="cs-CZ"/>
        </w:rPr>
        <w:t xml:space="preserve"> </w:t>
      </w:r>
      <w:r w:rsidRPr="002D34C4">
        <w:rPr>
          <w:rFonts w:ascii="Calibri" w:eastAsia="Times New Roman" w:hAnsi="Calibri" w:cs="Times New Roman"/>
          <w:lang w:eastAsia="cs-CZ"/>
        </w:rPr>
        <w:t>zákon</w:t>
      </w:r>
      <w:r w:rsidR="00F61572">
        <w:rPr>
          <w:rFonts w:ascii="Calibri" w:eastAsia="Times New Roman" w:hAnsi="Calibri" w:cs="Times New Roman"/>
          <w:lang w:eastAsia="cs-CZ"/>
        </w:rPr>
        <w:t>a</w:t>
      </w:r>
      <w:r w:rsidRPr="002D34C4">
        <w:rPr>
          <w:rFonts w:ascii="Calibri" w:eastAsia="Times New Roman" w:hAnsi="Calibri" w:cs="Times New Roman"/>
          <w:lang w:eastAsia="cs-CZ"/>
        </w:rPr>
        <w:t xml:space="preserve">, a je oprávněn na základě uvedeného zákona, v souladu s podmínkami vyplývajícími ze zákona č. 183/2006 Sb., stavební zákon, </w:t>
      </w:r>
      <w:r w:rsidR="00F61572">
        <w:rPr>
          <w:rFonts w:ascii="Calibri" w:eastAsia="Times New Roman" w:hAnsi="Calibri" w:cs="Times New Roman"/>
          <w:lang w:eastAsia="cs-CZ"/>
        </w:rPr>
        <w:t>ve znění pozdějších předpisů</w:t>
      </w:r>
      <w:r w:rsidRPr="002D34C4">
        <w:rPr>
          <w:rFonts w:ascii="Calibri" w:eastAsia="Times New Roman" w:hAnsi="Calibri" w:cs="Times New Roman"/>
          <w:lang w:eastAsia="cs-CZ"/>
        </w:rPr>
        <w:t xml:space="preserve">, zřizovat na cizích nemovitostech plynárenská zařízení. Distribuční soustava je provozována ve veřejném zájmu a je inženýrskou sítí ve smyslu § 509 </w:t>
      </w:r>
      <w:r w:rsidR="00F61572">
        <w:rPr>
          <w:rFonts w:ascii="Calibri" w:eastAsia="Times New Roman" w:hAnsi="Calibri" w:cs="Times New Roman"/>
          <w:lang w:eastAsia="cs-CZ"/>
        </w:rPr>
        <w:t>o</w:t>
      </w:r>
      <w:r w:rsidRPr="002D34C4">
        <w:rPr>
          <w:rFonts w:ascii="Calibri" w:eastAsia="Times New Roman" w:hAnsi="Calibri" w:cs="Times New Roman"/>
          <w:lang w:eastAsia="cs-CZ"/>
        </w:rPr>
        <w:t>bčanského zákoníku. PDS má povinnost zajišťovat spolehlivý provoz a rozvoj distribuční soustavy na území, vymezeném licencí, přičemž zřízení tohoto věcného břemene je ze strany oprávněného jedním ze zákonem daných předpokladů pro plnění této povinnosti.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5653FA" w:rsidRPr="005653FA" w:rsidRDefault="005653FA" w:rsidP="005653FA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t>Povinný z věcného břemene prohlašuje, že pozemky parc. č</w:t>
      </w:r>
      <w:r w:rsidRPr="00610BB9">
        <w:t xml:space="preserve">. </w:t>
      </w:r>
      <w:r w:rsidRPr="004F249D">
        <w:rPr>
          <w:rFonts w:ascii="Calibri" w:eastAsia="Times New Roman" w:hAnsi="Calibri" w:cs="Times New Roman"/>
          <w:lang w:eastAsia="cs-CZ"/>
        </w:rPr>
        <w:t>3326/</w:t>
      </w:r>
      <w:r w:rsidR="006B7AB8" w:rsidRPr="004F249D">
        <w:rPr>
          <w:rFonts w:ascii="Calibri" w:eastAsia="Times New Roman" w:hAnsi="Calibri" w:cs="Times New Roman"/>
          <w:lang w:eastAsia="cs-CZ"/>
        </w:rPr>
        <w:t>22</w:t>
      </w:r>
      <w:r w:rsidRPr="004F249D">
        <w:rPr>
          <w:rFonts w:ascii="Calibri" w:eastAsia="Times New Roman" w:hAnsi="Calibri" w:cs="Times New Roman"/>
          <w:lang w:eastAsia="cs-CZ"/>
        </w:rPr>
        <w:t xml:space="preserve"> a 3901</w:t>
      </w:r>
      <w:r w:rsidR="006B7AB8" w:rsidRPr="004F249D">
        <w:rPr>
          <w:rFonts w:ascii="Calibri" w:eastAsia="Times New Roman" w:hAnsi="Calibri" w:cs="Times New Roman"/>
          <w:lang w:eastAsia="cs-CZ"/>
        </w:rPr>
        <w:t>/</w:t>
      </w:r>
      <w:r w:rsidR="006B7AB8">
        <w:rPr>
          <w:rFonts w:ascii="Calibri" w:eastAsia="Times New Roman" w:hAnsi="Calibri" w:cs="Times New Roman"/>
          <w:lang w:eastAsia="cs-CZ"/>
        </w:rPr>
        <w:t>5</w:t>
      </w:r>
      <w:r w:rsidRPr="00196F41">
        <w:rPr>
          <w:rFonts w:ascii="Calibri" w:eastAsia="Times New Roman" w:hAnsi="Calibri" w:cs="Times New Roman"/>
          <w:lang w:eastAsia="cs-CZ"/>
        </w:rPr>
        <w:t xml:space="preserve"> v k</w:t>
      </w:r>
      <w:r>
        <w:rPr>
          <w:rFonts w:ascii="Calibri" w:eastAsia="Times New Roman" w:hAnsi="Calibri" w:cs="Times New Roman"/>
          <w:lang w:eastAsia="cs-CZ"/>
        </w:rPr>
        <w:t>.ú. Modřany, obec Praha, zapsan</w:t>
      </w:r>
      <w:r w:rsidR="00312EE5">
        <w:rPr>
          <w:rFonts w:ascii="Calibri" w:eastAsia="Times New Roman" w:hAnsi="Calibri" w:cs="Times New Roman"/>
          <w:lang w:eastAsia="cs-CZ"/>
        </w:rPr>
        <w:t>é</w:t>
      </w:r>
      <w:r w:rsidRPr="00196F41">
        <w:rPr>
          <w:rFonts w:ascii="Calibri" w:eastAsia="Times New Roman" w:hAnsi="Calibri" w:cs="Times New Roman"/>
          <w:lang w:eastAsia="cs-CZ"/>
        </w:rPr>
        <w:t xml:space="preserve"> na LV č. </w:t>
      </w:r>
      <w:r>
        <w:rPr>
          <w:rFonts w:ascii="Calibri" w:eastAsia="Times New Roman" w:hAnsi="Calibri" w:cs="Times New Roman"/>
          <w:lang w:eastAsia="cs-CZ"/>
        </w:rPr>
        <w:t xml:space="preserve">2336 vedeném Katastrálním </w:t>
      </w:r>
      <w:r w:rsidRPr="00196F41">
        <w:rPr>
          <w:rFonts w:ascii="Calibri" w:eastAsia="Times New Roman" w:hAnsi="Calibri" w:cs="Times New Roman"/>
          <w:lang w:eastAsia="cs-CZ"/>
        </w:rPr>
        <w:t>úřad</w:t>
      </w:r>
      <w:r>
        <w:rPr>
          <w:rFonts w:ascii="Calibri" w:eastAsia="Times New Roman" w:hAnsi="Calibri" w:cs="Times New Roman"/>
          <w:lang w:eastAsia="cs-CZ"/>
        </w:rPr>
        <w:t>em</w:t>
      </w:r>
      <w:r w:rsidRPr="00196F41">
        <w:rPr>
          <w:rFonts w:ascii="Calibri" w:eastAsia="Times New Roman" w:hAnsi="Calibri" w:cs="Times New Roman"/>
          <w:lang w:eastAsia="cs-CZ"/>
        </w:rPr>
        <w:t xml:space="preserve"> pro hlavní město Prahu, </w:t>
      </w:r>
      <w:r w:rsidRPr="00196F41">
        <w:rPr>
          <w:rFonts w:ascii="Calibri" w:eastAsia="Times New Roman" w:hAnsi="Calibri" w:cs="Times New Roman"/>
          <w:lang w:eastAsia="cs-CZ"/>
        </w:rPr>
        <w:lastRenderedPageBreak/>
        <w:t>Katastrální pracoviště Praha</w:t>
      </w:r>
      <w:r>
        <w:t xml:space="preserve">, jsou ve vlastnictví Hlavního města Prahy a jejich správa byla svěřena povinnému. Povinný dále prohlašuje, že je ve smyslu ustanovení zákona </w:t>
      </w:r>
      <w:r w:rsidR="00F61572">
        <w:t>č. 131/2000 Sb., o hlavním městě Praze</w:t>
      </w:r>
      <w:r>
        <w:t xml:space="preserve"> a </w:t>
      </w:r>
      <w:r w:rsidR="00F61572">
        <w:t>obecně závazné vyhlášky č. 55/2000 Sb.hl.m. Prahy, kterou se vydává Statut hl. m. Prahy, oboje ve znění pozdějších předpisů,</w:t>
      </w:r>
      <w:r>
        <w:t xml:space="preserve"> oprávněn </w:t>
      </w:r>
      <w:r w:rsidR="00F61572">
        <w:t>nakládat se svěřenými pozemky jako vlastník</w:t>
      </w:r>
      <w:r w:rsidRPr="005653FA">
        <w:rPr>
          <w:rFonts w:ascii="Calibri" w:eastAsia="Times New Roman" w:hAnsi="Calibri" w:cs="Times New Roman"/>
          <w:lang w:eastAsia="cs-CZ"/>
        </w:rPr>
        <w:t xml:space="preserve"> (dále jen </w:t>
      </w:r>
      <w:r w:rsidR="00F61572">
        <w:rPr>
          <w:rFonts w:ascii="Calibri" w:eastAsia="Times New Roman" w:hAnsi="Calibri" w:cs="Times New Roman"/>
          <w:lang w:eastAsia="cs-CZ"/>
        </w:rPr>
        <w:t>„</w:t>
      </w:r>
      <w:r w:rsidRPr="005653FA">
        <w:rPr>
          <w:rFonts w:ascii="Calibri" w:eastAsia="Times New Roman" w:hAnsi="Calibri" w:cs="Times New Roman"/>
          <w:lang w:eastAsia="cs-CZ"/>
        </w:rPr>
        <w:t>Pozemky</w:t>
      </w:r>
      <w:r w:rsidR="00F61572">
        <w:rPr>
          <w:rFonts w:ascii="Calibri" w:eastAsia="Times New Roman" w:hAnsi="Calibri" w:cs="Times New Roman"/>
          <w:lang w:eastAsia="cs-CZ"/>
        </w:rPr>
        <w:t>“</w:t>
      </w:r>
      <w:r w:rsidRPr="005653FA">
        <w:rPr>
          <w:rFonts w:ascii="Calibri" w:eastAsia="Times New Roman" w:hAnsi="Calibri" w:cs="Times New Roman"/>
          <w:lang w:eastAsia="cs-CZ"/>
        </w:rPr>
        <w:t xml:space="preserve">). </w:t>
      </w:r>
    </w:p>
    <w:p w:rsidR="005653FA" w:rsidRPr="005653FA" w:rsidRDefault="005653FA" w:rsidP="005653FA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196F41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Pozem</w:t>
      </w:r>
      <w:r w:rsidR="002D34C4" w:rsidRPr="002D34C4">
        <w:rPr>
          <w:rFonts w:ascii="Calibri" w:eastAsia="Times New Roman" w:hAnsi="Calibri" w:cs="Times New Roman"/>
          <w:lang w:eastAsia="cs-CZ"/>
        </w:rPr>
        <w:t>k</w:t>
      </w:r>
      <w:r>
        <w:rPr>
          <w:rFonts w:ascii="Calibri" w:eastAsia="Times New Roman" w:hAnsi="Calibri" w:cs="Times New Roman"/>
          <w:lang w:eastAsia="cs-CZ"/>
        </w:rPr>
        <w:t>y</w:t>
      </w:r>
      <w:r w:rsidR="002D34C4" w:rsidRPr="002D34C4">
        <w:rPr>
          <w:rFonts w:ascii="Calibri" w:eastAsia="Times New Roman" w:hAnsi="Calibri" w:cs="Times New Roman"/>
          <w:lang w:eastAsia="cs-CZ"/>
        </w:rPr>
        <w:t xml:space="preserve"> se nacház</w:t>
      </w:r>
      <w:r>
        <w:rPr>
          <w:rFonts w:ascii="Calibri" w:eastAsia="Times New Roman" w:hAnsi="Calibri" w:cs="Times New Roman"/>
          <w:lang w:eastAsia="cs-CZ"/>
        </w:rPr>
        <w:t>ej</w:t>
      </w:r>
      <w:r w:rsidR="002D34C4" w:rsidRPr="002D34C4">
        <w:rPr>
          <w:rFonts w:ascii="Calibri" w:eastAsia="Times New Roman" w:hAnsi="Calibri" w:cs="Times New Roman"/>
          <w:lang w:eastAsia="cs-CZ"/>
        </w:rPr>
        <w:t>í na území, vymezeném licencí, v němž oprávněný provozuje distribuční soustavu. Oprávněný má povinnost zřídit věcné břemeno, umožňující mu ve smyslu § 59 odst. 2 energetického zákona zřídit a provozovat na Pozem</w:t>
      </w:r>
      <w:r>
        <w:rPr>
          <w:rFonts w:ascii="Calibri" w:eastAsia="Times New Roman" w:hAnsi="Calibri" w:cs="Times New Roman"/>
          <w:lang w:eastAsia="cs-CZ"/>
        </w:rPr>
        <w:t>cích</w:t>
      </w:r>
      <w:r w:rsidR="002D34C4" w:rsidRPr="002D34C4">
        <w:rPr>
          <w:rFonts w:ascii="Calibri" w:eastAsia="Times New Roman" w:hAnsi="Calibri" w:cs="Times New Roman"/>
          <w:lang w:eastAsia="cs-CZ"/>
        </w:rPr>
        <w:t xml:space="preserve"> zařízení distribuční soustavy (dále jen plynárenské zařízení). 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z věcného břemene prohlašuje, že na výše uveden</w:t>
      </w:r>
      <w:r w:rsidR="00196F41">
        <w:rPr>
          <w:rFonts w:ascii="Calibri" w:eastAsia="Times New Roman" w:hAnsi="Calibri" w:cs="Times New Roman"/>
          <w:lang w:eastAsia="cs-CZ"/>
        </w:rPr>
        <w:t>ých</w:t>
      </w:r>
      <w:r w:rsidRPr="002D34C4">
        <w:rPr>
          <w:rFonts w:ascii="Calibri" w:eastAsia="Times New Roman" w:hAnsi="Calibri" w:cs="Times New Roman"/>
          <w:lang w:eastAsia="cs-CZ"/>
        </w:rPr>
        <w:t xml:space="preserve"> Pozem</w:t>
      </w:r>
      <w:r w:rsidR="00196F41">
        <w:rPr>
          <w:rFonts w:ascii="Calibri" w:eastAsia="Times New Roman" w:hAnsi="Calibri" w:cs="Times New Roman"/>
          <w:lang w:eastAsia="cs-CZ"/>
        </w:rPr>
        <w:t>cích j</w:t>
      </w:r>
      <w:r w:rsidRPr="002D34C4">
        <w:rPr>
          <w:rFonts w:ascii="Calibri" w:eastAsia="Times New Roman" w:hAnsi="Calibri" w:cs="Times New Roman"/>
          <w:lang w:eastAsia="cs-CZ"/>
        </w:rPr>
        <w:t xml:space="preserve">e umístěna stavba plynárenského zařízení </w:t>
      </w:r>
      <w:r w:rsidR="00196F41">
        <w:rPr>
          <w:rFonts w:ascii="Calibri" w:eastAsia="Times New Roman" w:hAnsi="Calibri" w:cs="Times New Roman"/>
          <w:lang w:eastAsia="cs-CZ"/>
        </w:rPr>
        <w:t xml:space="preserve">- </w:t>
      </w:r>
      <w:r w:rsidR="00196F41" w:rsidRPr="004257C9">
        <w:rPr>
          <w:rFonts w:ascii="Calibri" w:eastAsia="Times New Roman" w:hAnsi="Calibri" w:cs="Times New Roman"/>
          <w:lang w:eastAsia="cs-CZ"/>
        </w:rPr>
        <w:t>STL plynovod</w:t>
      </w:r>
      <w:r w:rsidRPr="002D34C4">
        <w:rPr>
          <w:rFonts w:ascii="Calibri" w:eastAsia="Times New Roman" w:hAnsi="Calibri" w:cs="Times New Roman"/>
          <w:i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Předmět smlouvy</w:t>
      </w:r>
    </w:p>
    <w:p w:rsidR="00196F41" w:rsidRPr="009F263D" w:rsidRDefault="00196F41" w:rsidP="00196F41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196F41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Předmětem této smlouvy je zřízení a vymezení věcného břemene osobní služebnosti energetického vedení podle § 59 odst. 2 energetického zákona, nepodléhající úpravě služebnosti inženýrské sítě dle § 1267 </w:t>
      </w:r>
      <w:r w:rsidR="00880AF4">
        <w:rPr>
          <w:rFonts w:ascii="Calibri" w:eastAsia="Times New Roman" w:hAnsi="Calibri" w:cs="Times New Roman"/>
          <w:lang w:eastAsia="cs-CZ"/>
        </w:rPr>
        <w:t>o</w:t>
      </w:r>
      <w:r w:rsidRPr="002D34C4">
        <w:rPr>
          <w:rFonts w:ascii="Calibri" w:eastAsia="Times New Roman" w:hAnsi="Calibri" w:cs="Times New Roman"/>
          <w:lang w:eastAsia="cs-CZ"/>
        </w:rPr>
        <w:t>bčanského zákoníku (dále též jen „věcné břemeno“). Obsah věcného břemene je specifikován v článku III. této smlouvy. Věcné břemeno se zřizuje k tíži Pozemk</w:t>
      </w:r>
      <w:r w:rsidR="00196F41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 xml:space="preserve"> ve prospěch oprávněného v rozsahu, uvedeném v této smlouvě a vyplývajícím z příslušných ustanovení energetického zákona.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Specifikace věcného břemene</w:t>
      </w:r>
    </w:p>
    <w:p w:rsidR="002D34C4" w:rsidRPr="009F263D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7B1189" w:rsidRDefault="007B1189" w:rsidP="007B1189">
      <w:pPr>
        <w:numPr>
          <w:ilvl w:val="0"/>
          <w:numId w:val="8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Povinný za podmínek, ujednaných v této smlouvě, zřizuje dle geometrického plánu </w:t>
      </w:r>
      <w:r>
        <w:rPr>
          <w:rFonts w:ascii="Calibri" w:eastAsia="Times New Roman" w:hAnsi="Calibri" w:cs="Times New Roman"/>
          <w:lang w:eastAsia="cs-CZ"/>
        </w:rPr>
        <w:br/>
        <w:t>č. 3958-15/2017 ve prospěch oprávněného k tíži Pozemků právo, odpovídající věcnému břemeni, spočívající v umístění stavby plynárenského zařízení na Pozemcích a v právu přístupu a vjezdu na Pozemky za účelem zajištění bezpečného provozu, údržby, oprav a stavebních úprav plynárenského zařízení. Věcné břemeno zahrnuje též právo oprávněného provádět na plynárenském zařízení úpravy za účelem jeho výměny, modernizace nebo zlepšení jeho výkonnosti, včetně jeho odstranění.</w:t>
      </w:r>
    </w:p>
    <w:p w:rsidR="007B1189" w:rsidRDefault="007B1189" w:rsidP="007B1189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7B1189" w:rsidRDefault="007B1189" w:rsidP="007B1189">
      <w:pPr>
        <w:numPr>
          <w:ilvl w:val="0"/>
          <w:numId w:val="8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Geometrický plán č. 3958-15/2017 pro účely zřízení věcného břemene dle bodu 1. tohoto článku, schválený Katastrálním úřadem pro hlavní město Prahu, Katastrální pracoviště Praha dne 27.2.2017 pod čj. PGP-915/2017-101, je přílohou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alibri" w:eastAsia="Times New Roman" w:hAnsi="Calibri" w:cs="Times New Roman"/>
            <w:lang w:eastAsia="cs-CZ"/>
          </w:rPr>
          <w:t>1 a</w:t>
        </w:r>
      </w:smartTag>
      <w:r>
        <w:rPr>
          <w:rFonts w:ascii="Calibri" w:eastAsia="Times New Roman" w:hAnsi="Calibri" w:cs="Times New Roman"/>
          <w:lang w:eastAsia="cs-CZ"/>
        </w:rPr>
        <w:t xml:space="preserve"> nedílnou součástí této smlouvy.</w:t>
      </w:r>
    </w:p>
    <w:p w:rsidR="002D34C4" w:rsidRPr="009F263D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F04C63" w:rsidRDefault="002D34C4" w:rsidP="00F04C63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berou na vědomí, že se změnou vlastníka Pozemk</w:t>
      </w:r>
      <w:r w:rsidR="00196F41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 xml:space="preserve"> přecházejí práva a povinnosti, vyplývající z věcného břemene, na nabyvatele Pozemk</w:t>
      </w:r>
      <w:r w:rsidR="00196F41">
        <w:rPr>
          <w:rFonts w:ascii="Calibri" w:eastAsia="Times New Roman" w:hAnsi="Calibri" w:cs="Times New Roman"/>
          <w:lang w:eastAsia="cs-CZ"/>
        </w:rPr>
        <w:t>ů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F04C63" w:rsidRPr="00F04C63" w:rsidRDefault="00F04C63" w:rsidP="00F04C63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F04C63" w:rsidRDefault="00F04C63" w:rsidP="00F04C63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Oprávněný </w:t>
      </w:r>
      <w:r w:rsidRPr="00F04C63">
        <w:rPr>
          <w:rFonts w:ascii="Calibri" w:eastAsia="Times New Roman" w:hAnsi="Calibri" w:cs="Times New Roman"/>
          <w:lang w:eastAsia="cs-CZ"/>
        </w:rPr>
        <w:t>prohlašuje, že právo odpovídající věcnému břemeni podle této smlouvy přijímá. Povinný prohlašuje, že si je vědom své povinnosti toto právo strpět a nerušit a zavazuje se zdržet se veškeré činnosti, která by vedla k ohrožení plynárenského zařízení, specifikovaného v této smlouvě, nebo k omezení výkonu práva oprávněného dle této smlouvy.</w:t>
      </w:r>
    </w:p>
    <w:p w:rsidR="00F04C63" w:rsidRDefault="00F04C63" w:rsidP="00F04C63">
      <w:pPr>
        <w:pStyle w:val="Odstavecseseznamem"/>
        <w:rPr>
          <w:rFonts w:ascii="Calibri" w:eastAsia="Times New Roman" w:hAnsi="Calibri" w:cs="Times New Roman"/>
          <w:lang w:eastAsia="cs-CZ"/>
        </w:rPr>
      </w:pPr>
    </w:p>
    <w:p w:rsidR="005653FA" w:rsidRPr="002D34C4" w:rsidRDefault="005653FA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IV.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Výše náhrady za zřízení věcného břemene</w:t>
      </w:r>
    </w:p>
    <w:p w:rsidR="002D34C4" w:rsidRPr="009F263D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A54A74" w:rsidRPr="00A54A74" w:rsidRDefault="00A54A74" w:rsidP="00A54A74">
      <w:pPr>
        <w:pStyle w:val="Odstavecseseznamem1"/>
        <w:numPr>
          <w:ilvl w:val="0"/>
          <w:numId w:val="7"/>
        </w:numPr>
        <w:spacing w:after="0"/>
        <w:ind w:left="567" w:hanging="567"/>
        <w:jc w:val="both"/>
        <w:rPr>
          <w:szCs w:val="24"/>
        </w:rPr>
      </w:pPr>
      <w:r w:rsidRPr="00A54A74">
        <w:rPr>
          <w:szCs w:val="24"/>
        </w:rPr>
        <w:t>Právo podle ustanovení čl. III. této smlouvy se zřizuje jako úplatné, a to za jednorázovou náhradu určenou znaleckým posudkem, vypracovaným Václavem Myslíkem, znalcem z oboru oceňování nemovitostí, vedeným pod číslem 8</w:t>
      </w:r>
      <w:r>
        <w:rPr>
          <w:szCs w:val="24"/>
        </w:rPr>
        <w:t>638</w:t>
      </w:r>
      <w:r w:rsidRPr="00A54A74">
        <w:rPr>
          <w:szCs w:val="24"/>
        </w:rPr>
        <w:t>/201</w:t>
      </w:r>
      <w:r>
        <w:rPr>
          <w:szCs w:val="24"/>
        </w:rPr>
        <w:t>6</w:t>
      </w:r>
      <w:r w:rsidRPr="00A54A74">
        <w:rPr>
          <w:szCs w:val="24"/>
        </w:rPr>
        <w:t xml:space="preserve">, a to ve výši </w:t>
      </w:r>
      <w:r w:rsidRPr="004257C9">
        <w:t>53.420,- Kč (slovy: padesáttřitisícečtyřistadvacet korun českých)</w:t>
      </w:r>
      <w:r w:rsidRPr="004257C9">
        <w:rPr>
          <w:szCs w:val="24"/>
        </w:rPr>
        <w:t xml:space="preserve"> + DPH 21% ve výši 11.218,20 Kč, tzn. celkem 64.638,20 Kč (slovy: šedesátčtyřitisícešestsettřicetosm korun českých dvacet halé</w:t>
      </w:r>
      <w:r w:rsidRPr="00A54A74">
        <w:rPr>
          <w:szCs w:val="24"/>
        </w:rPr>
        <w:t>řů), a to včetně ochranného pásma.</w:t>
      </w:r>
    </w:p>
    <w:p w:rsidR="002D34C4" w:rsidRPr="00A54A74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196F41">
      <w:pPr>
        <w:numPr>
          <w:ilvl w:val="0"/>
          <w:numId w:val="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  <w:szCs w:val="24"/>
          <w:lang w:eastAsia="cs-CZ"/>
        </w:rPr>
      </w:pP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Právo na zaplacení výše uvedené částky vzniká </w:t>
      </w:r>
      <w:r w:rsidRPr="002D34C4">
        <w:rPr>
          <w:rFonts w:ascii="Calibri" w:eastAsia="Times New Roman" w:hAnsi="Calibri" w:cs="Times New Roman"/>
          <w:lang w:eastAsia="cs-CZ"/>
        </w:rPr>
        <w:t xml:space="preserve">povinnému na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základě vystavené faktury </w:t>
      </w:r>
      <w:r w:rsidR="00CC1BC2">
        <w:rPr>
          <w:rFonts w:ascii="Calibri" w:eastAsia="Times New Roman" w:hAnsi="Calibri" w:cs="Times New Roman"/>
          <w:szCs w:val="24"/>
          <w:lang w:eastAsia="cs-CZ"/>
        </w:rPr>
        <w:t>-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 daňového dokladu. Povinný vystaví fakturu do </w:t>
      </w:r>
      <w:r w:rsidR="006A1D67">
        <w:rPr>
          <w:rFonts w:ascii="Calibri" w:eastAsia="Times New Roman" w:hAnsi="Calibri" w:cs="Times New Roman"/>
          <w:szCs w:val="24"/>
          <w:lang w:eastAsia="cs-CZ"/>
        </w:rPr>
        <w:t>jednoho měsíce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2D34C4">
        <w:rPr>
          <w:rFonts w:ascii="Calibri" w:eastAsia="Times New Roman" w:hAnsi="Calibri" w:cs="Times New Roman"/>
          <w:lang w:eastAsia="cs-CZ"/>
        </w:rPr>
        <w:t xml:space="preserve">ode dne podání návrhu na vklad práva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odpovídajícího věcnému břemeni </w:t>
      </w:r>
      <w:r w:rsidRPr="002D34C4">
        <w:rPr>
          <w:rFonts w:ascii="Calibri" w:eastAsia="Times New Roman" w:hAnsi="Calibri" w:cs="Times New Roman"/>
          <w:lang w:eastAsia="cs-CZ"/>
        </w:rPr>
        <w:t xml:space="preserve">do katastru nemovitostí. 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Za den uskutečnění zdanitelného plnění se považuje den podání návrhu na vklad. Splatnost faktury je do </w:t>
      </w:r>
      <w:r w:rsidR="008B2EFB">
        <w:rPr>
          <w:rFonts w:ascii="Calibri" w:eastAsia="Times New Roman" w:hAnsi="Calibri" w:cs="Times New Roman"/>
          <w:szCs w:val="24"/>
          <w:lang w:eastAsia="cs-CZ"/>
        </w:rPr>
        <w:t>jednoho</w:t>
      </w:r>
      <w:r w:rsidR="006A1D67">
        <w:rPr>
          <w:rFonts w:ascii="Calibri" w:eastAsia="Times New Roman" w:hAnsi="Calibri" w:cs="Times New Roman"/>
          <w:szCs w:val="24"/>
          <w:lang w:eastAsia="cs-CZ"/>
        </w:rPr>
        <w:t xml:space="preserve"> měsíc ode  dne podání návrhu na vklad práva do katastru nemovit</w:t>
      </w:r>
      <w:r w:rsidR="00F04C63">
        <w:rPr>
          <w:rFonts w:ascii="Calibri" w:eastAsia="Times New Roman" w:hAnsi="Calibri" w:cs="Times New Roman"/>
          <w:szCs w:val="24"/>
          <w:lang w:eastAsia="cs-CZ"/>
        </w:rPr>
        <w:t>o</w:t>
      </w:r>
      <w:r w:rsidR="006A1D67">
        <w:rPr>
          <w:rFonts w:ascii="Calibri" w:eastAsia="Times New Roman" w:hAnsi="Calibri" w:cs="Times New Roman"/>
          <w:szCs w:val="24"/>
          <w:lang w:eastAsia="cs-CZ"/>
        </w:rPr>
        <w:t>stí.</w:t>
      </w:r>
      <w:r w:rsidRPr="002D34C4">
        <w:rPr>
          <w:rFonts w:ascii="Calibri" w:eastAsia="Times New Roman" w:hAnsi="Calibri" w:cs="Times New Roman"/>
          <w:szCs w:val="24"/>
          <w:lang w:eastAsia="cs-CZ"/>
        </w:rPr>
        <w:t xml:space="preserve"> </w:t>
      </w:r>
    </w:p>
    <w:p w:rsidR="002D34C4" w:rsidRPr="009F263D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Faktura musí mít náležitosti daňového dokladu podle příslušných ustanovení zákona č.</w:t>
      </w:r>
      <w:r w:rsidR="00196F41">
        <w:rPr>
          <w:rFonts w:ascii="Calibri" w:eastAsia="Times New Roman" w:hAnsi="Calibri" w:cs="Times New Roman"/>
          <w:lang w:eastAsia="cs-CZ"/>
        </w:rPr>
        <w:t> </w:t>
      </w:r>
      <w:r w:rsidRPr="002D34C4">
        <w:rPr>
          <w:rFonts w:ascii="Calibri" w:eastAsia="Times New Roman" w:hAnsi="Calibri" w:cs="Times New Roman"/>
          <w:lang w:eastAsia="cs-CZ"/>
        </w:rPr>
        <w:t xml:space="preserve">235/2004 Sb., zákona o DPH, </w:t>
      </w:r>
      <w:r w:rsidR="006A1D67">
        <w:rPr>
          <w:rFonts w:ascii="Calibri" w:eastAsia="Times New Roman" w:hAnsi="Calibri" w:cs="Times New Roman"/>
          <w:lang w:eastAsia="cs-CZ"/>
        </w:rPr>
        <w:t>ve znění pozdějších předpisů</w:t>
      </w:r>
      <w:r w:rsidRPr="002D34C4">
        <w:rPr>
          <w:rFonts w:ascii="Calibri" w:eastAsia="Times New Roman" w:hAnsi="Calibri" w:cs="Times New Roman"/>
          <w:lang w:eastAsia="cs-CZ"/>
        </w:rPr>
        <w:t xml:space="preserve">. 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si vyhrazuje právo vrátit bez zaplacení fakturu, která neobsahuje </w:t>
      </w:r>
      <w:r w:rsidR="009F263D">
        <w:rPr>
          <w:rFonts w:ascii="Calibri" w:eastAsia="Times New Roman" w:hAnsi="Calibri" w:cs="Times New Roman"/>
          <w:lang w:eastAsia="cs-CZ"/>
        </w:rPr>
        <w:t xml:space="preserve">všechny náležitosti, uvedené v </w:t>
      </w:r>
      <w:r w:rsidRPr="002D34C4">
        <w:rPr>
          <w:rFonts w:ascii="Calibri" w:eastAsia="Times New Roman" w:hAnsi="Calibri" w:cs="Times New Roman"/>
          <w:lang w:eastAsia="cs-CZ"/>
        </w:rPr>
        <w:t>bodu 3. tohoto článku. Vrácením faktury přestane běžet původní lhůta splatnosti. Po opravě faktury povinným běží nová lhůta splatnosti</w:t>
      </w:r>
      <w:r w:rsidR="006A1D67">
        <w:rPr>
          <w:rFonts w:ascii="Calibri" w:eastAsia="Times New Roman" w:hAnsi="Calibri" w:cs="Times New Roman"/>
          <w:lang w:eastAsia="cs-CZ"/>
        </w:rPr>
        <w:t>.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9F263D" w:rsidRDefault="002D34C4" w:rsidP="002D34C4">
      <w:p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Finanční výdaje, spojené s podáním návrhu na vklad práva dle této smlouvy do katastru nemovitostí</w:t>
      </w:r>
      <w:r w:rsidR="00196F41">
        <w:rPr>
          <w:rFonts w:ascii="Calibri" w:eastAsia="Times New Roman" w:hAnsi="Calibri" w:cs="Times New Roman"/>
          <w:lang w:eastAsia="cs-CZ"/>
        </w:rPr>
        <w:t>,</w:t>
      </w:r>
      <w:r w:rsidRPr="002D34C4">
        <w:rPr>
          <w:rFonts w:ascii="Calibri" w:eastAsia="Times New Roman" w:hAnsi="Calibri" w:cs="Times New Roman"/>
          <w:lang w:eastAsia="cs-CZ"/>
        </w:rPr>
        <w:t xml:space="preserve"> nese </w:t>
      </w:r>
      <w:r w:rsidRPr="002D34C4">
        <w:rPr>
          <w:rFonts w:ascii="Calibri" w:eastAsia="Times New Roman" w:hAnsi="Calibri" w:cs="Times New Roman"/>
          <w:szCs w:val="24"/>
          <w:lang w:eastAsia="cs-CZ"/>
        </w:rPr>
        <w:t>oprávněný</w:t>
      </w:r>
      <w:r w:rsidRPr="002D34C4">
        <w:rPr>
          <w:rFonts w:ascii="Calibri" w:eastAsia="Times New Roman" w:hAnsi="Calibri" w:cs="Times New Roman"/>
          <w:lang w:eastAsia="cs-CZ"/>
        </w:rPr>
        <w:t>.</w:t>
      </w:r>
    </w:p>
    <w:p w:rsidR="002D34C4" w:rsidRPr="002D34C4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Doba trvání věcného břemene</w:t>
      </w:r>
    </w:p>
    <w:p w:rsidR="002D34C4" w:rsidRPr="009F263D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196F41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břemeno, zřízené touto smlouvou, se sjednává jako časově neomezené a zaniká v případech, stanovených zákonem.</w:t>
      </w:r>
    </w:p>
    <w:p w:rsidR="00196F41" w:rsidRPr="002D34C4" w:rsidRDefault="00196F41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Ostatní ujednání</w:t>
      </w:r>
    </w:p>
    <w:p w:rsidR="002D34C4" w:rsidRPr="009F263D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Povinný výslovně souhlasí, aby oprávněný a jeho případní smluvní partneři v době do povolení vkladu věcného břemene dle této smlouvy do katastru nemovitostí Pozemk</w:t>
      </w:r>
      <w:r w:rsidR="00196F41">
        <w:rPr>
          <w:rFonts w:ascii="Calibri" w:eastAsia="Times New Roman" w:hAnsi="Calibri" w:cs="Times New Roman"/>
          <w:lang w:eastAsia="cs-CZ"/>
        </w:rPr>
        <w:t>y</w:t>
      </w:r>
      <w:r w:rsidRPr="002D34C4">
        <w:rPr>
          <w:rFonts w:ascii="Calibri" w:eastAsia="Times New Roman" w:hAnsi="Calibri" w:cs="Times New Roman"/>
          <w:lang w:eastAsia="cs-CZ"/>
        </w:rPr>
        <w:t xml:space="preserve"> užíval za účelem zajištění bezpečného provozu, údržby, oprav a stavebních úprav plynárenského zařízení.</w:t>
      </w:r>
    </w:p>
    <w:p w:rsidR="002D34C4" w:rsidRPr="009F263D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Oprávněný má ve vztahu k Pozemk</w:t>
      </w:r>
      <w:r w:rsidR="00196F41">
        <w:rPr>
          <w:rFonts w:ascii="Calibri" w:eastAsia="Times New Roman" w:hAnsi="Calibri" w:cs="Times New Roman"/>
          <w:lang w:eastAsia="cs-CZ"/>
        </w:rPr>
        <w:t>ům</w:t>
      </w:r>
      <w:r w:rsidRPr="002D34C4">
        <w:rPr>
          <w:rFonts w:ascii="Calibri" w:eastAsia="Times New Roman" w:hAnsi="Calibri" w:cs="Times New Roman"/>
          <w:lang w:eastAsia="cs-CZ"/>
        </w:rPr>
        <w:t xml:space="preserve"> dále oprávnění, která mu, jako PDS, vznikem věcného břemene dle této smlouvy přísluší především z ustanovení § 59 odst. 1 písm. f) a g) energetického zákona: 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vstupovat a vjíždět na Pozemk</w:t>
      </w:r>
      <w:r w:rsidR="00196F41">
        <w:rPr>
          <w:rFonts w:ascii="Calibri" w:eastAsia="Times New Roman" w:hAnsi="Calibri" w:cs="Times New Roman"/>
          <w:lang w:eastAsia="cs-CZ"/>
        </w:rPr>
        <w:t>y</w:t>
      </w:r>
      <w:r w:rsidRPr="002D34C4">
        <w:rPr>
          <w:rFonts w:ascii="Calibri" w:eastAsia="Times New Roman" w:hAnsi="Calibri" w:cs="Times New Roman"/>
          <w:lang w:eastAsia="cs-CZ"/>
        </w:rPr>
        <w:t xml:space="preserve"> v souvislosti s realizací práv, vyplývajících z věcného břemene;</w:t>
      </w:r>
    </w:p>
    <w:p w:rsidR="002D34C4" w:rsidRPr="002D34C4" w:rsidRDefault="002D34C4" w:rsidP="002D34C4">
      <w:pPr>
        <w:numPr>
          <w:ilvl w:val="0"/>
          <w:numId w:val="5"/>
        </w:numPr>
        <w:spacing w:after="0" w:line="276" w:lineRule="auto"/>
        <w:ind w:left="1134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odstraňovat a oklešťovat na Pozem</w:t>
      </w:r>
      <w:r w:rsidR="00196F41">
        <w:rPr>
          <w:rFonts w:ascii="Calibri" w:eastAsia="Times New Roman" w:hAnsi="Calibri" w:cs="Times New Roman"/>
          <w:lang w:eastAsia="cs-CZ"/>
        </w:rPr>
        <w:t xml:space="preserve">cích </w:t>
      </w:r>
      <w:r w:rsidRPr="002D34C4">
        <w:rPr>
          <w:rFonts w:ascii="Calibri" w:eastAsia="Times New Roman" w:hAnsi="Calibri" w:cs="Times New Roman"/>
          <w:lang w:eastAsia="cs-CZ"/>
        </w:rPr>
        <w:t>stromoví a jiné porosty, provádět likvidaci odstraněného a okleštěného stromoví a jiných porostů, ohrožujících bezpečné a spolehlivé provozování plynárenského zařízení v případech, kdy tak po předchozím upozornění a stanovení rozsahu neučinil sám povinný.</w:t>
      </w: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Oprávněný je povinen při výkonu práva dle této smlouvy postupovat dle příslušných ustanovení energetického zákona a co nejvíce šetřit práva povinného. Po skončení prací je oprávněný povinen uvést vždy Pozemek do předchozího stavu a není-li to možné s ohledem na povahu provedených prací, do stavu odpovídajícího předchozímu účelu či užívání nemovitosti a bezprostředně oznámit tuto skutečnost povinnému. 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Za oprávněného je ve věcech, souvisejících s výkonem práv podle této smlouvy, pověřen provozně-technický útvar, kontaktní tel. č.: 267 175 650.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VII.</w:t>
      </w:r>
    </w:p>
    <w:p w:rsidR="002D34C4" w:rsidRPr="002D34C4" w:rsidRDefault="002D34C4" w:rsidP="002D34C4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>Závěrečná ustanovení</w:t>
      </w:r>
    </w:p>
    <w:p w:rsidR="002D34C4" w:rsidRPr="009F263D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9F263D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Smluvní strany prohlašují, že smlouva představuje úplnou dohodu o veškerých jejích náležitostech a neexistují náležitosti, které by smluvní strany neujednaly.</w:t>
      </w:r>
    </w:p>
    <w:p w:rsidR="009F263D" w:rsidRPr="009F263D" w:rsidRDefault="009F263D" w:rsidP="009F263D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2D34C4" w:rsidRPr="009F263D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Tato smlouva je vyhotovena v</w:t>
      </w:r>
      <w:r w:rsidR="00196F41">
        <w:rPr>
          <w:rFonts w:ascii="Calibri" w:eastAsia="Times New Roman" w:hAnsi="Calibri" w:cs="Times New Roman"/>
          <w:lang w:eastAsia="cs-CZ"/>
        </w:rPr>
        <w:t>e třech</w:t>
      </w:r>
      <w:r w:rsidRPr="002D34C4">
        <w:rPr>
          <w:rFonts w:ascii="Calibri" w:eastAsia="Times New Roman" w:hAnsi="Calibri" w:cs="Times New Roman"/>
          <w:lang w:eastAsia="cs-CZ"/>
        </w:rPr>
        <w:t xml:space="preserve"> stejnopisech s platností originálu. Jeden stejnopis je určen pro potřeby příslušného katastrálního úřadu k řízení o povolení vkladu práva, odpovídajícího věcnému břemeni, do katastru nemovitostí. Každá ze smluvních stran obdrží po jednom stejnopisu.</w:t>
      </w:r>
    </w:p>
    <w:p w:rsidR="002D34C4" w:rsidRPr="009F263D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se dohodly, že návrh na vklad práva odpovídajícího věcnému břemeni dle této smlouvy do katastru nemovitostí bude předložen Katastrálnímu úřadu pro </w:t>
      </w:r>
      <w:r w:rsidR="00196F41">
        <w:rPr>
          <w:rFonts w:ascii="Calibri" w:eastAsia="Times New Roman" w:hAnsi="Calibri" w:cs="Times New Roman"/>
          <w:lang w:eastAsia="cs-CZ"/>
        </w:rPr>
        <w:t>hlavní město Prahu</w:t>
      </w:r>
      <w:r w:rsidRPr="002D34C4">
        <w:rPr>
          <w:rFonts w:ascii="Calibri" w:eastAsia="Times New Roman" w:hAnsi="Calibri" w:cs="Times New Roman"/>
          <w:lang w:eastAsia="cs-CZ"/>
        </w:rPr>
        <w:t xml:space="preserve">, Katastrální pracoviště </w:t>
      </w:r>
      <w:r w:rsidR="00196F41">
        <w:rPr>
          <w:rFonts w:ascii="Calibri" w:eastAsia="Times New Roman" w:hAnsi="Calibri" w:cs="Times New Roman"/>
          <w:lang w:eastAsia="cs-CZ"/>
        </w:rPr>
        <w:t>Praha</w:t>
      </w:r>
      <w:r w:rsidRPr="002D34C4">
        <w:rPr>
          <w:rFonts w:ascii="Calibri" w:eastAsia="Times New Roman" w:hAnsi="Calibri" w:cs="Times New Roman"/>
          <w:lang w:eastAsia="cs-CZ"/>
        </w:rPr>
        <w:t>, prostřednictvím oprávněného.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Věcné břemeno podle této smlouvy vzniká v souladu s příslušným ustanovením občanského zákoníku zápisem do veřejného seznamu, kterým je katastr nemovitostí.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Pokud se něco v této smlouvě ukáže neplatným či to bude bránit vkladu práva odpovídajícího věcnému břemeni do katastru nemovitostí, neznamená to zánik smlouvy, ale strany se dohodnou podle zásad poctivého obchodního styku o nahrazení textu jiným, sledujícím stejný účel nebo o doplnění podkladů pro příslušný katastrální úřad.</w:t>
      </w:r>
    </w:p>
    <w:p w:rsidR="002D34C4" w:rsidRPr="002D34C4" w:rsidRDefault="002D34C4" w:rsidP="002D34C4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Tato smlouva nabývá platnosti </w:t>
      </w:r>
      <w:r w:rsidR="006A1D67">
        <w:rPr>
          <w:rFonts w:ascii="Calibri" w:eastAsia="Times New Roman" w:hAnsi="Calibri" w:cs="Times New Roman"/>
          <w:lang w:eastAsia="cs-CZ"/>
        </w:rPr>
        <w:t xml:space="preserve">podpisem smluvními stranami </w:t>
      </w:r>
      <w:r w:rsidRPr="002D34C4">
        <w:rPr>
          <w:rFonts w:ascii="Calibri" w:eastAsia="Times New Roman" w:hAnsi="Calibri" w:cs="Times New Roman"/>
          <w:lang w:eastAsia="cs-CZ"/>
        </w:rPr>
        <w:t xml:space="preserve">a účinnosti dnem jejího </w:t>
      </w:r>
      <w:r w:rsidR="006A1D67">
        <w:rPr>
          <w:rFonts w:ascii="Calibri" w:eastAsia="Times New Roman" w:hAnsi="Calibri" w:cs="Times New Roman"/>
          <w:lang w:eastAsia="cs-CZ"/>
        </w:rPr>
        <w:t>zveřejněním v registru smluv</w:t>
      </w:r>
      <w:r w:rsidRPr="002D34C4">
        <w:rPr>
          <w:rFonts w:ascii="Calibri" w:eastAsia="Times New Roman" w:hAnsi="Calibri" w:cs="Times New Roman"/>
          <w:lang w:eastAsia="cs-CZ"/>
        </w:rPr>
        <w:t xml:space="preserve">. </w:t>
      </w:r>
      <w:r w:rsidR="006A1D67">
        <w:rPr>
          <w:rFonts w:ascii="Calibri" w:eastAsia="Times New Roman" w:hAnsi="Calibri" w:cs="Times New Roman"/>
          <w:lang w:eastAsia="cs-CZ"/>
        </w:rPr>
        <w:t>Zveřejnění zajistí povinný.</w:t>
      </w:r>
    </w:p>
    <w:p w:rsidR="002D34C4" w:rsidRPr="009F263D" w:rsidRDefault="002D34C4" w:rsidP="002D34C4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>Smlouva může být měněna nebo doplňována pouze formou vzestupně číslovaných písemných dodatků, podepsaných oběma smluvními stranami.</w:t>
      </w:r>
    </w:p>
    <w:p w:rsidR="002D34C4" w:rsidRPr="009F263D" w:rsidRDefault="002D34C4" w:rsidP="00F04C63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Na právní vztahy, vyplývající nebo související s touto smlouvou a v ní nebo v energetickém zákoně výslovně neupravené se přiměřeně uplatní ustanovení </w:t>
      </w:r>
      <w:r w:rsidR="006A1D67">
        <w:rPr>
          <w:rFonts w:ascii="Calibri" w:eastAsia="Times New Roman" w:hAnsi="Calibri" w:cs="Times New Roman"/>
          <w:lang w:eastAsia="cs-CZ"/>
        </w:rPr>
        <w:t>o</w:t>
      </w:r>
      <w:r w:rsidRPr="002D34C4">
        <w:rPr>
          <w:rFonts w:ascii="Calibri" w:eastAsia="Times New Roman" w:hAnsi="Calibri" w:cs="Times New Roman"/>
          <w:lang w:eastAsia="cs-CZ"/>
        </w:rPr>
        <w:t>bčanského zákoníku.</w:t>
      </w:r>
    </w:p>
    <w:p w:rsidR="002D34C4" w:rsidRPr="009F263D" w:rsidRDefault="002D34C4" w:rsidP="002D34C4">
      <w:pPr>
        <w:spacing w:after="0" w:line="276" w:lineRule="auto"/>
        <w:ind w:left="567" w:hanging="567"/>
        <w:jc w:val="both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2D34C4" w:rsidRPr="002D34C4" w:rsidRDefault="002D34C4" w:rsidP="002D34C4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2D34C4">
        <w:rPr>
          <w:rFonts w:ascii="Calibri" w:eastAsia="Times New Roman" w:hAnsi="Calibri" w:cs="Times New Roman"/>
          <w:b/>
          <w:lang w:eastAsia="cs-CZ"/>
        </w:rPr>
        <w:t xml:space="preserve">Přílohy: </w:t>
      </w:r>
      <w:r w:rsidRPr="002D34C4">
        <w:rPr>
          <w:rFonts w:ascii="Calibri" w:eastAsia="Times New Roman" w:hAnsi="Calibri" w:cs="Times New Roman"/>
          <w:b/>
          <w:lang w:eastAsia="cs-CZ"/>
        </w:rPr>
        <w:tab/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  <w:r w:rsidRPr="002D34C4">
        <w:rPr>
          <w:rFonts w:ascii="Calibri" w:eastAsia="Times New Roman" w:hAnsi="Calibri" w:cs="Times New Roman"/>
          <w:lang w:eastAsia="cs-CZ"/>
        </w:rPr>
        <w:t xml:space="preserve">č. 1 - Geometrický plán č. </w:t>
      </w:r>
      <w:r w:rsidR="00196F41">
        <w:rPr>
          <w:rFonts w:ascii="Calibri" w:eastAsia="Times New Roman" w:hAnsi="Calibri" w:cs="Times New Roman"/>
          <w:lang w:eastAsia="cs-CZ"/>
        </w:rPr>
        <w:t>3</w:t>
      </w:r>
      <w:r w:rsidR="006B7AB8">
        <w:rPr>
          <w:rFonts w:ascii="Calibri" w:eastAsia="Times New Roman" w:hAnsi="Calibri" w:cs="Times New Roman"/>
          <w:lang w:eastAsia="cs-CZ"/>
        </w:rPr>
        <w:t>958-15/2017</w:t>
      </w: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34C4" w:rsidRPr="002D34C4" w:rsidTr="00927D82">
        <w:tc>
          <w:tcPr>
            <w:tcW w:w="4606" w:type="dxa"/>
          </w:tcPr>
          <w:p w:rsidR="002D34C4" w:rsidRPr="002D34C4" w:rsidRDefault="002D34C4" w:rsidP="009342D9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</w:t>
            </w:r>
            <w:r w:rsidR="009342D9">
              <w:rPr>
                <w:rFonts w:ascii="Calibri" w:eastAsia="Calibri" w:hAnsi="Calibri" w:cs="Times New Roman"/>
              </w:rPr>
              <w:t> Praze</w:t>
            </w:r>
            <w:r w:rsidRPr="002D34C4">
              <w:rPr>
                <w:rFonts w:ascii="Calibri" w:eastAsia="Calibri" w:hAnsi="Calibri" w:cs="Times New Roman"/>
              </w:rPr>
              <w:t xml:space="preserve"> dne …………………….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V Praze dne …………………….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Povinný: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</w:p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2D34C4">
              <w:rPr>
                <w:rFonts w:ascii="Calibri" w:eastAsia="Calibri" w:hAnsi="Calibri" w:cs="Times New Roman"/>
                <w:u w:val="single"/>
              </w:rPr>
              <w:t>Oprávněný: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9342D9" w:rsidP="002D34C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Městská část Praha 12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Pražská plynárenská Distribuce, a.s.,</w:t>
            </w:r>
            <w:r w:rsidRPr="002D34C4">
              <w:rPr>
                <w:rFonts w:ascii="Calibri" w:eastAsia="Calibri" w:hAnsi="Calibri" w:cs="Times New Roman"/>
              </w:rPr>
              <w:tab/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člen koncernu Pražská plynárenská, a.s.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…………………….…………………….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8F11E9" w:rsidP="008F11E9">
            <w:pPr>
              <w:jc w:val="both"/>
              <w:rPr>
                <w:rFonts w:ascii="Calibri" w:eastAsia="Calibri" w:hAnsi="Calibri" w:cs="Times New Roman"/>
              </w:rPr>
            </w:pPr>
            <w:r w:rsidRPr="008F11E9">
              <w:rPr>
                <w:sz w:val="24"/>
                <w:szCs w:val="24"/>
              </w:rPr>
              <w:t>Milan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1E9">
              <w:t>Maruštík</w:t>
            </w:r>
          </w:p>
        </w:tc>
        <w:tc>
          <w:tcPr>
            <w:tcW w:w="4606" w:type="dxa"/>
          </w:tcPr>
          <w:p w:rsidR="002D34C4" w:rsidRPr="00F54B86" w:rsidRDefault="00F54B86" w:rsidP="007B1189">
            <w:pPr>
              <w:jc w:val="both"/>
              <w:rPr>
                <w:rFonts w:ascii="Calibri" w:eastAsia="Calibri" w:hAnsi="Calibri" w:cs="Times New Roman"/>
                <w:highlight w:val="black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highlight w:val="black"/>
              </w:rPr>
              <w:t>'''''''' ''''''''' ''''''''''''''''</w:t>
            </w:r>
          </w:p>
        </w:tc>
      </w:tr>
      <w:tr w:rsidR="002D34C4" w:rsidRPr="002D34C4" w:rsidTr="00927D82">
        <w:tc>
          <w:tcPr>
            <w:tcW w:w="4606" w:type="dxa"/>
          </w:tcPr>
          <w:p w:rsidR="002D34C4" w:rsidRPr="002D34C4" w:rsidRDefault="0084326B" w:rsidP="008F11E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starosta</w:t>
            </w:r>
          </w:p>
        </w:tc>
        <w:tc>
          <w:tcPr>
            <w:tcW w:w="4606" w:type="dxa"/>
          </w:tcPr>
          <w:p w:rsidR="002D34C4" w:rsidRPr="002D34C4" w:rsidRDefault="002D34C4" w:rsidP="002D34C4">
            <w:pPr>
              <w:jc w:val="both"/>
              <w:rPr>
                <w:rFonts w:ascii="Calibri" w:eastAsia="Calibri" w:hAnsi="Calibri" w:cs="Times New Roman"/>
              </w:rPr>
            </w:pPr>
            <w:r w:rsidRPr="002D34C4">
              <w:rPr>
                <w:rFonts w:ascii="Calibri" w:eastAsia="Calibri" w:hAnsi="Calibri" w:cs="Times New Roman"/>
              </w:rPr>
              <w:t>na základě pověření</w:t>
            </w:r>
          </w:p>
        </w:tc>
      </w:tr>
    </w:tbl>
    <w:p w:rsidR="002D34C4" w:rsidRPr="002D34C4" w:rsidRDefault="002D34C4" w:rsidP="002D34C4">
      <w:pPr>
        <w:spacing w:after="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:rsidR="00866A0B" w:rsidRPr="002D34C4" w:rsidRDefault="00866A0B">
      <w:pPr>
        <w:rPr>
          <w:b/>
        </w:rPr>
      </w:pPr>
    </w:p>
    <w:sectPr w:rsidR="00866A0B" w:rsidRPr="002D34C4" w:rsidSect="009F2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62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2C" w:rsidRDefault="001E7B2C">
      <w:pPr>
        <w:spacing w:after="0" w:line="240" w:lineRule="auto"/>
      </w:pPr>
      <w:r>
        <w:separator/>
      </w:r>
    </w:p>
  </w:endnote>
  <w:endnote w:type="continuationSeparator" w:id="0">
    <w:p w:rsidR="001E7B2C" w:rsidRDefault="001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86" w:rsidRDefault="00F54B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34" w:rsidRPr="00F54B86" w:rsidRDefault="001E7B2C" w:rsidP="00F54B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86" w:rsidRDefault="00F54B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2C" w:rsidRDefault="001E7B2C">
      <w:pPr>
        <w:spacing w:after="0" w:line="240" w:lineRule="auto"/>
      </w:pPr>
      <w:r>
        <w:separator/>
      </w:r>
    </w:p>
  </w:footnote>
  <w:footnote w:type="continuationSeparator" w:id="0">
    <w:p w:rsidR="001E7B2C" w:rsidRDefault="001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86" w:rsidRDefault="00F54B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86" w:rsidRDefault="00F54B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86" w:rsidRDefault="00F54B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F7A"/>
    <w:multiLevelType w:val="hybridMultilevel"/>
    <w:tmpl w:val="6AE44F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4D8"/>
    <w:multiLevelType w:val="hybridMultilevel"/>
    <w:tmpl w:val="00E6B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3F70"/>
    <w:multiLevelType w:val="hybridMultilevel"/>
    <w:tmpl w:val="EF16E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71CE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26A3"/>
    <w:multiLevelType w:val="hybridMultilevel"/>
    <w:tmpl w:val="CFC40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7EDC"/>
    <w:multiLevelType w:val="hybridMultilevel"/>
    <w:tmpl w:val="57D85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6A61"/>
    <w:multiLevelType w:val="hybridMultilevel"/>
    <w:tmpl w:val="A55EA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revisionView w:inkAnnotations="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C4"/>
    <w:rsid w:val="00016D76"/>
    <w:rsid w:val="000F7B8F"/>
    <w:rsid w:val="00196F41"/>
    <w:rsid w:val="001A10BB"/>
    <w:rsid w:val="001C3777"/>
    <w:rsid w:val="001C3A17"/>
    <w:rsid w:val="001E7B2C"/>
    <w:rsid w:val="002D34C4"/>
    <w:rsid w:val="00312EE5"/>
    <w:rsid w:val="004257C9"/>
    <w:rsid w:val="004805FD"/>
    <w:rsid w:val="004F249D"/>
    <w:rsid w:val="00541DE7"/>
    <w:rsid w:val="00554D37"/>
    <w:rsid w:val="005653FA"/>
    <w:rsid w:val="00615595"/>
    <w:rsid w:val="00647C53"/>
    <w:rsid w:val="006A1D67"/>
    <w:rsid w:val="006B0091"/>
    <w:rsid w:val="006B7AB8"/>
    <w:rsid w:val="006C1B6F"/>
    <w:rsid w:val="006F17C9"/>
    <w:rsid w:val="00735FB8"/>
    <w:rsid w:val="0076045C"/>
    <w:rsid w:val="007B1189"/>
    <w:rsid w:val="0084326B"/>
    <w:rsid w:val="00866A0B"/>
    <w:rsid w:val="00880AF4"/>
    <w:rsid w:val="008835BA"/>
    <w:rsid w:val="008A7B8B"/>
    <w:rsid w:val="008B2EFB"/>
    <w:rsid w:val="008F11E9"/>
    <w:rsid w:val="008F3318"/>
    <w:rsid w:val="009342D9"/>
    <w:rsid w:val="00957728"/>
    <w:rsid w:val="009F263D"/>
    <w:rsid w:val="00A54A74"/>
    <w:rsid w:val="00BD04BC"/>
    <w:rsid w:val="00C11610"/>
    <w:rsid w:val="00C85BDB"/>
    <w:rsid w:val="00C97525"/>
    <w:rsid w:val="00CC1BC2"/>
    <w:rsid w:val="00D520AF"/>
    <w:rsid w:val="00DD3A01"/>
    <w:rsid w:val="00E75FE2"/>
    <w:rsid w:val="00F04C63"/>
    <w:rsid w:val="00F4526B"/>
    <w:rsid w:val="00F45C40"/>
    <w:rsid w:val="00F54B86"/>
    <w:rsid w:val="00F61572"/>
    <w:rsid w:val="00F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26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72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54A7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1D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D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D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D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D6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C4"/>
  </w:style>
  <w:style w:type="table" w:customStyle="1" w:styleId="Mkatabulky1">
    <w:name w:val="Mřížka tabulky1"/>
    <w:basedOn w:val="Normlntabulka"/>
    <w:next w:val="Mkatabulky"/>
    <w:uiPriority w:val="5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26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72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54A7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1D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D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D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D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D6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2018-02-28T07:19:00Z</dcterms:created>
  <dcterms:modified xsi:type="dcterms:W3CDTF">2018-02-28T07:19:00Z</dcterms:modified>
</cp:coreProperties>
</file>