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B8" w:rsidRDefault="000F70B8">
      <w:pPr>
        <w:spacing w:line="14" w:lineRule="exact"/>
      </w:pPr>
    </w:p>
    <w:p w:rsidR="000F70B8" w:rsidRDefault="000F70B8">
      <w:pPr>
        <w:framePr w:wrap="none" w:vAnchor="page" w:hAnchor="page" w:x="10477" w:y="508"/>
      </w:pPr>
    </w:p>
    <w:p w:rsidR="000F70B8" w:rsidRDefault="00117061">
      <w:pPr>
        <w:pStyle w:val="Titulekobrzku0"/>
        <w:framePr w:w="2837" w:h="802" w:hRule="exact" w:wrap="none" w:vAnchor="page" w:hAnchor="page" w:x="2374" w:y="662"/>
        <w:shd w:val="clear" w:color="auto" w:fill="auto"/>
      </w:pPr>
      <w:r>
        <w:t>EVROPSKÁ UNIE</w:t>
      </w:r>
    </w:p>
    <w:p w:rsidR="000F70B8" w:rsidRDefault="00117061">
      <w:pPr>
        <w:pStyle w:val="Titulekobrzku0"/>
        <w:framePr w:w="2837" w:h="802" w:hRule="exact" w:wrap="none" w:vAnchor="page" w:hAnchor="page" w:x="2374" w:y="662"/>
        <w:shd w:val="clear" w:color="auto" w:fill="auto"/>
      </w:pPr>
      <w:r>
        <w:t>Evropský zemědělský fond pro rozvoj venkova Evropa investuje do venkovských oblastí Program rozvoje venkova</w:t>
      </w:r>
    </w:p>
    <w:p w:rsidR="000F70B8" w:rsidRDefault="00117061">
      <w:pPr>
        <w:pStyle w:val="Zkladntext20"/>
        <w:framePr w:wrap="none" w:vAnchor="page" w:hAnchor="page" w:x="1150" w:y="1401"/>
        <w:shd w:val="clear" w:color="auto" w:fill="auto"/>
        <w:spacing w:after="0"/>
        <w:ind w:left="6432"/>
        <w:jc w:val="left"/>
      </w:pPr>
      <w:r>
        <w:t>PROGRAM ROZVOJE VENKOVA</w:t>
      </w:r>
    </w:p>
    <w:p w:rsidR="000F70B8" w:rsidRDefault="00117061">
      <w:pPr>
        <w:pStyle w:val="Nadpis10"/>
        <w:framePr w:w="9672" w:h="1579" w:hRule="exact" w:wrap="none" w:vAnchor="page" w:hAnchor="page" w:x="1150" w:y="1972"/>
        <w:shd w:val="clear" w:color="auto" w:fill="auto"/>
      </w:pPr>
      <w:bookmarkStart w:id="0" w:name="bookmark0"/>
      <w:r>
        <w:t>DODATEK ČÍSLO 1. KE KUPNÍ SMLOUVĚ</w:t>
      </w:r>
      <w:bookmarkEnd w:id="0"/>
    </w:p>
    <w:p w:rsidR="000F70B8" w:rsidRDefault="00117061">
      <w:pPr>
        <w:pStyle w:val="Zkladntext1"/>
        <w:framePr w:w="9672" w:h="1579" w:hRule="exact" w:wrap="none" w:vAnchor="page" w:hAnchor="page" w:x="1150" w:y="1972"/>
        <w:shd w:val="clear" w:color="auto" w:fill="auto"/>
        <w:spacing w:after="260" w:line="240" w:lineRule="auto"/>
        <w:ind w:left="60"/>
        <w:jc w:val="center"/>
      </w:pPr>
      <w:r>
        <w:t xml:space="preserve">uzavřená dle ustanovení § 2079 a násl. Zákona č. 89/2012 Sb., občanský </w:t>
      </w:r>
      <w:r>
        <w:t>zákoník</w:t>
      </w:r>
    </w:p>
    <w:p w:rsidR="000F70B8" w:rsidRDefault="00117061">
      <w:pPr>
        <w:pStyle w:val="Nadpis30"/>
        <w:framePr w:w="9672" w:h="1579" w:hRule="exact" w:wrap="none" w:vAnchor="page" w:hAnchor="page" w:x="1150" w:y="1972"/>
        <w:shd w:val="clear" w:color="auto" w:fill="auto"/>
        <w:spacing w:line="240" w:lineRule="auto"/>
        <w:ind w:left="0"/>
      </w:pPr>
      <w:bookmarkStart w:id="1" w:name="bookmark1"/>
      <w:r>
        <w:t>I.</w:t>
      </w:r>
      <w:bookmarkEnd w:id="1"/>
    </w:p>
    <w:p w:rsidR="000F70B8" w:rsidRDefault="00117061">
      <w:pPr>
        <w:pStyle w:val="Zkladntext1"/>
        <w:framePr w:w="9672" w:h="1579" w:hRule="exact" w:wrap="none" w:vAnchor="page" w:hAnchor="page" w:x="1150" w:y="1972"/>
        <w:shd w:val="clear" w:color="auto" w:fill="auto"/>
        <w:spacing w:line="240" w:lineRule="auto"/>
        <w:jc w:val="center"/>
      </w:pPr>
      <w:r>
        <w:rPr>
          <w:b/>
          <w:bCs/>
        </w:rPr>
        <w:t>Smluvní strany</w:t>
      </w:r>
    </w:p>
    <w:p w:rsidR="000F70B8" w:rsidRDefault="00117061">
      <w:pPr>
        <w:pStyle w:val="Nadpis30"/>
        <w:framePr w:w="9672" w:h="1651" w:hRule="exact" w:wrap="none" w:vAnchor="page" w:hAnchor="page" w:x="1150" w:y="3734"/>
        <w:shd w:val="clear" w:color="auto" w:fill="auto"/>
        <w:ind w:left="720" w:hanging="720"/>
        <w:jc w:val="left"/>
      </w:pPr>
      <w:bookmarkStart w:id="2" w:name="bookmark2"/>
      <w:r>
        <w:t>STROM PRAHA a. s.</w:t>
      </w:r>
      <w:bookmarkEnd w:id="2"/>
    </w:p>
    <w:p w:rsidR="000F70B8" w:rsidRDefault="00117061">
      <w:pPr>
        <w:pStyle w:val="Zkladntext1"/>
        <w:framePr w:w="9672" w:h="1651" w:hRule="exact" w:wrap="none" w:vAnchor="page" w:hAnchor="page" w:x="1150" w:y="3734"/>
        <w:shd w:val="clear" w:color="auto" w:fill="auto"/>
        <w:ind w:left="720" w:hanging="720"/>
      </w:pPr>
      <w:r>
        <w:t>Se sídlem Praha 9 - Vinoř, Lohenická 607, PSČ 190 17</w:t>
      </w:r>
    </w:p>
    <w:p w:rsidR="000F70B8" w:rsidRDefault="00117061">
      <w:pPr>
        <w:pStyle w:val="Zkladntext1"/>
        <w:framePr w:w="9672" w:h="1651" w:hRule="exact" w:wrap="none" w:vAnchor="page" w:hAnchor="page" w:x="1150" w:y="3734"/>
        <w:shd w:val="clear" w:color="auto" w:fill="auto"/>
        <w:ind w:left="720" w:hanging="720"/>
      </w:pPr>
      <w:r>
        <w:t>IČ: 257 51 069, DIČ: CZ25751069</w:t>
      </w:r>
    </w:p>
    <w:p w:rsidR="000F70B8" w:rsidRDefault="00117061">
      <w:pPr>
        <w:pStyle w:val="Zkladntext1"/>
        <w:framePr w:w="9672" w:h="1651" w:hRule="exact" w:wrap="none" w:vAnchor="page" w:hAnchor="page" w:x="1150" w:y="3734"/>
        <w:shd w:val="clear" w:color="auto" w:fill="auto"/>
        <w:ind w:left="720" w:hanging="720"/>
      </w:pPr>
      <w:r>
        <w:t>bankovní spojení: KB a.s., číslo účtu: 107-4022700217/0100</w:t>
      </w:r>
    </w:p>
    <w:p w:rsidR="000F70B8" w:rsidRDefault="00117061">
      <w:pPr>
        <w:pStyle w:val="Zkladntext1"/>
        <w:framePr w:w="9672" w:h="1651" w:hRule="exact" w:wrap="none" w:vAnchor="page" w:hAnchor="page" w:x="1150" w:y="3734"/>
        <w:shd w:val="clear" w:color="auto" w:fill="auto"/>
        <w:ind w:left="720" w:hanging="720"/>
      </w:pPr>
      <w:r>
        <w:t xml:space="preserve">Společnost je zapsána v </w:t>
      </w:r>
      <w:r>
        <w:rPr>
          <w:lang w:val="en-US" w:eastAsia="en-US" w:bidi="en-US"/>
        </w:rPr>
        <w:t xml:space="preserve">OR </w:t>
      </w:r>
      <w:r>
        <w:t>vedeném MS v Praze, oddíl B, vložka 5866</w:t>
      </w:r>
    </w:p>
    <w:p w:rsidR="000F70B8" w:rsidRDefault="00117061">
      <w:pPr>
        <w:pStyle w:val="Zkladntext1"/>
        <w:framePr w:w="9672" w:h="1651" w:hRule="exact" w:wrap="none" w:vAnchor="page" w:hAnchor="page" w:x="1150" w:y="3734"/>
        <w:shd w:val="clear" w:color="auto" w:fill="auto"/>
        <w:ind w:right="1820"/>
      </w:pPr>
      <w:r>
        <w:t xml:space="preserve">zastoupena: Ing.Jiřím Sopouškem a Ing.Antonínem Weishauptem, místopředsedy představenstva </w:t>
      </w:r>
      <w:r>
        <w:rPr>
          <w:b/>
          <w:bCs/>
        </w:rPr>
        <w:t>(dále jen „prodávající“)</w:t>
      </w:r>
    </w:p>
    <w:p w:rsidR="000F70B8" w:rsidRDefault="00117061">
      <w:pPr>
        <w:pStyle w:val="Zkladntext1"/>
        <w:framePr w:w="9672" w:h="1877" w:hRule="exact" w:wrap="none" w:vAnchor="page" w:hAnchor="page" w:x="1150" w:y="5582"/>
        <w:shd w:val="clear" w:color="auto" w:fill="auto"/>
        <w:spacing w:line="240" w:lineRule="auto"/>
        <w:jc w:val="center"/>
      </w:pPr>
      <w:r>
        <w:t>a</w:t>
      </w:r>
    </w:p>
    <w:p w:rsidR="000F70B8" w:rsidRDefault="00117061">
      <w:pPr>
        <w:pStyle w:val="Zkladntext1"/>
        <w:framePr w:w="9672" w:h="1877" w:hRule="exact" w:wrap="none" w:vAnchor="page" w:hAnchor="page" w:x="1150" w:y="5582"/>
        <w:shd w:val="clear" w:color="auto" w:fill="auto"/>
        <w:spacing w:line="240" w:lineRule="auto"/>
        <w:ind w:left="720" w:hanging="720"/>
      </w:pPr>
      <w:r>
        <w:rPr>
          <w:b/>
          <w:bCs/>
        </w:rPr>
        <w:t>Lesy města Dvůr Králové nad Labem s.r.o.</w:t>
      </w:r>
    </w:p>
    <w:p w:rsidR="000F70B8" w:rsidRDefault="00117061">
      <w:pPr>
        <w:pStyle w:val="Zkladntext1"/>
        <w:framePr w:w="9672" w:h="1877" w:hRule="exact" w:wrap="none" w:vAnchor="page" w:hAnchor="page" w:x="1150" w:y="5582"/>
        <w:shd w:val="clear" w:color="auto" w:fill="auto"/>
        <w:spacing w:line="240" w:lineRule="auto"/>
        <w:ind w:left="720" w:hanging="720"/>
      </w:pPr>
      <w:r>
        <w:t>Se sídlem Raisova 2824, Dvůr Králové nad Labem, PSČ 544 01</w:t>
      </w:r>
    </w:p>
    <w:p w:rsidR="000F70B8" w:rsidRDefault="00117061">
      <w:pPr>
        <w:pStyle w:val="Zkladntext1"/>
        <w:framePr w:w="9672" w:h="1877" w:hRule="exact" w:wrap="none" w:vAnchor="page" w:hAnchor="page" w:x="1150" w:y="5582"/>
        <w:shd w:val="clear" w:color="auto" w:fill="auto"/>
        <w:spacing w:line="240" w:lineRule="auto"/>
        <w:ind w:left="720" w:hanging="720"/>
      </w:pPr>
      <w:r>
        <w:t>IČ: 27553884, DIČ:CZ27553884</w:t>
      </w:r>
    </w:p>
    <w:p w:rsidR="000F70B8" w:rsidRDefault="00117061">
      <w:pPr>
        <w:pStyle w:val="Zkladntext1"/>
        <w:framePr w:w="9672" w:h="1877" w:hRule="exact" w:wrap="none" w:vAnchor="page" w:hAnchor="page" w:x="1150" w:y="5582"/>
        <w:shd w:val="clear" w:color="auto" w:fill="auto"/>
        <w:spacing w:line="240" w:lineRule="auto"/>
        <w:ind w:right="1820"/>
      </w:pPr>
      <w:r>
        <w:t xml:space="preserve">bankovní spojení: Československá obchodní banka, a.s., číslo účtu: 226038589/0300 Společnost je zapsána v </w:t>
      </w:r>
      <w:r>
        <w:rPr>
          <w:lang w:val="en-US" w:eastAsia="en-US" w:bidi="en-US"/>
        </w:rPr>
        <w:t xml:space="preserve">OR </w:t>
      </w:r>
      <w:r>
        <w:t>vedeném KS v Hradci Králové, oddíl C, vložka 25764 jednající: Ing. Petr Tepera, jednatel</w:t>
      </w:r>
    </w:p>
    <w:p w:rsidR="000F70B8" w:rsidRDefault="00117061">
      <w:pPr>
        <w:pStyle w:val="Zkladntext1"/>
        <w:framePr w:w="9672" w:h="1877" w:hRule="exact" w:wrap="none" w:vAnchor="page" w:hAnchor="page" w:x="1150" w:y="5582"/>
        <w:shd w:val="clear" w:color="auto" w:fill="auto"/>
        <w:spacing w:line="240" w:lineRule="auto"/>
        <w:ind w:left="720" w:hanging="720"/>
      </w:pPr>
      <w:r>
        <w:rPr>
          <w:b/>
          <w:bCs/>
        </w:rPr>
        <w:t>(dále jen „kupující“)</w:t>
      </w:r>
    </w:p>
    <w:p w:rsidR="000F70B8" w:rsidRDefault="00117061">
      <w:pPr>
        <w:pStyle w:val="Nadpis30"/>
        <w:framePr w:w="9672" w:h="1181" w:hRule="exact" w:wrap="none" w:vAnchor="page" w:hAnchor="page" w:x="1150" w:y="7660"/>
        <w:shd w:val="clear" w:color="auto" w:fill="auto"/>
        <w:ind w:left="80"/>
      </w:pPr>
      <w:bookmarkStart w:id="3" w:name="bookmark3"/>
      <w:r>
        <w:t>II.</w:t>
      </w:r>
      <w:bookmarkEnd w:id="3"/>
    </w:p>
    <w:p w:rsidR="000F70B8" w:rsidRDefault="00117061">
      <w:pPr>
        <w:pStyle w:val="Zkladntext1"/>
        <w:framePr w:w="9672" w:h="1181" w:hRule="exact" w:wrap="none" w:vAnchor="page" w:hAnchor="page" w:x="1150" w:y="7660"/>
        <w:shd w:val="clear" w:color="auto" w:fill="auto"/>
        <w:ind w:left="80"/>
        <w:jc w:val="center"/>
      </w:pPr>
      <w:r>
        <w:rPr>
          <w:b/>
          <w:bCs/>
        </w:rPr>
        <w:t>Preambule</w:t>
      </w:r>
    </w:p>
    <w:p w:rsidR="000F70B8" w:rsidRDefault="00117061">
      <w:pPr>
        <w:pStyle w:val="Zkladntext1"/>
        <w:framePr w:w="9672" w:h="1181" w:hRule="exact" w:wrap="none" w:vAnchor="page" w:hAnchor="page" w:x="1150" w:y="7660"/>
        <w:shd w:val="clear" w:color="auto" w:fill="auto"/>
        <w:jc w:val="both"/>
      </w:pPr>
      <w:r>
        <w:t>Prodávající a kupující</w:t>
      </w:r>
      <w:r>
        <w:t xml:space="preserve"> se dohodli na následujícím Dodatku číslo 1. (dále jen Dodatek) ke Kupní smlouvě na dodávku 1 ks kolového traktoru JOHN DEERE 5090M (2018) uzavřené mezi oběma stranami ze dne 30.11.2017 (dále jen Kupní smlouva). Tímto Dodatkem se doplňují a upřesňují jedno</w:t>
      </w:r>
      <w:r>
        <w:t>tlivá ustanovení dané Kupní smlouvy.</w:t>
      </w:r>
    </w:p>
    <w:p w:rsidR="000F70B8" w:rsidRDefault="00117061">
      <w:pPr>
        <w:pStyle w:val="Nadpis30"/>
        <w:framePr w:w="9672" w:h="3984" w:hRule="exact" w:wrap="none" w:vAnchor="page" w:hAnchor="page" w:x="1150" w:y="9273"/>
        <w:shd w:val="clear" w:color="auto" w:fill="auto"/>
        <w:spacing w:line="257" w:lineRule="auto"/>
        <w:ind w:left="80"/>
      </w:pPr>
      <w:bookmarkStart w:id="4" w:name="bookmark4"/>
      <w:r>
        <w:t>III.</w:t>
      </w:r>
      <w:bookmarkEnd w:id="4"/>
    </w:p>
    <w:p w:rsidR="000F70B8" w:rsidRDefault="00117061">
      <w:pPr>
        <w:pStyle w:val="Zkladntext1"/>
        <w:framePr w:w="9672" w:h="3984" w:hRule="exact" w:wrap="none" w:vAnchor="page" w:hAnchor="page" w:x="1150" w:y="9273"/>
        <w:shd w:val="clear" w:color="auto" w:fill="auto"/>
        <w:spacing w:line="257" w:lineRule="auto"/>
        <w:ind w:left="80"/>
        <w:jc w:val="center"/>
      </w:pPr>
      <w:r>
        <w:rPr>
          <w:b/>
          <w:bCs/>
        </w:rPr>
        <w:t>Předmět dohody</w:t>
      </w:r>
    </w:p>
    <w:p w:rsidR="000F70B8" w:rsidRDefault="00117061">
      <w:pPr>
        <w:pStyle w:val="Zkladntext1"/>
        <w:framePr w:w="9672" w:h="3984" w:hRule="exact" w:wrap="none" w:vAnchor="page" w:hAnchor="page" w:x="1150" w:y="9273"/>
        <w:shd w:val="clear" w:color="auto" w:fill="auto"/>
        <w:spacing w:line="257" w:lineRule="auto"/>
        <w:ind w:left="720" w:hanging="720"/>
      </w:pPr>
      <w:r>
        <w:t>Kupující a prodávající se dohodli že:</w:t>
      </w:r>
    </w:p>
    <w:p w:rsidR="000F70B8" w:rsidRDefault="00117061">
      <w:pPr>
        <w:pStyle w:val="Zkladntext1"/>
        <w:framePr w:w="9672" w:h="3984" w:hRule="exact" w:wrap="none" w:vAnchor="page" w:hAnchor="page" w:x="1150" w:y="9273"/>
        <w:numPr>
          <w:ilvl w:val="0"/>
          <w:numId w:val="1"/>
        </w:numPr>
        <w:shd w:val="clear" w:color="auto" w:fill="auto"/>
        <w:tabs>
          <w:tab w:val="left" w:pos="706"/>
        </w:tabs>
        <w:spacing w:line="257" w:lineRule="auto"/>
        <w:ind w:left="720" w:hanging="720"/>
      </w:pPr>
      <w:r>
        <w:t xml:space="preserve">Prodávající zajistí, aby dodávaný kolový traktor JOHN DEERE 5090M (2018) splňoval požadavky kladené na kategorii „lesnická nástavba traktoru“ tak jak ukládají </w:t>
      </w:r>
      <w:r>
        <w:t>podmínky SZIF.</w:t>
      </w:r>
    </w:p>
    <w:p w:rsidR="000F70B8" w:rsidRDefault="00117061">
      <w:pPr>
        <w:pStyle w:val="Zkladntext1"/>
        <w:framePr w:w="9672" w:h="3984" w:hRule="exact" w:wrap="none" w:vAnchor="page" w:hAnchor="page" w:x="1150" w:y="9273"/>
        <w:shd w:val="clear" w:color="auto" w:fill="auto"/>
        <w:spacing w:line="257" w:lineRule="auto"/>
        <w:ind w:left="720" w:firstLine="20"/>
        <w:jc w:val="both"/>
      </w:pPr>
      <w:r>
        <w:t>Prodávající zajistí plnění tohoto požadavku montáží lesnické nástavby traktoru schváleného typu a zajistí zápis této nástavby do technického průkazu vozidla.</w:t>
      </w:r>
    </w:p>
    <w:p w:rsidR="000F70B8" w:rsidRDefault="00117061">
      <w:pPr>
        <w:pStyle w:val="Zkladntext1"/>
        <w:framePr w:w="9672" w:h="3984" w:hRule="exact" w:wrap="none" w:vAnchor="page" w:hAnchor="page" w:x="1150" w:y="9273"/>
        <w:numPr>
          <w:ilvl w:val="0"/>
          <w:numId w:val="1"/>
        </w:numPr>
        <w:shd w:val="clear" w:color="auto" w:fill="auto"/>
        <w:tabs>
          <w:tab w:val="left" w:pos="706"/>
        </w:tabs>
        <w:spacing w:line="257" w:lineRule="auto"/>
        <w:ind w:left="720" w:hanging="720"/>
      </w:pPr>
      <w:r>
        <w:t>Lesnická nástavba traktoru bude obsahovat:</w:t>
      </w:r>
    </w:p>
    <w:p w:rsidR="000F70B8" w:rsidRDefault="00117061">
      <w:pPr>
        <w:pStyle w:val="Zkladntext1"/>
        <w:framePr w:w="9672" w:h="3984" w:hRule="exact" w:wrap="none" w:vAnchor="page" w:hAnchor="page" w:x="1150" w:y="9273"/>
        <w:shd w:val="clear" w:color="auto" w:fill="auto"/>
        <w:spacing w:line="257" w:lineRule="auto"/>
        <w:ind w:left="1160" w:right="6460"/>
      </w:pPr>
      <w:r>
        <w:t xml:space="preserve">ochranný rám kabiny ochrana skel kabiny </w:t>
      </w:r>
      <w:r>
        <w:t>ochranná vana podvozku ochrana nádrže traktoru ochrana výfuku traktoru</w:t>
      </w:r>
    </w:p>
    <w:p w:rsidR="000F70B8" w:rsidRDefault="00117061">
      <w:pPr>
        <w:pStyle w:val="Zkladntext1"/>
        <w:framePr w:w="9672" w:h="3984" w:hRule="exact" w:wrap="none" w:vAnchor="page" w:hAnchor="page" w:x="1150" w:y="9273"/>
        <w:numPr>
          <w:ilvl w:val="0"/>
          <w:numId w:val="1"/>
        </w:numPr>
        <w:shd w:val="clear" w:color="auto" w:fill="auto"/>
        <w:tabs>
          <w:tab w:val="left" w:pos="706"/>
        </w:tabs>
        <w:spacing w:line="257" w:lineRule="auto"/>
        <w:ind w:left="720" w:hanging="720"/>
        <w:jc w:val="both"/>
      </w:pPr>
      <w:r>
        <w:t xml:space="preserve">Kupující a prodávající se dohodli, že technická změna uvedená v odstavci 2.1, má vliv na kupní cenu a to na jejím navýšení ve výši 82 000,- Kč + DPH. O tuto částku bude navýšena kupní </w:t>
      </w:r>
      <w:r>
        <w:t>cena, a to na celkovou částku 1 472 000,- Kč + DPH. Částka 82 000,-Kč + DPH bude kupujícím uhrazena z vlastních zdrojů a není předmětem dotace. Předmětem dotace je původní kupní cena a ta činní 1 390 000,- Kč.</w:t>
      </w:r>
    </w:p>
    <w:p w:rsidR="000F70B8" w:rsidRDefault="00117061">
      <w:pPr>
        <w:pStyle w:val="Nadpis30"/>
        <w:framePr w:w="9672" w:h="1190" w:hRule="exact" w:wrap="none" w:vAnchor="page" w:hAnchor="page" w:x="1150" w:y="13804"/>
        <w:shd w:val="clear" w:color="auto" w:fill="auto"/>
        <w:spacing w:line="257" w:lineRule="auto"/>
        <w:ind w:left="80"/>
      </w:pPr>
      <w:bookmarkStart w:id="5" w:name="bookmark5"/>
      <w:r>
        <w:t>IV.</w:t>
      </w:r>
      <w:bookmarkEnd w:id="5"/>
    </w:p>
    <w:p w:rsidR="000F70B8" w:rsidRDefault="00117061">
      <w:pPr>
        <w:pStyle w:val="Zkladntext1"/>
        <w:framePr w:w="9672" w:h="1190" w:hRule="exact" w:wrap="none" w:vAnchor="page" w:hAnchor="page" w:x="1150" w:y="13804"/>
        <w:shd w:val="clear" w:color="auto" w:fill="auto"/>
        <w:spacing w:line="257" w:lineRule="auto"/>
        <w:ind w:left="80"/>
        <w:jc w:val="center"/>
      </w:pPr>
      <w:r>
        <w:rPr>
          <w:b/>
          <w:bCs/>
        </w:rPr>
        <w:t>Závěrečná ujednání</w:t>
      </w:r>
    </w:p>
    <w:p w:rsidR="000F70B8" w:rsidRDefault="00117061">
      <w:pPr>
        <w:pStyle w:val="Zkladntext1"/>
        <w:framePr w:w="9672" w:h="1190" w:hRule="exact" w:wrap="none" w:vAnchor="page" w:hAnchor="page" w:x="1150" w:y="13804"/>
        <w:shd w:val="clear" w:color="auto" w:fill="auto"/>
        <w:spacing w:line="257" w:lineRule="auto"/>
        <w:ind w:left="720" w:hanging="720"/>
        <w:jc w:val="both"/>
      </w:pPr>
      <w:r>
        <w:t>5.1 Tento Dodatek je vy</w:t>
      </w:r>
      <w:r>
        <w:t>hotoven ve dvou výtiscích v českém jazyce, z nichž každý z účastníků obdrží jeden stejnopis. Ustanovení této smlouvy mohou být měněna pouze na základě vzestupně číslovaných písemných dodatků, potvrzených oběma smluvními stranami. Dodatky tvoří nedílnou sou</w:t>
      </w:r>
      <w:r>
        <w:t>část Kupní smlouvy.</w:t>
      </w:r>
    </w:p>
    <w:p w:rsidR="000F70B8" w:rsidRDefault="00117061">
      <w:pPr>
        <w:pStyle w:val="Zhlavnebozpat0"/>
        <w:framePr w:wrap="none" w:vAnchor="page" w:hAnchor="page" w:x="5873" w:y="15796"/>
        <w:shd w:val="clear" w:color="auto" w:fill="auto"/>
      </w:pPr>
      <w:r>
        <w:t>1</w:t>
      </w:r>
    </w:p>
    <w:p w:rsidR="000F70B8" w:rsidRDefault="00117061">
      <w:pPr>
        <w:spacing w:line="14" w:lineRule="exact"/>
        <w:sectPr w:rsidR="000F70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370840</wp:posOffset>
            </wp:positionV>
            <wp:extent cx="774065" cy="5854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5692140</wp:posOffset>
            </wp:positionH>
            <wp:positionV relativeFrom="page">
              <wp:posOffset>425450</wp:posOffset>
            </wp:positionV>
            <wp:extent cx="1182370" cy="3721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823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0B8" w:rsidRDefault="000F70B8">
      <w:pPr>
        <w:spacing w:line="14" w:lineRule="exact"/>
      </w:pPr>
    </w:p>
    <w:p w:rsidR="000F70B8" w:rsidRDefault="000F70B8">
      <w:pPr>
        <w:framePr w:wrap="none" w:vAnchor="page" w:hAnchor="page" w:x="10508" w:y="508"/>
      </w:pPr>
    </w:p>
    <w:p w:rsidR="000F70B8" w:rsidRDefault="00117061">
      <w:pPr>
        <w:pStyle w:val="Titulekobrzku0"/>
        <w:framePr w:w="2846" w:h="797" w:hRule="exact" w:wrap="none" w:vAnchor="page" w:hAnchor="page" w:x="2401" w:y="671"/>
        <w:shd w:val="clear" w:color="auto" w:fill="auto"/>
      </w:pPr>
      <w:r>
        <w:t>EVROPSKÁ UNIE</w:t>
      </w:r>
    </w:p>
    <w:p w:rsidR="000F70B8" w:rsidRDefault="00117061">
      <w:pPr>
        <w:pStyle w:val="Titulekobrzku0"/>
        <w:framePr w:w="2846" w:h="797" w:hRule="exact" w:wrap="none" w:vAnchor="page" w:hAnchor="page" w:x="2401" w:y="671"/>
        <w:shd w:val="clear" w:color="auto" w:fill="auto"/>
      </w:pPr>
      <w:r>
        <w:t>Evropský zemědělský fond pro rozvoj venkova Evropa investuje do venkovských oblasti Program rozvoje venkova</w:t>
      </w:r>
    </w:p>
    <w:p w:rsidR="000F70B8" w:rsidRDefault="00117061">
      <w:pPr>
        <w:pStyle w:val="Titulekobrzku0"/>
        <w:framePr w:wrap="none" w:vAnchor="page" w:hAnchor="page" w:x="7613" w:y="1401"/>
        <w:shd w:val="clear" w:color="auto" w:fill="auto"/>
        <w:spacing w:line="240" w:lineRule="auto"/>
        <w:rPr>
          <w:sz w:val="15"/>
          <w:szCs w:val="15"/>
        </w:rPr>
      </w:pPr>
      <w:r>
        <w:rPr>
          <w:sz w:val="15"/>
          <w:szCs w:val="15"/>
        </w:rPr>
        <w:t>PROGRAM ROZVOJE VENKOVA</w:t>
      </w:r>
    </w:p>
    <w:p w:rsidR="000F70B8" w:rsidRDefault="00117061">
      <w:pPr>
        <w:pStyle w:val="Zkladntext1"/>
        <w:framePr w:w="9552" w:h="2818" w:hRule="exact" w:wrap="none" w:vAnchor="page" w:hAnchor="page" w:x="1210" w:y="1771"/>
        <w:numPr>
          <w:ilvl w:val="0"/>
          <w:numId w:val="2"/>
        </w:numPr>
        <w:shd w:val="clear" w:color="auto" w:fill="auto"/>
        <w:tabs>
          <w:tab w:val="left" w:pos="696"/>
        </w:tabs>
        <w:ind w:left="700" w:hanging="700"/>
        <w:jc w:val="both"/>
      </w:pPr>
      <w:r>
        <w:t xml:space="preserve">Tato smlouva se řídí právem České republiky. Vztahy </w:t>
      </w:r>
      <w:r>
        <w:t>neupravené touto smlouvou se řídí ustanoveními zákona č. 89/2012 Sb., občanský zákoník v platném znění a právními předpisy souvisejícími.</w:t>
      </w:r>
    </w:p>
    <w:p w:rsidR="000F70B8" w:rsidRDefault="00117061">
      <w:pPr>
        <w:pStyle w:val="Zkladntext1"/>
        <w:framePr w:w="9552" w:h="2818" w:hRule="exact" w:wrap="none" w:vAnchor="page" w:hAnchor="page" w:x="1210" w:y="1771"/>
        <w:numPr>
          <w:ilvl w:val="0"/>
          <w:numId w:val="2"/>
        </w:numPr>
        <w:shd w:val="clear" w:color="auto" w:fill="auto"/>
        <w:tabs>
          <w:tab w:val="left" w:pos="696"/>
        </w:tabs>
        <w:ind w:left="700" w:hanging="700"/>
        <w:jc w:val="both"/>
      </w:pPr>
      <w:r>
        <w:t>Přílohy této smlouvy tvoří její nedílnou součást.</w:t>
      </w:r>
    </w:p>
    <w:p w:rsidR="000F70B8" w:rsidRDefault="00117061">
      <w:pPr>
        <w:pStyle w:val="Zkladntext1"/>
        <w:framePr w:w="9552" w:h="2818" w:hRule="exact" w:wrap="none" w:vAnchor="page" w:hAnchor="page" w:x="1210" w:y="1771"/>
        <w:numPr>
          <w:ilvl w:val="0"/>
          <w:numId w:val="2"/>
        </w:numPr>
        <w:shd w:val="clear" w:color="auto" w:fill="auto"/>
        <w:tabs>
          <w:tab w:val="left" w:pos="696"/>
        </w:tabs>
        <w:ind w:left="700" w:hanging="700"/>
        <w:jc w:val="both"/>
      </w:pPr>
      <w:r>
        <w:t>Ustanovení této smlouvy jsou oddělitelná. Bude-li nějaké ustanovení,</w:t>
      </w:r>
      <w:r>
        <w:t xml:space="preserve"> popř. jeho část v této smlouvě zcela nebo zčásti nicotné či neplatné či nevynutitelné, zůstává účinnost ostatních ustanovení, popř. jejich částí nedotčena a strany se pro ten případ zavazují nahradit nicotné či neplatné či nevynutitelné ustanovení novým u</w:t>
      </w:r>
      <w:r>
        <w:t>stanovením, které bude platné a vynutitelné a co do obsahu co nejbližší původnímu ustanovení.</w:t>
      </w:r>
    </w:p>
    <w:p w:rsidR="000F70B8" w:rsidRDefault="00117061">
      <w:pPr>
        <w:pStyle w:val="Zkladntext1"/>
        <w:framePr w:w="9552" w:h="2818" w:hRule="exact" w:wrap="none" w:vAnchor="page" w:hAnchor="page" w:x="1210" w:y="1771"/>
        <w:numPr>
          <w:ilvl w:val="0"/>
          <w:numId w:val="2"/>
        </w:numPr>
        <w:shd w:val="clear" w:color="auto" w:fill="auto"/>
        <w:tabs>
          <w:tab w:val="left" w:pos="696"/>
        </w:tabs>
        <w:ind w:left="700" w:hanging="700"/>
        <w:jc w:val="both"/>
      </w:pPr>
      <w:r>
        <w:t>Zásilky zaslané jednou stranou druhé straně doporučenou poštou na adresu trvalého bydliště nebo adresu sídla uvedenou v obchodním rejstříku nebo jiné podobné evid</w:t>
      </w:r>
      <w:r>
        <w:t>enci, nebo adresy uvedené v záhlaví této smlouvy nebo později písemně oznámené pro účely doručování, se v případě, že se vrátí odesílateli jako nedoručené, považují za doručené třetím dnem po odeslání adresátovi.</w:t>
      </w:r>
    </w:p>
    <w:p w:rsidR="000F70B8" w:rsidRDefault="00117061">
      <w:pPr>
        <w:pStyle w:val="Zkladntext1"/>
        <w:framePr w:w="9552" w:h="2818" w:hRule="exact" w:wrap="none" w:vAnchor="page" w:hAnchor="page" w:x="1210" w:y="1771"/>
        <w:numPr>
          <w:ilvl w:val="0"/>
          <w:numId w:val="2"/>
        </w:numPr>
        <w:shd w:val="clear" w:color="auto" w:fill="auto"/>
        <w:tabs>
          <w:tab w:val="left" w:pos="696"/>
        </w:tabs>
        <w:ind w:left="700" w:hanging="700"/>
        <w:jc w:val="both"/>
      </w:pPr>
      <w:r>
        <w:t>Smlouva nabývá platnosti podpisem obou smlu</w:t>
      </w:r>
      <w:r>
        <w:t>vních stran.</w:t>
      </w:r>
    </w:p>
    <w:p w:rsidR="000F70B8" w:rsidRDefault="00117061">
      <w:pPr>
        <w:pStyle w:val="Titulekobrzku0"/>
        <w:framePr w:wrap="none" w:vAnchor="page" w:hAnchor="page" w:x="2492" w:y="5006"/>
        <w:shd w:val="clear" w:color="auto" w:fill="auto"/>
        <w:spacing w:line="240" w:lineRule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dne</w:t>
      </w:r>
    </w:p>
    <w:p w:rsidR="000F70B8" w:rsidRDefault="000F70B8">
      <w:pPr>
        <w:framePr w:wrap="none" w:vAnchor="page" w:hAnchor="page" w:x="2876" w:y="4862"/>
      </w:pPr>
    </w:p>
    <w:p w:rsidR="000F70B8" w:rsidRDefault="00117061">
      <w:pPr>
        <w:pStyle w:val="Zkladntext1"/>
        <w:framePr w:wrap="none" w:vAnchor="page" w:hAnchor="page" w:x="3538" w:y="5001"/>
        <w:pBdr>
          <w:bottom w:val="single" w:sz="4" w:space="0" w:color="auto"/>
        </w:pBdr>
        <w:shd w:val="clear" w:color="auto" w:fill="auto"/>
        <w:spacing w:line="240" w:lineRule="auto"/>
      </w:pPr>
      <w:r>
        <w:t>ty</w:t>
      </w:r>
    </w:p>
    <w:p w:rsidR="000F70B8" w:rsidRDefault="000F70B8">
      <w:pPr>
        <w:framePr w:wrap="none" w:vAnchor="page" w:hAnchor="page" w:x="3682" w:y="4852"/>
      </w:pPr>
    </w:p>
    <w:p w:rsidR="000F70B8" w:rsidRDefault="00117061">
      <w:pPr>
        <w:pStyle w:val="Titulekobrzku0"/>
        <w:framePr w:wrap="none" w:vAnchor="page" w:hAnchor="page" w:x="2026" w:y="6619"/>
        <w:shd w:val="clear" w:color="auto" w:fill="auto"/>
        <w:spacing w:line="240" w:lineRule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Prodávající</w:t>
      </w:r>
    </w:p>
    <w:p w:rsidR="000F70B8" w:rsidRDefault="00117061">
      <w:pPr>
        <w:pStyle w:val="Zkladntext30"/>
        <w:framePr w:w="2765" w:h="979" w:hRule="exact" w:wrap="none" w:vAnchor="page" w:hAnchor="page" w:x="2612" w:y="7214"/>
        <w:shd w:val="clear" w:color="auto" w:fill="auto"/>
        <w:tabs>
          <w:tab w:val="left" w:pos="2549"/>
        </w:tabs>
      </w:pPr>
      <w:r>
        <w:tab/>
      </w:r>
    </w:p>
    <w:p w:rsidR="000F70B8" w:rsidRDefault="000F70B8">
      <w:pPr>
        <w:pStyle w:val="Zkladntext1"/>
        <w:framePr w:w="2472" w:h="1277" w:hRule="exact" w:wrap="none" w:vAnchor="page" w:hAnchor="page" w:x="7532" w:y="5611"/>
        <w:shd w:val="clear" w:color="auto" w:fill="auto"/>
        <w:spacing w:after="260" w:line="240" w:lineRule="auto"/>
        <w:jc w:val="center"/>
      </w:pPr>
    </w:p>
    <w:p w:rsidR="00FB2461" w:rsidRDefault="00FB2461">
      <w:pPr>
        <w:pStyle w:val="Zkladntext1"/>
        <w:framePr w:w="2472" w:h="1277" w:hRule="exact" w:wrap="none" w:vAnchor="page" w:hAnchor="page" w:x="7532" w:y="5611"/>
        <w:shd w:val="clear" w:color="auto" w:fill="auto"/>
        <w:spacing w:line="209" w:lineRule="auto"/>
        <w:ind w:left="1200" w:firstLine="20"/>
      </w:pPr>
    </w:p>
    <w:p w:rsidR="00FB2461" w:rsidRDefault="00FB2461">
      <w:pPr>
        <w:pStyle w:val="Zkladntext1"/>
        <w:framePr w:w="2472" w:h="1277" w:hRule="exact" w:wrap="none" w:vAnchor="page" w:hAnchor="page" w:x="7532" w:y="5611"/>
        <w:shd w:val="clear" w:color="auto" w:fill="auto"/>
        <w:spacing w:line="209" w:lineRule="auto"/>
        <w:ind w:left="1200" w:firstLine="20"/>
      </w:pPr>
    </w:p>
    <w:p w:rsidR="00FB2461" w:rsidRDefault="00FB2461">
      <w:pPr>
        <w:pStyle w:val="Zkladntext1"/>
        <w:framePr w:w="2472" w:h="1277" w:hRule="exact" w:wrap="none" w:vAnchor="page" w:hAnchor="page" w:x="7532" w:y="5611"/>
        <w:shd w:val="clear" w:color="auto" w:fill="auto"/>
        <w:spacing w:line="209" w:lineRule="auto"/>
        <w:ind w:left="1200" w:firstLine="20"/>
      </w:pPr>
    </w:p>
    <w:p w:rsidR="000F70B8" w:rsidRDefault="00117061">
      <w:pPr>
        <w:pStyle w:val="Zkladntext1"/>
        <w:framePr w:w="2472" w:h="1277" w:hRule="exact" w:wrap="none" w:vAnchor="page" w:hAnchor="page" w:x="7532" w:y="5611"/>
        <w:shd w:val="clear" w:color="auto" w:fill="auto"/>
        <w:spacing w:line="209" w:lineRule="auto"/>
        <w:ind w:left="1200" w:firstLine="20"/>
      </w:pPr>
      <w:r>
        <w:t>Kupující</w:t>
      </w:r>
    </w:p>
    <w:p w:rsidR="000F70B8" w:rsidRDefault="00117061">
      <w:pPr>
        <w:pStyle w:val="Zhlavnebozpat0"/>
        <w:framePr w:wrap="none" w:vAnchor="page" w:hAnchor="page" w:x="5895" w:y="15801"/>
        <w:shd w:val="clear" w:color="auto" w:fill="auto"/>
      </w:pPr>
      <w:r>
        <w:t>2</w:t>
      </w:r>
    </w:p>
    <w:p w:rsidR="000F70B8" w:rsidRDefault="00117061">
      <w:pPr>
        <w:spacing w:line="14" w:lineRule="exact"/>
      </w:pPr>
      <w:bookmarkStart w:id="6" w:name="_GoBack"/>
      <w:bookmarkEnd w:id="6"/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374015</wp:posOffset>
            </wp:positionV>
            <wp:extent cx="774065" cy="59118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7406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5553075</wp:posOffset>
            </wp:positionH>
            <wp:positionV relativeFrom="page">
              <wp:posOffset>425450</wp:posOffset>
            </wp:positionV>
            <wp:extent cx="1341120" cy="3721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411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3101975</wp:posOffset>
            </wp:positionV>
            <wp:extent cx="762000" cy="2374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620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4892040</wp:posOffset>
            </wp:positionH>
            <wp:positionV relativeFrom="page">
              <wp:posOffset>3044190</wp:posOffset>
            </wp:positionV>
            <wp:extent cx="1840865" cy="29845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4086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0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61" w:rsidRDefault="00117061">
      <w:r>
        <w:separator/>
      </w:r>
    </w:p>
  </w:endnote>
  <w:endnote w:type="continuationSeparator" w:id="0">
    <w:p w:rsidR="00117061" w:rsidRDefault="001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61" w:rsidRDefault="00117061"/>
  </w:footnote>
  <w:footnote w:type="continuationSeparator" w:id="0">
    <w:p w:rsidR="00117061" w:rsidRDefault="001170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08"/>
    <w:multiLevelType w:val="multilevel"/>
    <w:tmpl w:val="DBD4F7C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04F05"/>
    <w:multiLevelType w:val="multilevel"/>
    <w:tmpl w:val="782825D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B8"/>
    <w:rsid w:val="000F70B8"/>
    <w:rsid w:val="00117061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A083-EBB2-4A43-AD7B-B52FC12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8" w:lineRule="auto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ind w:left="140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80" w:hanging="28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i/>
      <w:iCs/>
      <w:sz w:val="32"/>
      <w:szCs w:val="32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2018-02-27T09:19:00Z</dcterms:created>
  <dcterms:modified xsi:type="dcterms:W3CDTF">2018-02-27T09:21:00Z</dcterms:modified>
</cp:coreProperties>
</file>