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1976120</wp:posOffset>
            </wp:positionH>
            <wp:positionV relativeFrom="page">
              <wp:posOffset>442595</wp:posOffset>
            </wp:positionV>
            <wp:extent cx="3886200" cy="4318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593" w:after="0" w:line="240" w:lineRule="auto"/>
        <w:ind w:left="29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DODATEK č. </w:t>
      </w:r>
      <w:r w:rsidR="00B17876">
        <w:rPr>
          <w:rFonts w:ascii="Arial" w:hAnsi="Arial" w:cs="Arial"/>
          <w:b/>
          <w:bCs/>
          <w:color w:val="000000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KE SMLOUVĚ O OPERATIVNÍM LEASINGU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6" w:after="0" w:line="240" w:lineRule="auto"/>
        <w:ind w:left="58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55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08346B">
        <w:rPr>
          <w:rFonts w:ascii="Arial" w:hAnsi="Arial" w:cs="Arial"/>
          <w:b/>
          <w:bCs/>
          <w:color w:val="000000"/>
          <w:sz w:val="20"/>
          <w:szCs w:val="20"/>
        </w:rPr>
        <w:t>835398</w:t>
      </w:r>
    </w:p>
    <w:p w:rsidR="0024006A" w:rsidRDefault="0024006A" w:rsidP="0024006A">
      <w:pPr>
        <w:widowControl w:val="0"/>
        <w:autoSpaceDE w:val="0"/>
        <w:autoSpaceDN w:val="0"/>
        <w:adjustRightInd w:val="0"/>
        <w:spacing w:before="34" w:after="0" w:line="240" w:lineRule="auto"/>
        <w:ind w:left="5842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AF50"/>
          <w:sz w:val="20"/>
          <w:szCs w:val="2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uzavřený níže uvedeného dne měsíce a roku </w:t>
      </w:r>
      <w:proofErr w:type="gramStart"/>
      <w:r w:rsidRPr="00904AAB">
        <w:rPr>
          <w:rFonts w:ascii="Arial" w:hAnsi="Arial" w:cs="Arial"/>
          <w:color w:val="000000"/>
        </w:rPr>
        <w:t>mezi</w:t>
      </w:r>
      <w:proofErr w:type="gramEnd"/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3788"/>
        <w:rPr>
          <w:rFonts w:ascii="Arial" w:hAnsi="Arial" w:cs="Arial"/>
        </w:rPr>
        <w:sectPr w:rsidR="0024006A" w:rsidRPr="00904AAB" w:rsidSect="0024006A"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Smluvní strany: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proofErr w:type="spellStart"/>
      <w:r w:rsidRPr="00904AAB">
        <w:rPr>
          <w:rFonts w:ascii="Arial" w:hAnsi="Arial" w:cs="Arial"/>
          <w:b/>
          <w:bCs/>
          <w:color w:val="000000"/>
        </w:rPr>
        <w:t>ŠkoFIN</w:t>
      </w:r>
      <w:proofErr w:type="spellEnd"/>
      <w:r w:rsidRPr="00904AAB">
        <w:rPr>
          <w:rFonts w:ascii="Arial" w:hAnsi="Arial" w:cs="Arial"/>
          <w:b/>
          <w:bCs/>
          <w:color w:val="000000"/>
        </w:rPr>
        <w:t xml:space="preserve">, s.r.o., IČO : 45805369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Pekařská 6, 155 00 Praha 5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Cs/>
          <w:color w:val="000000"/>
        </w:rPr>
        <w:t>kterou zastupují:</w:t>
      </w:r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A21A03">
        <w:rPr>
          <w:rFonts w:ascii="Arial" w:hAnsi="Arial" w:cs="Arial"/>
          <w:bCs/>
          <w:color w:val="000000"/>
        </w:rPr>
        <w:t>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A21A03">
        <w:rPr>
          <w:rFonts w:ascii="Arial" w:hAnsi="Arial" w:cs="Arial"/>
          <w:bCs/>
          <w:color w:val="000000"/>
        </w:rPr>
        <w:t>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proofErr w:type="spellStart"/>
      <w:r w:rsidRPr="00904AAB">
        <w:rPr>
          <w:rFonts w:ascii="Arial" w:hAnsi="Arial" w:cs="Arial"/>
          <w:bCs/>
          <w:color w:val="000000"/>
        </w:rPr>
        <w:t>zaps</w:t>
      </w:r>
      <w:proofErr w:type="spellEnd"/>
      <w:r w:rsidRPr="00904AAB">
        <w:rPr>
          <w:rFonts w:ascii="Arial" w:hAnsi="Arial" w:cs="Arial"/>
          <w:bCs/>
          <w:color w:val="000000"/>
        </w:rPr>
        <w:t>. v obchodním rejstříku vedeném Městským soudem v Praze, oddíl C, vložka 11881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(dále jen „společnost“)</w:t>
      </w:r>
      <w:r w:rsidRPr="00904AAB">
        <w:rPr>
          <w:rFonts w:ascii="Arial" w:hAnsi="Arial" w:cs="Arial"/>
          <w:color w:val="000000"/>
        </w:rPr>
        <w:t xml:space="preserve">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a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Všeobecná zdravotní pojišťovna České republiky, IČO : 41197518,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se sídlem: Orlická 2020/4, 130 00 Praha 3 – Vinohrady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kterou zastupuje: Ing. Zdeněk Kabátek, ředitel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k podpisu Dodatku č. </w:t>
      </w:r>
      <w:r w:rsidR="00550256">
        <w:rPr>
          <w:rFonts w:ascii="Arial" w:hAnsi="Arial" w:cs="Arial"/>
          <w:bCs/>
          <w:color w:val="000000"/>
        </w:rPr>
        <w:t>3</w:t>
      </w:r>
      <w:r w:rsidRPr="00904AAB">
        <w:rPr>
          <w:rFonts w:ascii="Arial" w:hAnsi="Arial" w:cs="Arial"/>
          <w:bCs/>
          <w:color w:val="000000"/>
        </w:rPr>
        <w:t xml:space="preserve"> je pověřen: Ing. Marek Cvrček, ekonomický náměstek ředitele VZP ČR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 xml:space="preserve">bankovní spojení: </w:t>
      </w:r>
      <w:proofErr w:type="spellStart"/>
      <w:r w:rsidR="00A21A03">
        <w:rPr>
          <w:rFonts w:ascii="Arial" w:hAnsi="Arial" w:cs="Arial"/>
          <w:bCs/>
          <w:color w:val="000000"/>
        </w:rPr>
        <w:t>xxxxxxxxxxxxxxxxxxxxxxxx</w:t>
      </w:r>
      <w:proofErr w:type="spellEnd"/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Cs/>
          <w:color w:val="000000"/>
        </w:rPr>
      </w:pPr>
      <w:r w:rsidRPr="00904AAB">
        <w:rPr>
          <w:rFonts w:ascii="Arial" w:hAnsi="Arial" w:cs="Arial"/>
          <w:bCs/>
          <w:color w:val="000000"/>
        </w:rPr>
        <w:t>zřízena zákonem č. 551/1991 Sb., o Všeobecné zdravotní pojišťovně České republiky, není zapsána v obchodním rejstříku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  <w:b/>
          <w:bCs/>
          <w:color w:val="000000"/>
        </w:rPr>
      </w:pPr>
      <w:r w:rsidRPr="00904AAB">
        <w:rPr>
          <w:rFonts w:ascii="Arial" w:hAnsi="Arial" w:cs="Arial"/>
          <w:b/>
          <w:bCs/>
          <w:color w:val="000000"/>
        </w:rPr>
        <w:t>(dále jen „klient“)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>(společně též jako „smluvní strany“ nebo jednotlivě „smluvní strana“)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1. Preambule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334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p w:rsidR="0024006A" w:rsidRPr="0024006A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jc w:val="both"/>
        <w:rPr>
          <w:rFonts w:ascii="Arial" w:hAnsi="Arial" w:cs="Arial"/>
          <w:color w:val="000000"/>
        </w:rPr>
      </w:pPr>
      <w:r w:rsidRPr="00904AAB">
        <w:rPr>
          <w:rFonts w:ascii="Arial" w:hAnsi="Arial" w:cs="Arial"/>
          <w:color w:val="000000"/>
        </w:rPr>
        <w:lastRenderedPageBreak/>
        <w:t xml:space="preserve">1.1.   Smluvní strany uzavřely dne </w:t>
      </w:r>
      <w:r>
        <w:rPr>
          <w:rFonts w:ascii="Arial" w:hAnsi="Arial" w:cs="Arial"/>
          <w:color w:val="000000"/>
        </w:rPr>
        <w:t>18/11/13</w:t>
      </w:r>
      <w:r w:rsidRPr="00904AAB">
        <w:rPr>
          <w:rFonts w:ascii="Arial" w:hAnsi="Arial" w:cs="Arial"/>
          <w:color w:val="000000"/>
        </w:rPr>
        <w:t xml:space="preserve"> smlouvu o operativním leasingu číslo </w:t>
      </w:r>
      <w:r w:rsidR="0008346B">
        <w:rPr>
          <w:rFonts w:ascii="Arial" w:hAnsi="Arial" w:cs="Arial"/>
          <w:color w:val="000000"/>
        </w:rPr>
        <w:t>835398</w:t>
      </w:r>
      <w:r w:rsidRPr="00904AAB">
        <w:rPr>
          <w:rFonts w:ascii="Arial" w:hAnsi="Arial" w:cs="Arial"/>
          <w:color w:val="000000"/>
        </w:rPr>
        <w:t xml:space="preserve"> (dále jen </w:t>
      </w:r>
      <w:r>
        <w:rPr>
          <w:rFonts w:ascii="Arial" w:hAnsi="Arial" w:cs="Arial"/>
          <w:color w:val="000000"/>
        </w:rPr>
        <w:br/>
        <w:t xml:space="preserve">       </w:t>
      </w:r>
      <w:r w:rsidRPr="00904AAB">
        <w:rPr>
          <w:rFonts w:ascii="Arial" w:hAnsi="Arial" w:cs="Arial"/>
          <w:color w:val="000000"/>
        </w:rPr>
        <w:t xml:space="preserve">„Smlouva“). Předmětem Smlouvy je vozidlo </w:t>
      </w:r>
      <w:r>
        <w:rPr>
          <w:rFonts w:ascii="Arial" w:hAnsi="Arial" w:cs="Arial"/>
          <w:color w:val="000000"/>
        </w:rPr>
        <w:t>Škoda</w:t>
      </w:r>
      <w:r w:rsidRPr="00904AAB">
        <w:rPr>
          <w:rFonts w:ascii="Arial" w:hAnsi="Arial" w:cs="Arial"/>
          <w:color w:val="000000"/>
        </w:rPr>
        <w:t xml:space="preserve"> </w:t>
      </w:r>
      <w:r w:rsidR="00EA293E">
        <w:rPr>
          <w:rFonts w:ascii="Arial" w:hAnsi="Arial" w:cs="Arial"/>
          <w:color w:val="000000"/>
        </w:rPr>
        <w:t>Roomster</w:t>
      </w:r>
      <w:r w:rsidRPr="00904AAB">
        <w:rPr>
          <w:rFonts w:ascii="Arial" w:hAnsi="Arial" w:cs="Arial"/>
          <w:color w:val="000000"/>
        </w:rPr>
        <w:t xml:space="preserve"> </w:t>
      </w:r>
      <w:proofErr w:type="spellStart"/>
      <w:r w:rsidR="00EA293E">
        <w:rPr>
          <w:rFonts w:ascii="Arial" w:hAnsi="Arial" w:cs="Arial"/>
          <w:color w:val="000000"/>
        </w:rPr>
        <w:t>Ambition</w:t>
      </w:r>
      <w:proofErr w:type="spellEnd"/>
      <w:r w:rsidRPr="00904A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1,</w:t>
      </w:r>
      <w:r w:rsidR="00EA293E">
        <w:rPr>
          <w:rFonts w:ascii="Arial" w:hAnsi="Arial" w:cs="Arial"/>
          <w:color w:val="000000"/>
        </w:rPr>
        <w:t>2TS</w:t>
      </w:r>
      <w:r>
        <w:rPr>
          <w:rFonts w:ascii="Arial" w:hAnsi="Arial" w:cs="Arial"/>
          <w:color w:val="000000"/>
        </w:rPr>
        <w:t>I</w:t>
      </w:r>
      <w:r w:rsidRPr="00904AA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číslo karoserie: </w:t>
      </w:r>
      <w:r w:rsidR="0008346B" w:rsidRPr="0008346B">
        <w:rPr>
          <w:rFonts w:ascii="Arial" w:hAnsi="Arial" w:cs="Arial"/>
          <w:color w:val="000000"/>
        </w:rPr>
        <w:t>TMBNM25J5E5024828</w:t>
      </w:r>
      <w:r w:rsidRPr="00904AAB">
        <w:rPr>
          <w:rFonts w:ascii="Arial" w:hAnsi="Arial" w:cs="Arial"/>
          <w:color w:val="000000"/>
        </w:rPr>
        <w:t>, RZ</w:t>
      </w:r>
      <w:r>
        <w:rPr>
          <w:rFonts w:ascii="Arial" w:hAnsi="Arial" w:cs="Arial"/>
          <w:color w:val="000000"/>
        </w:rPr>
        <w:t xml:space="preserve">: </w:t>
      </w:r>
      <w:r w:rsidR="00BE0D3C" w:rsidRPr="00BE0D3C">
        <w:rPr>
          <w:rFonts w:ascii="Arial" w:hAnsi="Arial" w:cs="Arial"/>
          <w:color w:val="000000"/>
        </w:rPr>
        <w:t>3AV</w:t>
      </w:r>
      <w:r w:rsidR="0008346B">
        <w:rPr>
          <w:rFonts w:ascii="Arial" w:hAnsi="Arial" w:cs="Arial"/>
          <w:color w:val="000000"/>
        </w:rPr>
        <w:t>8759</w:t>
      </w:r>
      <w:r w:rsidRPr="00904AAB">
        <w:rPr>
          <w:rFonts w:ascii="Arial" w:hAnsi="Arial" w:cs="Arial"/>
          <w:color w:val="000000"/>
        </w:rPr>
        <w:t xml:space="preserve">. Doba trvání Smlouvy je 48 </w:t>
      </w:r>
      <w:r>
        <w:rPr>
          <w:rFonts w:ascii="Arial" w:hAnsi="Arial" w:cs="Arial"/>
          <w:color w:val="000000"/>
        </w:rPr>
        <w:tab/>
        <w:t xml:space="preserve">     </w:t>
      </w:r>
      <w:r w:rsidRPr="00904AAB">
        <w:rPr>
          <w:rFonts w:ascii="Arial" w:hAnsi="Arial" w:cs="Arial"/>
          <w:color w:val="000000"/>
        </w:rPr>
        <w:t xml:space="preserve">měsíců.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29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         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2. Změny a doplnění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 w:rsidSect="009622D2">
          <w:type w:val="continuous"/>
          <w:pgSz w:w="11904" w:h="16836"/>
          <w:pgMar w:top="168" w:right="1131" w:bottom="168" w:left="119" w:header="708" w:footer="708" w:gutter="0"/>
          <w:cols w:space="708" w:equalWidth="0">
            <w:col w:w="1065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2.1.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74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Smluvní strany se dohodly na změně doby trvání Smlouvy. Změnou doby trvání Smlouvy dochází také ke změně následujících parametrů Smlouvy od </w:t>
            </w:r>
            <w:proofErr w:type="gramStart"/>
            <w:r w:rsidR="00EA293E">
              <w:rPr>
                <w:rFonts w:ascii="Arial" w:hAnsi="Arial" w:cs="Arial"/>
                <w:color w:val="000000"/>
              </w:rPr>
              <w:t>23</w:t>
            </w:r>
            <w:r w:rsidRPr="00904AAB">
              <w:rPr>
                <w:rFonts w:ascii="Arial" w:hAnsi="Arial" w:cs="Arial"/>
                <w:color w:val="000000"/>
              </w:rPr>
              <w:t>.0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904AAB">
              <w:rPr>
                <w:rFonts w:ascii="Arial" w:hAnsi="Arial" w:cs="Arial"/>
                <w:color w:val="000000"/>
              </w:rPr>
              <w:t>.2018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, s čímž obě smluvní strany souhlasí.                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54" w:line="240" w:lineRule="auto"/>
        <w:ind w:left="4887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Nová doba trvání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 xml:space="preserve">60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konec Smlouvy: 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gramStart"/>
      <w:r w:rsidR="00EA293E">
        <w:rPr>
          <w:rFonts w:ascii="Arial" w:hAnsi="Arial" w:cs="Arial"/>
          <w:color w:val="000000"/>
        </w:rPr>
        <w:t>22</w:t>
      </w:r>
      <w:r w:rsidRPr="00904AAB">
        <w:rPr>
          <w:rFonts w:ascii="Arial" w:hAnsi="Arial" w:cs="Arial"/>
          <w:color w:val="000000"/>
        </w:rPr>
        <w:t>.01.2019</w:t>
      </w:r>
      <w:proofErr w:type="gramEnd"/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2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Nově stanovený počet km za dobu Smlouvy:  </w:t>
      </w:r>
      <w:r w:rsidRPr="00904AAB">
        <w:rPr>
          <w:rFonts w:ascii="Arial" w:hAnsi="Arial" w:cs="Arial"/>
          <w:color w:val="000000"/>
        </w:rPr>
        <w:tab/>
        <w:t>1</w:t>
      </w:r>
      <w:r w:rsidR="00EA293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0</w:t>
      </w:r>
      <w:r w:rsidRPr="00904AAB">
        <w:rPr>
          <w:rFonts w:ascii="Arial" w:hAnsi="Arial" w:cs="Arial"/>
          <w:color w:val="000000"/>
        </w:rPr>
        <w:t xml:space="preserve"> 000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bez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08346B">
        <w:rPr>
          <w:rFonts w:ascii="Arial" w:hAnsi="Arial" w:cs="Arial"/>
          <w:color w:val="000000"/>
        </w:rPr>
        <w:t>4 221,21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0" w:line="240" w:lineRule="auto"/>
        <w:ind w:left="1275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Měsíční leasingová splátka vč. DPH:   </w:t>
      </w:r>
      <w:r w:rsidRPr="00904AAB">
        <w:rPr>
          <w:rFonts w:ascii="Arial" w:hAnsi="Arial" w:cs="Arial"/>
          <w:color w:val="000000"/>
        </w:rPr>
        <w:tab/>
      </w:r>
      <w:r w:rsidRPr="00904AAB">
        <w:rPr>
          <w:rFonts w:ascii="Arial" w:hAnsi="Arial" w:cs="Arial"/>
          <w:color w:val="000000"/>
        </w:rPr>
        <w:tab/>
      </w:r>
      <w:r w:rsidR="0008346B">
        <w:rPr>
          <w:rFonts w:ascii="Arial" w:hAnsi="Arial" w:cs="Arial"/>
          <w:color w:val="000000"/>
        </w:rPr>
        <w:t>5 107,66</w:t>
      </w:r>
      <w:r>
        <w:rPr>
          <w:rFonts w:ascii="Arial" w:hAnsi="Arial" w:cs="Arial"/>
          <w:color w:val="000000"/>
        </w:rPr>
        <w:t xml:space="preserve"> </w:t>
      </w:r>
      <w:r w:rsidRPr="00904AAB">
        <w:rPr>
          <w:rFonts w:ascii="Arial" w:hAnsi="Arial" w:cs="Arial"/>
          <w:color w:val="000000"/>
        </w:rPr>
        <w:t xml:space="preserve">Kč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65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FF0000"/>
        </w:rPr>
        <w:t xml:space="preserve">         </w:t>
      </w:r>
      <w:r w:rsidRPr="00904AAB">
        <w:rPr>
          <w:rFonts w:ascii="Arial" w:hAnsi="Arial" w:cs="Arial"/>
          <w:b/>
          <w:bCs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</w:pPr>
      <w:r w:rsidRPr="00904AAB">
        <w:rPr>
          <w:rFonts w:ascii="Arial" w:hAnsi="Arial" w:cs="Arial"/>
          <w:b/>
          <w:bCs/>
          <w:color w:val="000000"/>
        </w:rPr>
        <w:t xml:space="preserve">3. Závěrečná ustanovení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3.1.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Smluvní strany jsou si plně vědomy zákonné povinnosti uveřejnit dle zákona č. 340/2015 Sb., o zvláštních podmínkách účinnosti některých smluv, uveřejňování těchto smluv a o registru smluv (zákon o re</w:t>
            </w:r>
            <w:r w:rsidR="00A7458D">
              <w:rPr>
                <w:rFonts w:ascii="Arial" w:hAnsi="Arial" w:cs="Arial"/>
                <w:color w:val="000000"/>
              </w:rPr>
              <w:t>gistru smluv) tento Dodatek č. 3</w:t>
            </w:r>
            <w:r w:rsidRPr="00904AAB">
              <w:rPr>
                <w:rFonts w:ascii="Arial" w:hAnsi="Arial" w:cs="Arial"/>
                <w:color w:val="000000"/>
              </w:rPr>
              <w:t xml:space="preserve">, a to prostřednictvím registru smluv. Smluvní strany se dohodly, že tento Dodatek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>.</w:t>
            </w: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Tento Dodatek č.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nabývá platnosti dnem jeho podpisu poslední ze smluvních stran, účinnosti nabývá </w:t>
            </w:r>
            <w:r>
              <w:rPr>
                <w:rFonts w:ascii="Arial" w:hAnsi="Arial" w:cs="Arial"/>
                <w:color w:val="000000"/>
              </w:rPr>
              <w:t xml:space="preserve">druhým dnem od jeho uveřejnění prostřednictvím registru smluv dle tohoto odstavce. </w:t>
            </w:r>
            <w:r w:rsidRPr="00904AAB">
              <w:rPr>
                <w:rFonts w:ascii="Arial" w:hAnsi="Arial" w:cs="Arial"/>
                <w:color w:val="000000"/>
              </w:rPr>
              <w:t xml:space="preserve">Dodatek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ze strany společnosti nebude podepsán a změna dle článku 2. tohoto Dodatku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nebude provedena v případě, že na Smlouvě bude evidována pohledávka po splatnosti vyšší než jedna splátka nájemného.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3.2.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1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Tento Dodatek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 je vyhotoven ve třech stejnopisech s platností originálu, z nichž společnost obdrží jeden stejnopis a klient dva stejnopisy Dodatku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357"/>
      </w:tblGrid>
      <w:tr w:rsidR="0024006A" w:rsidRPr="00904AAB" w:rsidTr="00E432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3.3.</w:t>
            </w:r>
          </w:p>
        </w:tc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B17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Ostatní ustanovení Smlouvy ve smyslu předchozích dodatků a obchodních podmínek ke Smlouvě, která nejsou dotčena tímto Dodatkem č. </w:t>
            </w:r>
            <w:r w:rsidR="00B17876">
              <w:rPr>
                <w:rFonts w:ascii="Arial" w:hAnsi="Arial" w:cs="Arial"/>
                <w:color w:val="000000"/>
              </w:rPr>
              <w:t>3</w:t>
            </w:r>
            <w:r w:rsidRPr="00904AAB">
              <w:rPr>
                <w:rFonts w:ascii="Arial" w:hAnsi="Arial" w:cs="Arial"/>
                <w:color w:val="000000"/>
              </w:rPr>
              <w:t xml:space="preserve">, zůstávají v platnosti. </w:t>
            </w: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31" w:after="146" w:line="240" w:lineRule="auto"/>
        <w:ind w:left="4794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1" w:after="0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t xml:space="preserve"> </w:t>
      </w: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5"/>
        <w:gridCol w:w="4773"/>
      </w:tblGrid>
      <w:tr w:rsidR="0024006A" w:rsidRPr="00904AAB" w:rsidTr="00E432DC">
        <w:trPr>
          <w:trHeight w:val="41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lastRenderedPageBreak/>
              <w:t>V Praze dne …………………</w:t>
            </w:r>
            <w:proofErr w:type="gramStart"/>
            <w:r w:rsidRPr="00904AAB">
              <w:rPr>
                <w:rFonts w:ascii="Arial" w:hAnsi="Arial" w:cs="Arial"/>
                <w:color w:val="000000"/>
              </w:rPr>
              <w:t>…...…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…..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  <w:proofErr w:type="gramStart"/>
            <w:r w:rsidRPr="00904AAB">
              <w:rPr>
                <w:rFonts w:ascii="Arial" w:hAnsi="Arial" w:cs="Arial"/>
                <w:color w:val="000000"/>
              </w:rPr>
              <w:t>V .......................... dne</w:t>
            </w:r>
            <w:proofErr w:type="gramEnd"/>
            <w:r w:rsidRPr="00904AAB">
              <w:rPr>
                <w:rFonts w:ascii="Arial" w:hAnsi="Arial" w:cs="Arial"/>
                <w:color w:val="000000"/>
              </w:rPr>
              <w:t xml:space="preserve"> ..........................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04AAB">
              <w:rPr>
                <w:rFonts w:ascii="Arial" w:hAnsi="Arial" w:cs="Arial"/>
                <w:color w:val="000000"/>
              </w:rPr>
              <w:t>ŠkoFIN</w:t>
            </w:r>
            <w:proofErr w:type="spellEnd"/>
            <w:r>
              <w:rPr>
                <w:rFonts w:ascii="Arial" w:hAnsi="Arial" w:cs="Arial"/>
                <w:color w:val="000000"/>
              </w:rPr>
              <w:t>,</w:t>
            </w:r>
            <w:r w:rsidRPr="00904AAB">
              <w:rPr>
                <w:rFonts w:ascii="Arial" w:hAnsi="Arial" w:cs="Arial"/>
                <w:color w:val="000000"/>
              </w:rPr>
              <w:t xml:space="preserve"> s.r.o.   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>Všeobecná zdravotní pojišťovna České republiky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 </w:t>
            </w:r>
          </w:p>
          <w:p w:rsidR="0024006A" w:rsidRDefault="00A21A03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</w:t>
            </w:r>
            <w:proofErr w:type="spellEnd"/>
          </w:p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622D2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…………………………………………….. 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Ing. Marek Cvrček</w:t>
            </w: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04AAB">
              <w:rPr>
                <w:rFonts w:ascii="Arial" w:hAnsi="Arial" w:cs="Arial"/>
                <w:color w:val="000000"/>
              </w:rPr>
              <w:t>ekonomický náměstek ředitele VZP ČR</w:t>
            </w:r>
          </w:p>
          <w:p w:rsidR="0024006A" w:rsidRPr="009622D2" w:rsidRDefault="0024006A" w:rsidP="00E432DC">
            <w:pPr>
              <w:rPr>
                <w:rFonts w:ascii="Arial" w:hAnsi="Arial" w:cs="Arial"/>
              </w:rPr>
            </w:pP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622D2">
              <w:rPr>
                <w:rFonts w:ascii="Arial" w:hAnsi="Arial" w:cs="Arial"/>
                <w:color w:val="000000"/>
              </w:rPr>
              <w:t>……………………………………………..</w:t>
            </w:r>
          </w:p>
          <w:p w:rsidR="00A21A03" w:rsidRDefault="00A21A03" w:rsidP="00A21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xxxxxxxxxxxxxxxxxx</w:t>
            </w:r>
            <w:proofErr w:type="spellEnd"/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4006A" w:rsidRPr="00904AAB" w:rsidTr="00E432DC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04AA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24006A" w:rsidRPr="00904AAB" w:rsidRDefault="0024006A" w:rsidP="00E4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52" w:after="151" w:line="240" w:lineRule="auto"/>
        <w:ind w:left="566"/>
        <w:rPr>
          <w:rFonts w:ascii="Arial" w:hAnsi="Arial" w:cs="Arial"/>
        </w:rPr>
        <w:sectPr w:rsidR="0024006A" w:rsidRPr="00904AAB">
          <w:type w:val="continuous"/>
          <w:pgSz w:w="11904" w:h="16836"/>
          <w:pgMar w:top="168" w:right="220" w:bottom="168" w:left="119" w:header="708" w:footer="708" w:gutter="0"/>
          <w:cols w:space="708" w:equalWidth="0">
            <w:col w:w="11684"/>
          </w:cols>
          <w:noEndnote/>
        </w:sectPr>
      </w:pPr>
    </w:p>
    <w:p w:rsidR="0024006A" w:rsidRPr="00904AAB" w:rsidRDefault="0024006A" w:rsidP="0024006A">
      <w:pPr>
        <w:widowControl w:val="0"/>
        <w:autoSpaceDE w:val="0"/>
        <w:autoSpaceDN w:val="0"/>
        <w:adjustRightInd w:val="0"/>
        <w:spacing w:before="1085" w:after="0" w:line="240" w:lineRule="auto"/>
        <w:rPr>
          <w:rFonts w:ascii="Arial" w:hAnsi="Arial" w:cs="Arial"/>
        </w:rPr>
      </w:pPr>
      <w:r w:rsidRPr="00904AAB">
        <w:rPr>
          <w:rFonts w:ascii="Arial" w:hAnsi="Arial" w:cs="Arial"/>
          <w:color w:val="000000"/>
        </w:rPr>
        <w:lastRenderedPageBreak/>
        <w:t xml:space="preserve"> </w:t>
      </w:r>
    </w:p>
    <w:p w:rsidR="008906F1" w:rsidRDefault="008906F1"/>
    <w:sectPr w:rsidR="008906F1">
      <w:type w:val="continuous"/>
      <w:pgSz w:w="11904" w:h="16836"/>
      <w:pgMar w:top="168" w:right="220" w:bottom="168" w:left="119" w:header="708" w:footer="708" w:gutter="0"/>
      <w:cols w:space="708" w:equalWidth="0">
        <w:col w:w="1168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A"/>
    <w:rsid w:val="0008346B"/>
    <w:rsid w:val="001773EF"/>
    <w:rsid w:val="001A7854"/>
    <w:rsid w:val="0024006A"/>
    <w:rsid w:val="002E4CFE"/>
    <w:rsid w:val="00346908"/>
    <w:rsid w:val="00550256"/>
    <w:rsid w:val="00740999"/>
    <w:rsid w:val="00813A19"/>
    <w:rsid w:val="00867BC0"/>
    <w:rsid w:val="008906F1"/>
    <w:rsid w:val="00973FF8"/>
    <w:rsid w:val="00A21A03"/>
    <w:rsid w:val="00A7458D"/>
    <w:rsid w:val="00B17876"/>
    <w:rsid w:val="00B845BE"/>
    <w:rsid w:val="00BE0D3C"/>
    <w:rsid w:val="00EA293E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006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SkoFIN s.r.o.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Zerdikova, Hana</dc:creator>
  <cp:lastModifiedBy>Jana Zálešáková</cp:lastModifiedBy>
  <cp:revision>2</cp:revision>
  <cp:lastPrinted>2018-02-06T08:26:00Z</cp:lastPrinted>
  <dcterms:created xsi:type="dcterms:W3CDTF">2018-02-14T08:57:00Z</dcterms:created>
  <dcterms:modified xsi:type="dcterms:W3CDTF">2018-02-14T08:57:00Z</dcterms:modified>
</cp:coreProperties>
</file>