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C0" w:rsidRDefault="00CD11C0" w:rsidP="002B32C0">
      <w:pPr>
        <w:pStyle w:val="Default"/>
        <w:contextualSpacing/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Kupní smlouva</w:t>
      </w:r>
    </w:p>
    <w:p w:rsidR="00CD11C0" w:rsidRDefault="00CD11C0" w:rsidP="002B32C0">
      <w:pPr>
        <w:pStyle w:val="Default"/>
        <w:contextualSpacing/>
        <w:rPr>
          <w:b/>
          <w:bCs/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I. Smluvní strany 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Prodávající: 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Ceiba</w:t>
      </w:r>
      <w:proofErr w:type="spellEnd"/>
      <w:r>
        <w:rPr>
          <w:b/>
          <w:bCs/>
          <w:sz w:val="20"/>
          <w:szCs w:val="20"/>
        </w:rPr>
        <w:t xml:space="preserve"> s.r.o., 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Jana Opletala 1265 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250 01 Brandýs n. L. – St. Boleslav 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IČ: 25609033 </w:t>
      </w:r>
    </w:p>
    <w:p w:rsidR="00775D5B" w:rsidRDefault="00CD11C0" w:rsidP="002B32C0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DIČ: CZ25609033 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Zastoupena jednatelem Jiřím Tůmou 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Na jedné straně 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</w:p>
    <w:p w:rsidR="00CD11C0" w:rsidRPr="00775D5B" w:rsidRDefault="00CD11C0" w:rsidP="002B32C0">
      <w:pPr>
        <w:pStyle w:val="Default"/>
        <w:contextualSpacing/>
        <w:rPr>
          <w:sz w:val="20"/>
          <w:szCs w:val="20"/>
        </w:rPr>
      </w:pPr>
      <w:r w:rsidRPr="00775D5B">
        <w:rPr>
          <w:sz w:val="20"/>
          <w:szCs w:val="20"/>
        </w:rPr>
        <w:t xml:space="preserve">a Kupující: </w:t>
      </w:r>
    </w:p>
    <w:p w:rsidR="00CD11C0" w:rsidRPr="00775D5B" w:rsidRDefault="00CD11C0" w:rsidP="002B32C0">
      <w:pPr>
        <w:pStyle w:val="Default"/>
        <w:contextualSpacing/>
        <w:rPr>
          <w:sz w:val="20"/>
          <w:szCs w:val="20"/>
        </w:rPr>
      </w:pPr>
      <w:r w:rsidRPr="00775D5B">
        <w:rPr>
          <w:b/>
          <w:bCs/>
          <w:sz w:val="20"/>
          <w:szCs w:val="20"/>
        </w:rPr>
        <w:t xml:space="preserve">Muzeum umění Olomouc, státní příspěvková organizace </w:t>
      </w:r>
    </w:p>
    <w:p w:rsidR="00CD11C0" w:rsidRPr="00775D5B" w:rsidRDefault="00CD11C0" w:rsidP="002B32C0">
      <w:pPr>
        <w:pStyle w:val="Default"/>
        <w:contextualSpacing/>
        <w:rPr>
          <w:sz w:val="20"/>
          <w:szCs w:val="20"/>
        </w:rPr>
      </w:pPr>
      <w:r w:rsidRPr="00775D5B">
        <w:rPr>
          <w:sz w:val="20"/>
          <w:szCs w:val="20"/>
        </w:rPr>
        <w:t xml:space="preserve">Denisova 824/47 </w:t>
      </w:r>
    </w:p>
    <w:p w:rsidR="00775D5B" w:rsidRPr="00775D5B" w:rsidRDefault="00CD11C0" w:rsidP="002B32C0">
      <w:pPr>
        <w:pStyle w:val="Default"/>
        <w:contextualSpacing/>
        <w:rPr>
          <w:sz w:val="20"/>
          <w:szCs w:val="20"/>
        </w:rPr>
      </w:pPr>
      <w:r w:rsidRPr="00775D5B">
        <w:rPr>
          <w:sz w:val="20"/>
          <w:szCs w:val="20"/>
        </w:rPr>
        <w:t>771 11 Olomouc</w:t>
      </w:r>
    </w:p>
    <w:p w:rsidR="004A4C35" w:rsidRDefault="00775D5B" w:rsidP="002B32C0">
      <w:pPr>
        <w:spacing w:after="120"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 w:rsidRPr="00775D5B">
        <w:rPr>
          <w:rFonts w:ascii="Arial" w:eastAsia="Arial Unicode MS" w:hAnsi="Arial" w:cs="Arial"/>
          <w:sz w:val="20"/>
          <w:szCs w:val="20"/>
        </w:rPr>
        <w:t xml:space="preserve">Bankovní spojení: </w:t>
      </w:r>
      <w:proofErr w:type="spellStart"/>
      <w:r w:rsidR="004A4C35">
        <w:rPr>
          <w:rFonts w:ascii="Arial" w:eastAsia="Arial Unicode MS" w:hAnsi="Arial" w:cs="Arial"/>
          <w:sz w:val="20"/>
          <w:szCs w:val="20"/>
        </w:rPr>
        <w:t>xxxxxxxxxxxxx</w:t>
      </w:r>
      <w:proofErr w:type="spellEnd"/>
      <w:r w:rsidRPr="00775D5B">
        <w:rPr>
          <w:rFonts w:ascii="Arial" w:eastAsia="Arial Unicode MS" w:hAnsi="Arial" w:cs="Arial"/>
          <w:sz w:val="20"/>
          <w:szCs w:val="20"/>
        </w:rPr>
        <w:br/>
        <w:t xml:space="preserve">IBAN: </w:t>
      </w:r>
      <w:proofErr w:type="spellStart"/>
      <w:r w:rsidR="004A4C35">
        <w:rPr>
          <w:rFonts w:ascii="Arial" w:eastAsia="Arial Unicode MS" w:hAnsi="Arial" w:cs="Arial"/>
          <w:sz w:val="20"/>
          <w:szCs w:val="20"/>
        </w:rPr>
        <w:t>xxxxxxxxxxxxxxxxx</w:t>
      </w:r>
      <w:proofErr w:type="spellEnd"/>
    </w:p>
    <w:p w:rsidR="00775D5B" w:rsidRPr="00775D5B" w:rsidRDefault="00775D5B" w:rsidP="002B32C0">
      <w:pPr>
        <w:spacing w:after="120"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 w:rsidRPr="00775D5B">
        <w:rPr>
          <w:rFonts w:ascii="Arial" w:eastAsia="Arial Unicode MS" w:hAnsi="Arial" w:cs="Arial"/>
          <w:sz w:val="20"/>
          <w:szCs w:val="20"/>
        </w:rPr>
        <w:t>IČ: 75079950</w:t>
      </w:r>
    </w:p>
    <w:p w:rsidR="00775D5B" w:rsidRDefault="00CD11C0" w:rsidP="002B32C0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775D5B">
        <w:rPr>
          <w:rFonts w:ascii="Arial" w:hAnsi="Arial" w:cs="Arial"/>
          <w:sz w:val="20"/>
          <w:szCs w:val="20"/>
        </w:rPr>
        <w:t xml:space="preserve">Zastoupená: Mgr. Michal Soukup </w:t>
      </w:r>
    </w:p>
    <w:p w:rsidR="00CD11C0" w:rsidRPr="00775D5B" w:rsidRDefault="00CD11C0" w:rsidP="002B32C0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775D5B">
        <w:rPr>
          <w:rFonts w:ascii="Arial" w:hAnsi="Arial" w:cs="Arial"/>
          <w:sz w:val="20"/>
          <w:szCs w:val="20"/>
        </w:rPr>
        <w:t xml:space="preserve">Na straně druhé 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>Uzavřely dnešního dne podle ustanovení §409 a násl. obchodního zákoníku (dále jen “OBZ“) č. 513/1991 Sb. v platném znění tuto kupní smlouvu (dále jen “smlouva“).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II. Předmět smlouvy </w:t>
      </w:r>
    </w:p>
    <w:p w:rsidR="00CD11C0" w:rsidRDefault="00CD11C0" w:rsidP="002B32C0">
      <w:pPr>
        <w:pStyle w:val="Default"/>
        <w:contextualSpacing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Předmětem smlouvy je dodávka: </w:t>
      </w:r>
      <w:r>
        <w:rPr>
          <w:b/>
          <w:bCs/>
          <w:sz w:val="20"/>
          <w:szCs w:val="20"/>
        </w:rPr>
        <w:t>„Vybavení depozitáře děl na papíře“ – viz specifikace v příloze č. 1 této smlouvy.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III. Kupní cena 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Kupní cena za předmět Kupní smlouvy činí </w:t>
      </w:r>
      <w:r>
        <w:rPr>
          <w:b/>
          <w:bCs/>
          <w:sz w:val="20"/>
          <w:szCs w:val="20"/>
        </w:rPr>
        <w:t>73 200,- Kč s DPH.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>Cena zahrnuje náklady na dopravení předmětu kupní smlouvy na místo určené kupujícím.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IV. Termín dodání 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Doba zahájení plnění zakázky: od </w:t>
      </w:r>
      <w:proofErr w:type="gramStart"/>
      <w:r>
        <w:rPr>
          <w:sz w:val="20"/>
          <w:szCs w:val="20"/>
        </w:rPr>
        <w:t>12.10.2016</w:t>
      </w:r>
      <w:proofErr w:type="gramEnd"/>
      <w:r>
        <w:rPr>
          <w:sz w:val="20"/>
          <w:szCs w:val="20"/>
        </w:rPr>
        <w:t xml:space="preserve">. 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Doba ukončení a předání zakázky: do </w:t>
      </w:r>
      <w:proofErr w:type="gramStart"/>
      <w:r>
        <w:rPr>
          <w:sz w:val="20"/>
          <w:szCs w:val="20"/>
        </w:rPr>
        <w:t>04.11.2016</w:t>
      </w:r>
      <w:proofErr w:type="gramEnd"/>
      <w:r>
        <w:rPr>
          <w:sz w:val="20"/>
          <w:szCs w:val="20"/>
        </w:rPr>
        <w:t xml:space="preserve"> </w:t>
      </w:r>
    </w:p>
    <w:p w:rsidR="00CD11C0" w:rsidRDefault="00CD11C0" w:rsidP="002B32C0">
      <w:pPr>
        <w:pStyle w:val="Defaul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Dodávka je považována za splněnou provedením přejímky na provozovně kupujícího a to prostřednictvím zodpovědné osoby podle </w:t>
      </w:r>
      <w:proofErr w:type="spellStart"/>
      <w:proofErr w:type="gramStart"/>
      <w:r>
        <w:rPr>
          <w:sz w:val="20"/>
          <w:szCs w:val="20"/>
        </w:rPr>
        <w:t>čl.V</w:t>
      </w:r>
      <w:proofErr w:type="spellEnd"/>
      <w:r>
        <w:rPr>
          <w:sz w:val="20"/>
          <w:szCs w:val="20"/>
        </w:rPr>
        <w:t xml:space="preserve"> smlouvy</w:t>
      </w:r>
      <w:proofErr w:type="gramEnd"/>
      <w:r>
        <w:rPr>
          <w:sz w:val="20"/>
          <w:szCs w:val="20"/>
        </w:rPr>
        <w:t>.</w:t>
      </w:r>
    </w:p>
    <w:p w:rsidR="00CD11C0" w:rsidRDefault="00CD11C0" w:rsidP="002B32C0">
      <w:pPr>
        <w:pStyle w:val="Default"/>
        <w:contextualSpacing/>
        <w:rPr>
          <w:color w:val="auto"/>
        </w:rPr>
      </w:pP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V. Dodací podmínky 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Zodpovědnou osobou určenou kupujícím pro přejímku zboží je </w:t>
      </w:r>
      <w:proofErr w:type="spellStart"/>
      <w:r w:rsidR="004A4C35">
        <w:rPr>
          <w:color w:val="auto"/>
          <w:sz w:val="20"/>
          <w:szCs w:val="20"/>
        </w:rPr>
        <w:t>xxxxxxx</w:t>
      </w:r>
      <w:bookmarkStart w:id="0" w:name="_GoBack"/>
      <w:bookmarkEnd w:id="0"/>
      <w:proofErr w:type="spellEnd"/>
      <w:r>
        <w:rPr>
          <w:color w:val="auto"/>
          <w:sz w:val="20"/>
          <w:szCs w:val="20"/>
        </w:rPr>
        <w:t>.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 provedené hmotné přejímce sepíše prodávající se zodpovědnou osobou kupujícího dle </w:t>
      </w:r>
      <w:proofErr w:type="spellStart"/>
      <w:proofErr w:type="gramStart"/>
      <w:r>
        <w:rPr>
          <w:color w:val="auto"/>
          <w:sz w:val="20"/>
          <w:szCs w:val="20"/>
        </w:rPr>
        <w:t>čl.V</w:t>
      </w:r>
      <w:proofErr w:type="spellEnd"/>
      <w:r>
        <w:rPr>
          <w:color w:val="auto"/>
          <w:sz w:val="20"/>
          <w:szCs w:val="20"/>
        </w:rPr>
        <w:t xml:space="preserve"> smlouvy</w:t>
      </w:r>
      <w:proofErr w:type="gramEnd"/>
      <w:r>
        <w:rPr>
          <w:color w:val="auto"/>
          <w:sz w:val="20"/>
          <w:szCs w:val="20"/>
        </w:rPr>
        <w:t xml:space="preserve"> přejímající zápis. Přípustnou formou přejímajícího zápisu je oběma stranami podepsaný dodací list. Prodávající informuje o termínu převzetí zboží kupujícího písemně emailem nebo telefonicky nejméně 1 den před předáním zboží. Místo plnění a předávky zakázky: Muzeum umění Olomouc, Denisova 824/47, Olomouc 771 11.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VI. Platební podmínky 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Prodávající nebude požadovat poskytnutí zálohy.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Vyúčtování zakázky bude provedeno na základě daňového dokladu vystaveného prodávajícím do 14 dní po předání a převzetí díla.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Splatnost daňového dokladu bude 14 dní ode dne doručení dokladu kupujícímu.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Platby budou probíhat bezhotovostně bankovním převodem v CZK.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VII. Záruční podmínky 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Prodávající prohlašuje a odpovídá, že dodané zboží je nové.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Prodávající poskytuje na dodané zboží dle této smlouvy záruku v trvání 24 měsíců.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Záruka se vztahuje pouze na vady způsobené vadou materiálu nebo výrobní technologie používané při výrobě předmětu smlouvy.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Záruční doba počíná běžet dnem předání předmětu smlouvy kupujícímu podepsáním přejímajícího protokolu.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VIII. Sankce z prodlení 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 případě prodlení ze strany prodávajícího s dodávkou zboží proti dodací lhůtě uvedené v článku IV. této smlouvy je kupující oprávněn účtovat prodávajícímu smluvní pokutu ve výši 0,1% za každý započatý den prodlení. 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Je-li kupující v prodlení s placením faktury, je prodávající oprávněn účtovat kupujícímu úrok z prodlení ve výši 0,1% z dlužné částky za každý započatý den prodlení.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IX. Závěrečná ustanovení 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Smlouva je vyhotovena ve 2 výtiscích, z toho 1 vyhotovení obdrží kupující a 1 vyhotovení prodávající. 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Tato kupní smlouva nabývá platnosti a účinnosti dnem podpisu, kterým smluvní strany potvrzují její autentičnost. Smluvní strany dále potvrzují, že tato smlouva byla uzavřena svobodně a vážně, že nebyla ujednána v tísni ani za jinak jednostranně nevýhodných podmínek.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Ve Staré Boleslavi dne </w:t>
      </w:r>
      <w:proofErr w:type="gramStart"/>
      <w:r>
        <w:rPr>
          <w:color w:val="auto"/>
          <w:sz w:val="20"/>
          <w:szCs w:val="20"/>
        </w:rPr>
        <w:t>12.10.2016</w:t>
      </w:r>
      <w:proofErr w:type="gramEnd"/>
      <w:r>
        <w:rPr>
          <w:color w:val="auto"/>
          <w:sz w:val="20"/>
          <w:szCs w:val="20"/>
        </w:rPr>
        <w:t xml:space="preserve"> </w:t>
      </w: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</w:p>
    <w:p w:rsidR="00CD11C0" w:rsidRDefault="00CD11C0" w:rsidP="002B32C0">
      <w:pPr>
        <w:pStyle w:val="Default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prodávajícího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Za kupujícího </w:t>
      </w:r>
    </w:p>
    <w:p w:rsidR="00E456EE" w:rsidRDefault="00CD11C0" w:rsidP="002B32C0">
      <w:pPr>
        <w:spacing w:line="240" w:lineRule="auto"/>
        <w:ind w:left="4248" w:hanging="4248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Jiří Tůma – jednatel společnosti </w:t>
      </w:r>
      <w:proofErr w:type="spellStart"/>
      <w:proofErr w:type="gramStart"/>
      <w:r>
        <w:rPr>
          <w:sz w:val="20"/>
          <w:szCs w:val="20"/>
        </w:rPr>
        <w:t>Ceiba,s.</w:t>
      </w:r>
      <w:proofErr w:type="gramEnd"/>
      <w:r>
        <w:rPr>
          <w:sz w:val="20"/>
          <w:szCs w:val="20"/>
        </w:rPr>
        <w:t>r.o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  <w:t>Mgr. Michal Soukup, ředitel Muzea umění Olomouc, státní příspěvkové organizace</w:t>
      </w:r>
    </w:p>
    <w:p w:rsidR="00CD11C0" w:rsidRDefault="00CD11C0" w:rsidP="002B32C0">
      <w:pPr>
        <w:spacing w:line="240" w:lineRule="auto"/>
        <w:ind w:left="4248" w:hanging="4248"/>
        <w:contextualSpacing/>
        <w:rPr>
          <w:sz w:val="20"/>
          <w:szCs w:val="20"/>
        </w:rPr>
      </w:pPr>
    </w:p>
    <w:p w:rsidR="00CD11C0" w:rsidRDefault="00CD11C0" w:rsidP="002B32C0">
      <w:pPr>
        <w:spacing w:line="240" w:lineRule="auto"/>
        <w:ind w:left="4248" w:hanging="4248"/>
        <w:contextualSpacing/>
        <w:rPr>
          <w:sz w:val="20"/>
          <w:szCs w:val="20"/>
        </w:rPr>
      </w:pPr>
    </w:p>
    <w:p w:rsidR="00CD11C0" w:rsidRDefault="00CD11C0" w:rsidP="002B32C0">
      <w:pPr>
        <w:spacing w:line="240" w:lineRule="auto"/>
        <w:ind w:left="4248" w:hanging="4248"/>
        <w:contextualSpacing/>
        <w:rPr>
          <w:sz w:val="20"/>
          <w:szCs w:val="20"/>
        </w:rPr>
      </w:pPr>
    </w:p>
    <w:p w:rsidR="00CD11C0" w:rsidRDefault="00CD11C0" w:rsidP="002B32C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32C0" w:rsidRDefault="002B32C0" w:rsidP="002B32C0">
      <w:pPr>
        <w:spacing w:line="240" w:lineRule="auto"/>
        <w:ind w:left="4248" w:hanging="4248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Příloha č. 1 specifikace </w:t>
      </w:r>
      <w:r>
        <w:rPr>
          <w:rFonts w:ascii="Arial" w:hAnsi="Arial" w:cs="Arial"/>
          <w:b/>
          <w:sz w:val="20"/>
          <w:szCs w:val="20"/>
        </w:rPr>
        <w:t xml:space="preserve">dodávky: </w:t>
      </w:r>
      <w:r>
        <w:rPr>
          <w:rFonts w:ascii="Arial" w:hAnsi="Arial" w:cs="Arial"/>
          <w:b/>
          <w:bCs/>
          <w:sz w:val="20"/>
          <w:szCs w:val="20"/>
        </w:rPr>
        <w:t>„Vybavení depozitáře děl na papíře“</w:t>
      </w:r>
    </w:p>
    <w:p w:rsidR="002B32C0" w:rsidRDefault="002B32C0" w:rsidP="002B32C0">
      <w:pPr>
        <w:spacing w:line="240" w:lineRule="auto"/>
        <w:contextualSpacing/>
        <w:rPr>
          <w:rFonts w:asciiTheme="majorHAnsi" w:eastAsia="Tahoma" w:hAnsiTheme="majorHAnsi" w:cs="Tahoma"/>
          <w:b/>
          <w:bCs/>
        </w:rPr>
      </w:pPr>
    </w:p>
    <w:p w:rsidR="002B32C0" w:rsidRDefault="002B32C0" w:rsidP="002B32C0">
      <w:pPr>
        <w:spacing w:line="240" w:lineRule="auto"/>
        <w:contextualSpacing/>
        <w:rPr>
          <w:rFonts w:asciiTheme="majorHAnsi" w:eastAsia="Tahoma" w:hAnsiTheme="majorHAnsi" w:cs="Tahoma"/>
          <w:b/>
          <w:bCs/>
        </w:rPr>
      </w:pPr>
      <w:proofErr w:type="spellStart"/>
      <w:r>
        <w:rPr>
          <w:rFonts w:asciiTheme="majorHAnsi" w:eastAsia="Tahoma" w:hAnsiTheme="majorHAnsi" w:cs="Tahoma"/>
          <w:b/>
          <w:bCs/>
        </w:rPr>
        <w:t>Ceiba</w:t>
      </w:r>
      <w:proofErr w:type="spellEnd"/>
      <w:r>
        <w:rPr>
          <w:rFonts w:asciiTheme="majorHAnsi" w:eastAsia="Tahoma" w:hAnsiTheme="majorHAnsi" w:cs="Tahoma"/>
          <w:b/>
          <w:bCs/>
        </w:rPr>
        <w:t xml:space="preserve"> Cenová nabídka</w:t>
      </w:r>
    </w:p>
    <w:p w:rsidR="002B32C0" w:rsidRDefault="002B32C0" w:rsidP="002B32C0">
      <w:pPr>
        <w:spacing w:line="240" w:lineRule="auto"/>
        <w:contextualSpacing/>
        <w:rPr>
          <w:rFonts w:asciiTheme="majorHAnsi" w:eastAsia="Tahoma" w:hAnsiTheme="majorHAnsi" w:cs="Tahoma"/>
          <w:b/>
          <w:bCs/>
        </w:rPr>
      </w:pPr>
    </w:p>
    <w:p w:rsidR="002B32C0" w:rsidRDefault="002B32C0" w:rsidP="002B32C0">
      <w:pPr>
        <w:spacing w:line="240" w:lineRule="auto"/>
        <w:contextualSpacing/>
        <w:rPr>
          <w:rFonts w:asciiTheme="majorHAnsi" w:eastAsia="Tahoma" w:hAnsiTheme="majorHAnsi" w:cs="Tahoma"/>
          <w:b/>
          <w:bCs/>
        </w:rPr>
        <w:sectPr w:rsidR="002B32C0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32C0" w:rsidRDefault="002B32C0" w:rsidP="002B32C0">
      <w:pPr>
        <w:spacing w:line="240" w:lineRule="auto"/>
        <w:contextualSpacing/>
        <w:rPr>
          <w:rFonts w:asciiTheme="majorHAnsi" w:eastAsiaTheme="minorEastAsia" w:hAnsiTheme="majorHAnsi" w:cs="Times New Roman"/>
        </w:rPr>
      </w:pPr>
      <w:proofErr w:type="gramStart"/>
      <w:r>
        <w:rPr>
          <w:rFonts w:asciiTheme="majorHAnsi" w:eastAsia="Tahoma" w:hAnsiTheme="majorHAnsi" w:cs="Tahoma"/>
          <w:b/>
          <w:bCs/>
        </w:rPr>
        <w:lastRenderedPageBreak/>
        <w:t>Od</w:t>
      </w:r>
      <w:proofErr w:type="gramEnd"/>
      <w:r>
        <w:rPr>
          <w:rFonts w:asciiTheme="majorHAnsi" w:eastAsia="Tahoma" w:hAnsiTheme="majorHAnsi" w:cs="Tahoma"/>
          <w:b/>
          <w:bCs/>
        </w:rPr>
        <w:t xml:space="preserve">: </w:t>
      </w:r>
      <w:r>
        <w:rPr>
          <w:rFonts w:asciiTheme="majorHAnsi" w:eastAsia="Tahoma" w:hAnsiTheme="majorHAnsi" w:cs="Tahoma"/>
          <w:b/>
          <w:bCs/>
        </w:rPr>
        <w:tab/>
      </w:r>
      <w:proofErr w:type="spellStart"/>
      <w:r w:rsidR="004A4C35">
        <w:rPr>
          <w:rFonts w:asciiTheme="majorHAnsi" w:eastAsia="Tahoma" w:hAnsiTheme="majorHAnsi" w:cs="Tahoma"/>
          <w:b/>
          <w:bCs/>
        </w:rPr>
        <w:t>xxxxxx</w:t>
      </w:r>
      <w:proofErr w:type="spellEnd"/>
    </w:p>
    <w:p w:rsidR="002B32C0" w:rsidRDefault="002B32C0" w:rsidP="002B32C0">
      <w:pPr>
        <w:spacing w:line="240" w:lineRule="auto"/>
        <w:ind w:left="80" w:firstLine="640"/>
        <w:contextualSpacing/>
        <w:rPr>
          <w:rFonts w:asciiTheme="majorHAnsi" w:hAnsiTheme="majorHAnsi"/>
        </w:rPr>
      </w:pPr>
      <w:proofErr w:type="spellStart"/>
      <w:r>
        <w:rPr>
          <w:rFonts w:asciiTheme="majorHAnsi" w:eastAsia="Tahoma" w:hAnsiTheme="majorHAnsi" w:cs="Tahoma"/>
        </w:rPr>
        <w:t>Ceiba</w:t>
      </w:r>
      <w:proofErr w:type="spellEnd"/>
      <w:r>
        <w:rPr>
          <w:rFonts w:asciiTheme="majorHAnsi" w:eastAsia="Tahoma" w:hAnsiTheme="majorHAnsi" w:cs="Tahoma"/>
        </w:rPr>
        <w:t xml:space="preserve"> s.r.o.</w:t>
      </w:r>
    </w:p>
    <w:p w:rsidR="002B32C0" w:rsidRDefault="002B32C0" w:rsidP="002B32C0">
      <w:pPr>
        <w:spacing w:line="240" w:lineRule="auto"/>
        <w:ind w:left="800"/>
        <w:contextualSpacing/>
        <w:rPr>
          <w:rFonts w:asciiTheme="majorHAnsi" w:hAnsiTheme="majorHAnsi"/>
        </w:rPr>
      </w:pPr>
      <w:r>
        <w:rPr>
          <w:rFonts w:asciiTheme="majorHAnsi" w:eastAsia="Tahoma" w:hAnsiTheme="majorHAnsi" w:cs="Tahoma"/>
        </w:rPr>
        <w:t>Jana Opletala 1265</w:t>
      </w:r>
    </w:p>
    <w:p w:rsidR="002B32C0" w:rsidRDefault="002B32C0" w:rsidP="002B32C0">
      <w:pPr>
        <w:spacing w:line="240" w:lineRule="auto"/>
        <w:ind w:left="80" w:firstLine="640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25001 Brandýs nad Labem</w:t>
      </w:r>
    </w:p>
    <w:p w:rsidR="002B32C0" w:rsidRDefault="002B32C0" w:rsidP="002B32C0">
      <w:pPr>
        <w:spacing w:line="240" w:lineRule="auto"/>
        <w:contextualSpacing/>
        <w:rPr>
          <w:rFonts w:asciiTheme="majorHAnsi" w:eastAsia="Tahoma" w:hAnsiTheme="majorHAnsi" w:cs="Tahoma"/>
          <w:b/>
          <w:bCs/>
        </w:rPr>
      </w:pPr>
    </w:p>
    <w:p w:rsidR="002B32C0" w:rsidRDefault="002B32C0" w:rsidP="002B32C0">
      <w:pPr>
        <w:spacing w:line="240" w:lineRule="auto"/>
        <w:contextualSpacing/>
        <w:rPr>
          <w:rFonts w:asciiTheme="majorHAnsi" w:eastAsiaTheme="minorEastAsia" w:hAnsiTheme="majorHAnsi" w:cs="Times New Roman"/>
        </w:rPr>
      </w:pPr>
      <w:r>
        <w:rPr>
          <w:rFonts w:asciiTheme="majorHAnsi" w:eastAsia="Tahoma" w:hAnsiTheme="majorHAnsi" w:cs="Tahoma"/>
          <w:b/>
          <w:bCs/>
        </w:rPr>
        <w:lastRenderedPageBreak/>
        <w:t>Pro:</w:t>
      </w:r>
      <w:r>
        <w:rPr>
          <w:rFonts w:asciiTheme="majorHAnsi" w:eastAsia="Tahoma" w:hAnsiTheme="majorHAnsi" w:cs="Tahoma"/>
          <w:b/>
          <w:bCs/>
        </w:rPr>
        <w:tab/>
        <w:t>Mgr. Michal Soukup</w:t>
      </w:r>
    </w:p>
    <w:p w:rsidR="002B32C0" w:rsidRDefault="002B32C0" w:rsidP="002B32C0">
      <w:pPr>
        <w:tabs>
          <w:tab w:val="left" w:pos="4111"/>
        </w:tabs>
        <w:spacing w:line="240" w:lineRule="auto"/>
        <w:ind w:right="71" w:firstLine="708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 xml:space="preserve">Muzeum umění Olomouc </w:t>
      </w:r>
    </w:p>
    <w:p w:rsidR="002B32C0" w:rsidRDefault="002B32C0" w:rsidP="002B32C0">
      <w:pPr>
        <w:tabs>
          <w:tab w:val="left" w:pos="4111"/>
        </w:tabs>
        <w:spacing w:line="240" w:lineRule="auto"/>
        <w:ind w:right="71" w:firstLine="708"/>
        <w:contextualSpacing/>
        <w:rPr>
          <w:rFonts w:asciiTheme="majorHAnsi" w:hAnsiTheme="majorHAnsi"/>
        </w:rPr>
      </w:pPr>
      <w:r>
        <w:rPr>
          <w:rFonts w:asciiTheme="majorHAnsi" w:eastAsia="Tahoma" w:hAnsiTheme="majorHAnsi" w:cs="Tahoma"/>
        </w:rPr>
        <w:t>Denisova 824/47</w:t>
      </w:r>
    </w:p>
    <w:p w:rsidR="002B32C0" w:rsidRDefault="002B32C0" w:rsidP="002B32C0">
      <w:pPr>
        <w:spacing w:line="240" w:lineRule="auto"/>
        <w:ind w:firstLine="708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77900 Olomouc</w:t>
      </w:r>
    </w:p>
    <w:p w:rsidR="002B32C0" w:rsidRDefault="002B32C0" w:rsidP="002B32C0">
      <w:pPr>
        <w:spacing w:line="240" w:lineRule="auto"/>
        <w:contextualSpacing/>
        <w:rPr>
          <w:rFonts w:asciiTheme="majorHAnsi" w:eastAsiaTheme="minorEastAsia" w:hAnsiTheme="majorHAnsi" w:cs="Times New Roman"/>
        </w:rPr>
        <w:sectPr w:rsidR="002B32C0" w:rsidSect="002B32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B32C0" w:rsidRDefault="002B32C0" w:rsidP="002B32C0">
      <w:pPr>
        <w:spacing w:line="240" w:lineRule="auto"/>
        <w:contextualSpacing/>
        <w:rPr>
          <w:rFonts w:asciiTheme="majorHAnsi" w:eastAsiaTheme="minorEastAsia" w:hAnsiTheme="majorHAnsi" w:cs="Times New Roman"/>
        </w:rPr>
      </w:pPr>
    </w:p>
    <w:p w:rsidR="002B32C0" w:rsidRDefault="002B32C0" w:rsidP="00766C3B">
      <w:pPr>
        <w:tabs>
          <w:tab w:val="left" w:pos="5670"/>
        </w:tabs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Telefon: </w:t>
      </w:r>
      <w:proofErr w:type="spellStart"/>
      <w:r w:rsidR="004A4C35">
        <w:rPr>
          <w:rFonts w:asciiTheme="majorHAnsi" w:hAnsiTheme="majorHAnsi"/>
        </w:rPr>
        <w:t>xxxxx</w:t>
      </w:r>
      <w:proofErr w:type="spellEnd"/>
      <w:r>
        <w:rPr>
          <w:rFonts w:asciiTheme="majorHAnsi" w:hAnsiTheme="majorHAnsi"/>
        </w:rPr>
        <w:tab/>
      </w:r>
      <w:proofErr w:type="spellStart"/>
      <w:r w:rsidR="004A4C35">
        <w:rPr>
          <w:rFonts w:asciiTheme="majorHAnsi" w:hAnsiTheme="majorHAnsi"/>
        </w:rPr>
        <w:t>xxxxxxxxxxxxxxxx</w:t>
      </w:r>
      <w:proofErr w:type="spellEnd"/>
    </w:p>
    <w:p w:rsidR="002B32C0" w:rsidRDefault="002B32C0" w:rsidP="00766C3B">
      <w:pPr>
        <w:tabs>
          <w:tab w:val="left" w:pos="5670"/>
        </w:tabs>
        <w:spacing w:line="240" w:lineRule="auto"/>
        <w:contextualSpacing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Email:</w:t>
      </w:r>
      <w:r w:rsidR="004A4C35">
        <w:rPr>
          <w:rFonts w:asciiTheme="majorHAnsi" w:hAnsiTheme="majorHAnsi"/>
        </w:rPr>
        <w:t>xxxxxx</w:t>
      </w:r>
      <w:proofErr w:type="spellEnd"/>
      <w:r>
        <w:rPr>
          <w:rFonts w:asciiTheme="majorHAnsi" w:hAnsiTheme="majorHAnsi"/>
        </w:rPr>
        <w:tab/>
      </w:r>
      <w:proofErr w:type="spellStart"/>
      <w:r w:rsidR="004A4C35">
        <w:rPr>
          <w:rFonts w:asciiTheme="majorHAnsi" w:hAnsiTheme="majorHAnsi"/>
        </w:rPr>
        <w:t>xxxxxxxxxxxxx</w:t>
      </w:r>
      <w:proofErr w:type="spellEnd"/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Datum: </w:t>
      </w:r>
      <w:proofErr w:type="gramStart"/>
      <w:r>
        <w:rPr>
          <w:rFonts w:asciiTheme="majorHAnsi" w:hAnsiTheme="majorHAnsi"/>
        </w:rPr>
        <w:t>10.10.2016</w:t>
      </w:r>
      <w:proofErr w:type="gramEnd"/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Cenová nabídka na „Vybavení depozitáře děl na papíře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Kód KL01911151 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hAnsiTheme="majorHAnsi"/>
        </w:rPr>
        <w:t xml:space="preserve">Produkt </w:t>
      </w:r>
      <w:r>
        <w:rPr>
          <w:rFonts w:asciiTheme="majorHAnsi" w:eastAsia="Tahoma" w:hAnsiTheme="majorHAnsi" w:cs="Tahoma"/>
        </w:rPr>
        <w:t>Tubus pro archivaci, přírodní bílá, délka 2100 mm průměr 150 mm, tloušťka 2.0 mm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MJ 5 ks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bez DPH 7820,- Kč bez 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s DPH 9462,- Kč s 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Theme="minorEastAsia" w:hAnsiTheme="majorHAnsi" w:cs="Times New Roman"/>
        </w:rPr>
      </w:pP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Kód KL01911121 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hAnsiTheme="majorHAnsi"/>
        </w:rPr>
        <w:t xml:space="preserve">Produkt </w:t>
      </w:r>
      <w:r>
        <w:rPr>
          <w:rFonts w:asciiTheme="majorHAnsi" w:eastAsia="Tahoma" w:hAnsiTheme="majorHAnsi" w:cs="Tahoma"/>
        </w:rPr>
        <w:t>Tubus pro archivaci, přírodní bílá, délka 2100 mm průměr 120 mm, tloušťka 2.0 mm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MJ 1 ks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bez DPH 1288,- Kč bez 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s DPH 1559,- Kč s 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Theme="minorEastAsia" w:hAnsiTheme="majorHAnsi" w:cs="Times New Roman"/>
        </w:rPr>
      </w:pP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Kód OST00071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Alkalický papír 150g, 700×1000 mm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MJ 600 listů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bez DPH 7800,- Kč bez 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s DPH 9438,- Kč s 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Theme="minorEastAsia" w:hAnsiTheme="majorHAnsi" w:cs="Times New Roman"/>
        </w:rPr>
      </w:pP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Kód KL010182 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 xml:space="preserve">Nekyselý hedvábný papír s neutrálním pH, 18 g, 100 cm×500m 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MJ 2 role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bez DPH 12200,- Kč bez 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s DPH 14762,- Kč s 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Theme="minorEastAsia" w:hAnsiTheme="majorHAnsi" w:cs="Times New Roman"/>
        </w:rPr>
      </w:pP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Kód 60046 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eastAsia="Tahoma" w:hAnsiTheme="majorHAnsi" w:cs="Tahoma"/>
        </w:rPr>
        <w:t>Spisové desky A0-klopové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MJ 60 ks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bez DPH 10440,- Kč bez 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s DPH 12632,- Kč s 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Theme="minorEastAsia" w:hAnsiTheme="majorHAnsi" w:cs="Times New Roman"/>
        </w:rPr>
      </w:pP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Kód 60045 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eastAsia="Tahoma" w:hAnsiTheme="majorHAnsi" w:cs="Tahoma"/>
        </w:rPr>
        <w:t>Spisové desky A1-klopové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MJ 200 ks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bez DPH 20948,- Kč bez 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s DPH 25347,- Kč s 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Theme="minorEastAsia" w:hAnsiTheme="majorHAnsi" w:cs="Times New Roman"/>
        </w:rPr>
      </w:pPr>
      <w:r>
        <w:rPr>
          <w:rFonts w:asciiTheme="majorHAnsi" w:hAnsiTheme="majorHAnsi"/>
        </w:rPr>
        <w:t>Kód D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eastAsia="Tahoma" w:hAnsiTheme="majorHAnsi" w:cs="Tahoma"/>
        </w:rPr>
        <w:lastRenderedPageBreak/>
        <w:t>Doprava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MJ 1 ks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bez DPH 0,- Kč bez 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Cena celkem s DPH 0,- Kč s DPH</w:t>
      </w: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</w:p>
    <w:p w:rsidR="002B32C0" w:rsidRDefault="002B32C0" w:rsidP="002B32C0">
      <w:pPr>
        <w:tabs>
          <w:tab w:val="left" w:pos="4678"/>
        </w:tabs>
        <w:spacing w:line="240" w:lineRule="auto"/>
        <w:contextualSpacing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Celkem 60496,- bez DPH, 73200,- s DPH</w:t>
      </w:r>
      <w:r>
        <w:rPr>
          <w:rFonts w:asciiTheme="majorHAnsi" w:eastAsia="Tahoma" w:hAnsiTheme="majorHAnsi" w:cs="Tahoma"/>
        </w:rPr>
        <w:tab/>
      </w:r>
      <w:r>
        <w:rPr>
          <w:rFonts w:asciiTheme="majorHAnsi" w:eastAsia="Tahoma" w:hAnsiTheme="majorHAnsi" w:cs="Tahoma"/>
        </w:rPr>
        <w:tab/>
      </w:r>
    </w:p>
    <w:sectPr w:rsidR="002B32C0" w:rsidSect="002B32C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11" w:rsidRDefault="008E7D11" w:rsidP="00131A9E">
      <w:pPr>
        <w:spacing w:after="0" w:line="240" w:lineRule="auto"/>
      </w:pPr>
      <w:r>
        <w:separator/>
      </w:r>
    </w:p>
  </w:endnote>
  <w:endnote w:type="continuationSeparator" w:id="0">
    <w:p w:rsidR="008E7D11" w:rsidRDefault="008E7D11" w:rsidP="0013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7266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31A9E" w:rsidRDefault="00131A9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C3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C3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1A9E" w:rsidRDefault="00131A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11" w:rsidRDefault="008E7D11" w:rsidP="00131A9E">
      <w:pPr>
        <w:spacing w:after="0" w:line="240" w:lineRule="auto"/>
      </w:pPr>
      <w:r>
        <w:separator/>
      </w:r>
    </w:p>
  </w:footnote>
  <w:footnote w:type="continuationSeparator" w:id="0">
    <w:p w:rsidR="008E7D11" w:rsidRDefault="008E7D11" w:rsidP="00131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C0"/>
    <w:rsid w:val="00027124"/>
    <w:rsid w:val="000346CE"/>
    <w:rsid w:val="00131A9E"/>
    <w:rsid w:val="001D7970"/>
    <w:rsid w:val="001F7EA3"/>
    <w:rsid w:val="002A1FB5"/>
    <w:rsid w:val="002B32C0"/>
    <w:rsid w:val="004A4C35"/>
    <w:rsid w:val="00766C3B"/>
    <w:rsid w:val="00775D5B"/>
    <w:rsid w:val="008E7D11"/>
    <w:rsid w:val="00B7727B"/>
    <w:rsid w:val="00CD11C0"/>
    <w:rsid w:val="00E4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D11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3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1A9E"/>
  </w:style>
  <w:style w:type="paragraph" w:styleId="Zpat">
    <w:name w:val="footer"/>
    <w:basedOn w:val="Normln"/>
    <w:link w:val="ZpatChar"/>
    <w:uiPriority w:val="99"/>
    <w:unhideWhenUsed/>
    <w:rsid w:val="0013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1A9E"/>
  </w:style>
  <w:style w:type="paragraph" w:styleId="Textbubliny">
    <w:name w:val="Balloon Text"/>
    <w:basedOn w:val="Normln"/>
    <w:link w:val="TextbublinyChar"/>
    <w:uiPriority w:val="99"/>
    <w:semiHidden/>
    <w:unhideWhenUsed/>
    <w:rsid w:val="0013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A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B3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D11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3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1A9E"/>
  </w:style>
  <w:style w:type="paragraph" w:styleId="Zpat">
    <w:name w:val="footer"/>
    <w:basedOn w:val="Normln"/>
    <w:link w:val="ZpatChar"/>
    <w:uiPriority w:val="99"/>
    <w:unhideWhenUsed/>
    <w:rsid w:val="0013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1A9E"/>
  </w:style>
  <w:style w:type="paragraph" w:styleId="Textbubliny">
    <w:name w:val="Balloon Text"/>
    <w:basedOn w:val="Normln"/>
    <w:link w:val="TextbublinyChar"/>
    <w:uiPriority w:val="99"/>
    <w:semiHidden/>
    <w:unhideWhenUsed/>
    <w:rsid w:val="0013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A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B3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8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Perutková Marta</dc:creator>
  <cp:lastModifiedBy>Eva Jurečková</cp:lastModifiedBy>
  <cp:revision>5</cp:revision>
  <cp:lastPrinted>2016-10-13T06:24:00Z</cp:lastPrinted>
  <dcterms:created xsi:type="dcterms:W3CDTF">2016-10-25T12:37:00Z</dcterms:created>
  <dcterms:modified xsi:type="dcterms:W3CDTF">2016-10-25T13:25:00Z</dcterms:modified>
</cp:coreProperties>
</file>