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AF3" w:rsidRPr="00D57EDE" w:rsidRDefault="00A66AF3" w:rsidP="00A66AF3">
      <w:pPr>
        <w:pStyle w:val="Smlouva"/>
        <w:rPr>
          <w:rFonts w:ascii="Arial Black" w:hAnsi="Arial Black"/>
          <w:color w:val="auto"/>
          <w:sz w:val="44"/>
          <w:szCs w:val="44"/>
        </w:rPr>
      </w:pPr>
      <w:bookmarkStart w:id="0" w:name="OLE_LINK1"/>
      <w:r w:rsidRPr="00D57EDE">
        <w:rPr>
          <w:rFonts w:ascii="Arial Black" w:hAnsi="Arial Black"/>
          <w:color w:val="auto"/>
          <w:sz w:val="44"/>
          <w:szCs w:val="44"/>
        </w:rPr>
        <w:t>OBCHODNÍ PODMÍNKY PRO ZHOTOVENÍ STAVBY</w:t>
      </w:r>
    </w:p>
    <w:p w:rsidR="00A66AF3" w:rsidRPr="00D57EDE" w:rsidRDefault="00A66AF3" w:rsidP="00A66AF3">
      <w:pPr>
        <w:pStyle w:val="StyllnekPed30b"/>
        <w:numPr>
          <w:ilvl w:val="0"/>
          <w:numId w:val="0"/>
        </w:numPr>
        <w:spacing w:line="240" w:lineRule="atLeast"/>
        <w:jc w:val="both"/>
        <w:outlineLvl w:val="0"/>
        <w:rPr>
          <w:rFonts w:ascii="Arial" w:hAnsi="Arial" w:cs="Arial"/>
          <w:color w:val="auto"/>
        </w:rPr>
      </w:pPr>
      <w:r w:rsidRPr="00D57EDE">
        <w:rPr>
          <w:rFonts w:ascii="Arial" w:hAnsi="Arial" w:cs="Arial"/>
          <w:color w:val="auto"/>
        </w:rPr>
        <w:t xml:space="preserve">Preambule:  </w:t>
      </w:r>
    </w:p>
    <w:p w:rsidR="00A66AF3" w:rsidRPr="00D57EDE" w:rsidRDefault="00A66AF3" w:rsidP="00A66AF3">
      <w:pPr>
        <w:pStyle w:val="StyllnekPed30b"/>
        <w:numPr>
          <w:ilvl w:val="0"/>
          <w:numId w:val="0"/>
        </w:numPr>
        <w:spacing w:line="240" w:lineRule="atLeast"/>
        <w:jc w:val="both"/>
        <w:rPr>
          <w:rFonts w:ascii="Arial" w:hAnsi="Arial" w:cs="Arial"/>
          <w:b w:val="0"/>
          <w:bCs w:val="0"/>
          <w:color w:val="auto"/>
          <w:sz w:val="24"/>
          <w:szCs w:val="24"/>
        </w:rPr>
      </w:pPr>
      <w:r w:rsidRPr="00D57EDE">
        <w:rPr>
          <w:rFonts w:ascii="Arial" w:hAnsi="Arial" w:cs="Arial"/>
          <w:color w:val="auto"/>
          <w:sz w:val="24"/>
          <w:szCs w:val="24"/>
        </w:rPr>
        <w:t>Tyto obchodní podmínky definují základní pravidla a principy obchodního vztahu mezi objednatele</w:t>
      </w:r>
      <w:r>
        <w:rPr>
          <w:rFonts w:ascii="Arial" w:hAnsi="Arial" w:cs="Arial"/>
          <w:color w:val="auto"/>
          <w:sz w:val="24"/>
          <w:szCs w:val="24"/>
        </w:rPr>
        <w:t>m</w:t>
      </w:r>
      <w:r w:rsidRPr="00D57EDE">
        <w:rPr>
          <w:rFonts w:ascii="Arial" w:hAnsi="Arial" w:cs="Arial"/>
          <w:color w:val="auto"/>
          <w:sz w:val="24"/>
          <w:szCs w:val="24"/>
        </w:rPr>
        <w:t xml:space="preserve"> a zhotovitelem stavby. Obchodní podmínky popisují základní práva a povinnosti smluvních stran, které se standardně vyskytují u veřejných zakázek na stavební práce. Odchylky nebo zvláštní ujednání vztahující se ke specifikům konkrétní stavby jsou obsahem smlouvy o dílo, jejíž ustanovení mají přednost před těmito obchodními podmínkami. </w:t>
      </w:r>
    </w:p>
    <w:p w:rsidR="00A66AF3" w:rsidRPr="00D57EDE" w:rsidRDefault="00A66AF3" w:rsidP="00A66AF3">
      <w:pPr>
        <w:spacing w:before="120"/>
        <w:ind w:left="2940" w:hanging="2940"/>
        <w:jc w:val="center"/>
        <w:rPr>
          <w:rFonts w:ascii="Arial Black" w:hAnsi="Arial Black" w:cs="Arial"/>
          <w:b/>
          <w:bCs/>
          <w:snapToGrid w:val="0"/>
          <w:sz w:val="36"/>
        </w:rPr>
      </w:pPr>
    </w:p>
    <w:bookmarkEnd w:id="0"/>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 xml:space="preserve">Pojmy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Pojmy obchodních podmínek</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V rámci obchodních podmínek jsou použita označení a názvy obvyklé v procesu výstavby. Pro jednoznačnost použitých pojmů se pod jednotlivými pojmy rozumí: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Dodatečnými stavebními pracemi </w:t>
      </w:r>
      <w:r w:rsidRPr="00D57EDE">
        <w:rPr>
          <w:rFonts w:ascii="Arial" w:hAnsi="Arial" w:cs="Arial"/>
          <w:iCs/>
        </w:rPr>
        <w:t>stavební práce, dodávky nebo služby, které vznikly při zhotovování stavby v důsledku nepředvídatelných objektivních okolností, které nezavinil ani nezpůsobil objednatel a jejichž provedení je pro zhotovení stavby nezbytné nebo je od sjednaných stavebních prací nelze technicky nebo ekonomicky oddělit.</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bCs/>
          <w:iCs/>
        </w:rPr>
        <w:t xml:space="preserve">Harmonogramem </w:t>
      </w:r>
      <w:r w:rsidRPr="00D57EDE">
        <w:rPr>
          <w:rFonts w:ascii="Arial" w:hAnsi="Arial" w:cs="Arial"/>
          <w:bCs/>
          <w:iCs/>
        </w:rPr>
        <w:t xml:space="preserve">dokument, který vyjadřuje průběh zhotovování stavby v čase, kde na věcné ose jsou definovány nejméně všechny stavební či inženýrské objekty nebo provozní soubory a rovněž podstatné činnosti, jejichž splnění je povinností zhotovitele a na časové ose je podrobnost definována nejméně na měsíce.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Havárií </w:t>
      </w:r>
      <w:r w:rsidRPr="00D57EDE">
        <w:rPr>
          <w:rFonts w:ascii="Arial" w:hAnsi="Arial" w:cs="Arial"/>
          <w:iCs/>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Cs/>
          <w:iCs/>
        </w:rPr>
      </w:pPr>
      <w:r w:rsidRPr="00D57EDE">
        <w:rPr>
          <w:rFonts w:ascii="Arial" w:hAnsi="Arial" w:cs="Arial"/>
          <w:b/>
          <w:bCs/>
          <w:iCs/>
        </w:rPr>
        <w:t xml:space="preserve">Koordinátorem bezpečnosti práce </w:t>
      </w:r>
      <w:r w:rsidRPr="00D57EDE">
        <w:rPr>
          <w:rFonts w:ascii="Arial" w:hAnsi="Arial" w:cs="Arial"/>
          <w:bCs/>
          <w:iCs/>
        </w:rPr>
        <w:t>osoba s odbornou způsobilostí, zajišťující pro objednatele kontrolu a dohled v oblasti hodnocení a prevenci rizik možného ohrožení života nebo zdraví pracovníků na staveništi.</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Lhůtou pro dokončení díla (stavebních prací) </w:t>
      </w:r>
      <w:r w:rsidRPr="00D57EDE">
        <w:rPr>
          <w:rFonts w:ascii="Arial" w:hAnsi="Arial" w:cs="Arial"/>
          <w:iCs/>
        </w:rPr>
        <w:t>doba mezi termínem zahájení prací a dnem, kdy zhotovitel písemně sdělí objednateli, že stavba je dokončena a může být zahájeno předávací a přejímací řízení. Do této lhůty se započítávají oba krajní termíny.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Méněpracemi </w:t>
      </w:r>
      <w:r w:rsidRPr="00D57EDE">
        <w:rPr>
          <w:rFonts w:ascii="Arial" w:hAnsi="Arial" w:cs="Arial"/>
          <w:iCs/>
        </w:rPr>
        <w:t>stavební práce, dodávky nebo služby, které nejsou nezbytné pro zhotovení stavby nebo jsou nahrazeny jinými stavebními pracemi, dodávkami nebo službami a jsou zahrnuté v předmětu díla a jejich cena je zahrnuta ve sjednané ceně a zhotovitel se s objednatelem dohodl na jejich neprovedení.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Nedodělkem </w:t>
      </w:r>
      <w:r w:rsidRPr="00D57EDE">
        <w:rPr>
          <w:rFonts w:ascii="Arial" w:hAnsi="Arial" w:cs="Arial"/>
          <w:iCs/>
        </w:rPr>
        <w:t>nedokončené nebo neprovedené stavební práce, dodávky nebo služby proti rozsahu stanovenému příslušnou dokumentací nebo smlouvou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Objednatelem </w:t>
      </w:r>
      <w:r w:rsidRPr="00D57EDE">
        <w:rPr>
          <w:rFonts w:ascii="Arial" w:hAnsi="Arial" w:cs="Arial"/>
          <w:iCs/>
        </w:rPr>
        <w:t>osoba označená ve smlouvě jako objednatel.</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Ostatními náklady </w:t>
      </w:r>
      <w:r w:rsidRPr="00D57EDE">
        <w:rPr>
          <w:rFonts w:ascii="StempelGaramondLTPro-Roman" w:hAnsi="StempelGaramondLTPro-Roman" w:cs="StempelGaramondLTPro-Roman"/>
        </w:rPr>
        <w:t>náklady spojené s pln</w:t>
      </w:r>
      <w:r w:rsidRPr="00D57EDE">
        <w:rPr>
          <w:rFonts w:ascii="StempelGaramondLTPro-Roman+01" w:hAnsi="StempelGaramondLTPro-Roman+01" w:cs="StempelGaramondLTPro-Roman+01"/>
        </w:rPr>
        <w:t>ě</w:t>
      </w:r>
      <w:r w:rsidRPr="00D57EDE">
        <w:rPr>
          <w:rFonts w:ascii="StempelGaramondLTPro-Roman" w:hAnsi="StempelGaramondLTPro-Roman" w:cs="StempelGaramondLTPro-Roman"/>
        </w:rPr>
        <w:t>ním povinností zhotovitele neuvedené v soupisech stavebních prací, dodávek a služeb jednotlivých stavebních objekt</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in</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enýrských objekt</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xml:space="preserve"> nebo provozních soubor</w:t>
      </w:r>
      <w:r w:rsidRPr="00D57EDE">
        <w:rPr>
          <w:rFonts w:ascii="StempelGaramondLTPro-Roman+01" w:hAnsi="StempelGaramondLTPro-Roman+01" w:cs="StempelGaramondLTPro-Roman+01"/>
        </w:rPr>
        <w:t xml:space="preserve">ů </w:t>
      </w:r>
      <w:r w:rsidRPr="00D57EDE">
        <w:rPr>
          <w:rFonts w:ascii="StempelGaramondLTPro-Roman" w:hAnsi="StempelGaramondLTPro-Roman" w:cs="StempelGaramondLTPro-Roman"/>
        </w:rPr>
        <w:t xml:space="preserve">ani v </w:t>
      </w:r>
      <w:r w:rsidRPr="00D57EDE">
        <w:rPr>
          <w:rFonts w:ascii="StempelGaramondLTPro-Roman" w:hAnsi="StempelGaramondLTPro-Roman" w:cs="StempelGaramondLTPro-Roman"/>
        </w:rPr>
        <w:lastRenderedPageBreak/>
        <w:t>soupisu vedlej</w:t>
      </w:r>
      <w:r w:rsidRPr="00D57EDE">
        <w:rPr>
          <w:rFonts w:ascii="StempelGaramondLTPro-Roman+01" w:hAnsi="StempelGaramondLTPro-Roman+01" w:cs="StempelGaramondLTPro-Roman+01"/>
        </w:rPr>
        <w:t>š</w:t>
      </w:r>
      <w:r w:rsidRPr="00D57EDE">
        <w:rPr>
          <w:rFonts w:ascii="StempelGaramondLTPro-Roman" w:hAnsi="StempelGaramondLTPro-Roman" w:cs="StempelGaramondLTPro-Roman"/>
        </w:rPr>
        <w:t>ích náklad</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Ostatními náklady jsou zejména náklady na vyhotovení dokumentace skute</w:t>
      </w:r>
      <w:r w:rsidRPr="00D57EDE">
        <w:rPr>
          <w:rFonts w:ascii="StempelGaramondLTPro-Roman+01" w:hAnsi="StempelGaramondLTPro-Roman+01" w:cs="StempelGaramondLTPro-Roman+01"/>
        </w:rPr>
        <w:t>č</w:t>
      </w:r>
      <w:r w:rsidRPr="00D57EDE">
        <w:rPr>
          <w:rFonts w:ascii="StempelGaramondLTPro-Roman" w:hAnsi="StempelGaramondLTPro-Roman" w:cs="StempelGaramondLTPro-Roman"/>
        </w:rPr>
        <w:t>ného provedení stavby, náklady na geodetické zam</w:t>
      </w:r>
      <w:r w:rsidRPr="00D57EDE">
        <w:rPr>
          <w:rFonts w:ascii="StempelGaramondLTPro-Roman+01" w:hAnsi="StempelGaramondLTPro-Roman+01" w:cs="StempelGaramondLTPro-Roman+01"/>
        </w:rPr>
        <w:t>ěř</w:t>
      </w:r>
      <w:r w:rsidRPr="00D57EDE">
        <w:rPr>
          <w:rFonts w:ascii="StempelGaramondLTPro-Roman" w:hAnsi="StempelGaramondLTPro-Roman" w:cs="StempelGaramondLTPro-Roman"/>
        </w:rPr>
        <w:t>ení dokon</w:t>
      </w:r>
      <w:r w:rsidRPr="00D57EDE">
        <w:rPr>
          <w:rFonts w:ascii="StempelGaramondLTPro-Roman+01" w:hAnsi="StempelGaramondLTPro-Roman+01" w:cs="StempelGaramondLTPro-Roman+01"/>
        </w:rPr>
        <w:t>č</w:t>
      </w:r>
      <w:r w:rsidRPr="00D57EDE">
        <w:rPr>
          <w:rFonts w:ascii="StempelGaramondLTPro-Roman" w:hAnsi="StempelGaramondLTPro-Roman" w:cs="StempelGaramondLTPro-Roman"/>
        </w:rPr>
        <w:t>eného díla, náklady spojené s podmínkami pro publicitu projektu a další náklad vyplývající z obchodních podmínek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Položkovým rozpočtem z</w:t>
      </w:r>
      <w:r w:rsidRPr="00D57EDE">
        <w:rPr>
          <w:rFonts w:ascii="Arial" w:hAnsi="Arial" w:cs="Arial"/>
          <w:iCs/>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bCs/>
          <w:iCs/>
        </w:rPr>
        <w:t xml:space="preserve">Provozním souborem </w:t>
      </w:r>
      <w:r w:rsidRPr="00D57EDE">
        <w:rPr>
          <w:rFonts w:ascii="Arial" w:hAnsi="Arial" w:cs="Arial"/>
          <w:bCs/>
          <w:iCs/>
        </w:rPr>
        <w:t>funkčně ucelená část</w:t>
      </w:r>
      <w:r w:rsidRPr="00D57EDE">
        <w:rPr>
          <w:rFonts w:ascii="Arial" w:hAnsi="Arial" w:cs="Arial"/>
          <w:b/>
          <w:bCs/>
          <w:iCs/>
        </w:rPr>
        <w:t xml:space="preserve"> </w:t>
      </w:r>
      <w:r w:rsidRPr="00D57EDE">
        <w:rPr>
          <w:rFonts w:ascii="Arial" w:hAnsi="Arial" w:cs="Arial"/>
          <w:bCs/>
          <w:iCs/>
        </w:rPr>
        <w:t xml:space="preserve">technologické části stavby, tvořená souhrnem technologických strojů a zařízení, která vykonává ucelený technologický proces.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Příslušnou dokumentací </w:t>
      </w:r>
      <w:r w:rsidRPr="00D57EDE">
        <w:rPr>
          <w:rFonts w:ascii="Arial" w:hAnsi="Arial" w:cs="Arial"/>
          <w:iCs/>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rPr>
      </w:pPr>
      <w:r w:rsidRPr="00D57EDE">
        <w:rPr>
          <w:rFonts w:ascii="Arial" w:hAnsi="Arial" w:cs="Arial"/>
          <w:b/>
          <w:iCs/>
        </w:rPr>
        <w:t>Smlouvou</w:t>
      </w:r>
      <w:r w:rsidRPr="00D57EDE">
        <w:rPr>
          <w:rFonts w:ascii="Arial" w:hAnsi="Arial" w:cs="Arial"/>
          <w:iCs/>
        </w:rPr>
        <w:t xml:space="preserve"> dokument podepsaný oprávněnými zástupci objednatele a zhotovitele, v němž jsou obsaženy všechny podstatné náležitosti podle zvláštního právního předpisu, včetně všech jeho příloh, jakož i veškeré jeho změny a dodatky, které budou uzavřeny v souladu s ustanoveními smlouvy.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Smluvní stranou </w:t>
      </w:r>
      <w:r w:rsidRPr="00D57EDE">
        <w:rPr>
          <w:rFonts w:ascii="Arial" w:hAnsi="Arial" w:cs="Arial"/>
          <w:iCs/>
        </w:rPr>
        <w:t>osoba objednatele nebo osoba zhotovitele</w:t>
      </w:r>
      <w:r w:rsidRPr="00D57EDE">
        <w:rPr>
          <w:rFonts w:ascii="Arial" w:hAnsi="Arial" w:cs="Arial"/>
          <w:b/>
          <w:iCs/>
        </w:rPr>
        <w:t xml:space="preserve">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Soupisem provedených prací </w:t>
      </w:r>
      <w:r w:rsidRPr="00D57EDE">
        <w:rPr>
          <w:rFonts w:ascii="Arial" w:hAnsi="Arial" w:cs="Arial"/>
          <w:iCs/>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Soupisem stavebních prací, dodávek a služeb </w:t>
      </w:r>
      <w:r w:rsidRPr="00D57EDE">
        <w:rPr>
          <w:rFonts w:ascii="Arial" w:hAnsi="Arial" w:cs="Arial"/>
          <w:iCs/>
        </w:rPr>
        <w:t>podrobný popis všech stavebních prací, dodávek či služeb nezbytných k úplnému zhotovení stavby, včetně popisu dalších prací, dodávek a služeb nezbytných k plnění požadavků objednatele s vymezeným rozsahem druhu, kvality a kvantity požadovaných stavebních prací, dodávek a služeb.</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Termínem zahájení prací </w:t>
      </w:r>
      <w:r w:rsidRPr="00D57EDE">
        <w:rPr>
          <w:rFonts w:ascii="Arial" w:hAnsi="Arial" w:cs="Arial"/>
          <w:iCs/>
        </w:rPr>
        <w:t xml:space="preserve">den, v němž dojde k protokolárnímu předání a převzetí staveniště mezi objednatelem a zhotovitelem - datum,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Staveništěm </w:t>
      </w:r>
      <w:r w:rsidRPr="00D57EDE">
        <w:rPr>
          <w:rFonts w:ascii="Arial" w:hAnsi="Arial" w:cs="Arial"/>
          <w:iCs/>
        </w:rPr>
        <w:t>prostory a plochy určené v příslušné dokumentaci a v pravomocném územním rozhodnutí pro provádění stavby, které zhotovitel použije pro realizaci stavby a pro umístění zařízení staveniště.</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Zařízením staveniště </w:t>
      </w:r>
      <w:r w:rsidRPr="00D57EDE">
        <w:rPr>
          <w:rFonts w:ascii="Arial" w:hAnsi="Arial" w:cs="Arial"/>
          <w:iCs/>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Vícepracemi  </w:t>
      </w:r>
      <w:r w:rsidRPr="00D57EDE">
        <w:rPr>
          <w:rFonts w:ascii="Arial" w:hAnsi="Arial" w:cs="Arial"/>
          <w:iCs/>
        </w:rPr>
        <w:t>stavební práce, dodávky nebo služby, které jsou nezbytné pro zhotovení stavby a nejsou zahrnuté v předmětu díla dle smlouvy a ani jejich cena není zahrnuta ve sjednané ceně a zhotovitel se s objednatelem dohodl na jejich provedení.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Výkazem výměr </w:t>
      </w:r>
      <w:r w:rsidRPr="00D57EDE">
        <w:rPr>
          <w:rFonts w:ascii="Arial" w:hAnsi="Arial" w:cs="Arial"/>
          <w:iCs/>
        </w:rPr>
        <w:t>matematický a verbální popis způsobu stanovení množství požadovaných stavebních prací, dodávek a služeb s uvedením postupu výpočtu a s odkazem na konkrétní výkresovou část příslušné dokumentace.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Vadou </w:t>
      </w:r>
      <w:r w:rsidRPr="00D57EDE">
        <w:rPr>
          <w:rFonts w:ascii="Arial" w:hAnsi="Arial" w:cs="Arial"/>
          <w:iCs/>
        </w:rPr>
        <w:t>odchylka v kvalitě, obsahu, rozsahu nebo parametrech předmětu plnění či jeho části, proti podmínkám stanoveným příslušnou dokumentací, smlouvou nebo technickými normami či obecně závaznými předpisy.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Technickým dozorem </w:t>
      </w:r>
      <w:r w:rsidRPr="00D57EDE">
        <w:rPr>
          <w:rFonts w:ascii="Arial" w:hAnsi="Arial" w:cs="Arial"/>
          <w:iCs/>
        </w:rPr>
        <w:t>osoba zajišťující pro objednatele odbornou kontrolní činnost při přípravě, zhotovování a dokončení stavby.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Termín dokončení </w:t>
      </w:r>
      <w:r w:rsidRPr="00D57EDE">
        <w:rPr>
          <w:rFonts w:ascii="Arial" w:hAnsi="Arial" w:cs="Arial"/>
          <w:iCs/>
        </w:rPr>
        <w:t>den, ve kterém zhotovitel doručí písemně objednateli sdělení, že stavební práce a veškeré další činnosti na díle ukončil a že je dílo připraveno k předání a převzetí.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Termín předání a převzetí</w:t>
      </w:r>
      <w:r w:rsidRPr="00D57EDE">
        <w:rPr>
          <w:rFonts w:ascii="Arial" w:hAnsi="Arial" w:cs="Arial"/>
          <w:iCs/>
        </w:rPr>
        <w:t xml:space="preserve"> den, ve kterém dojde k oboustrannému podpisu protokolu o úspěšném předání a převzetí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lastRenderedPageBreak/>
        <w:t xml:space="preserve">Subdodavatelem </w:t>
      </w:r>
      <w:r w:rsidRPr="00D57EDE">
        <w:rPr>
          <w:rFonts w:ascii="Arial" w:hAnsi="Arial" w:cs="Arial"/>
          <w:iCs/>
        </w:rPr>
        <w:t>právnická nebo fyzická osoba</w:t>
      </w:r>
      <w:r w:rsidRPr="00D57EDE">
        <w:rPr>
          <w:rFonts w:ascii="Arial" w:hAnsi="Arial" w:cs="Arial"/>
        </w:rPr>
        <w:t xml:space="preserve">, pomocí které má zhotovitel plnit určitou část díla nebo osoba která má poskytnout zhotoviteli k plnění díla určité věci či práva </w:t>
      </w:r>
      <w:r w:rsidRPr="00D57EDE">
        <w:rPr>
          <w:rFonts w:ascii="Arial" w:hAnsi="Arial" w:cs="Arial"/>
          <w:iCs/>
        </w:rPr>
        <w:t>na základě samostatné smlouvy uzavřené mezi zhotovitelem a jeho subdodavatelem.</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Vedlejšími náklady</w:t>
      </w:r>
      <w:r w:rsidRPr="00D57EDE">
        <w:rPr>
          <w:rFonts w:ascii="Arial" w:hAnsi="Arial" w:cs="Arial"/>
          <w:iCs/>
        </w:rPr>
        <w:t xml:space="preserve"> </w:t>
      </w:r>
      <w:r w:rsidRPr="00D57EDE">
        <w:rPr>
          <w:rFonts w:ascii="StempelGaramondLTPro-Roman" w:hAnsi="StempelGaramondLTPro-Roman" w:cs="StempelGaramondLTPro-Roman"/>
        </w:rPr>
        <w:t>náklady nezbytné pro zhotovení stavby, spole</w:t>
      </w:r>
      <w:r w:rsidRPr="00D57EDE">
        <w:rPr>
          <w:rFonts w:ascii="StempelGaramondLTPro-Roman+01" w:hAnsi="StempelGaramondLTPro-Roman+01" w:cs="StempelGaramondLTPro-Roman+01"/>
        </w:rPr>
        <w:t>č</w:t>
      </w:r>
      <w:r w:rsidRPr="00D57EDE">
        <w:rPr>
          <w:rFonts w:ascii="StempelGaramondLTPro-Roman" w:hAnsi="StempelGaramondLTPro-Roman" w:cs="StempelGaramondLTPro-Roman"/>
        </w:rPr>
        <w:t>né pro celou stavbu, nezahrnuté v soupisech stavebních prací jednotlivých stavebních objekt</w:t>
      </w:r>
      <w:r w:rsidRPr="00D57EDE">
        <w:rPr>
          <w:rFonts w:ascii="StempelGaramondLTPro-Roman+01" w:hAnsi="StempelGaramondLTPro-Roman+01" w:cs="StempelGaramondLTPro-Roman+01"/>
        </w:rPr>
        <w:t xml:space="preserve">ů, </w:t>
      </w:r>
      <w:r w:rsidRPr="00D57EDE">
        <w:rPr>
          <w:rFonts w:ascii="StempelGaramondLTPro-Roman" w:hAnsi="StempelGaramondLTPro-Roman" w:cs="StempelGaramondLTPro-Roman"/>
        </w:rPr>
        <w:t>in</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enýrských objekt</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nebo provozních soubor</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jejichž předmětem jsou zejména po</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adavky související s vybudováním, provozem a likvidací za</w:t>
      </w:r>
      <w:r w:rsidRPr="00D57EDE">
        <w:rPr>
          <w:rFonts w:ascii="StempelGaramondLTPro-Roman+01" w:hAnsi="StempelGaramondLTPro-Roman+01" w:cs="StempelGaramondLTPro-Roman+01"/>
        </w:rPr>
        <w:t>ř</w:t>
      </w:r>
      <w:r w:rsidRPr="00D57EDE">
        <w:rPr>
          <w:rFonts w:ascii="StempelGaramondLTPro-Roman" w:hAnsi="StempelGaramondLTPro-Roman" w:cs="StempelGaramondLTPro-Roman"/>
        </w:rPr>
        <w:t>ízení staveni</w:t>
      </w:r>
      <w:r w:rsidRPr="00D57EDE">
        <w:rPr>
          <w:rFonts w:ascii="StempelGaramondLTPro-Roman+01" w:hAnsi="StempelGaramondLTPro-Roman+01" w:cs="StempelGaramondLTPro-Roman+01"/>
        </w:rPr>
        <w:t>š</w:t>
      </w:r>
      <w:r w:rsidRPr="00D57EDE">
        <w:rPr>
          <w:rFonts w:ascii="StempelGaramondLTPro-Roman" w:hAnsi="StempelGaramondLTPro-Roman" w:cs="StempelGaramondLTPro-Roman"/>
        </w:rPr>
        <w:t>t</w:t>
      </w:r>
      <w:r w:rsidRPr="00D57EDE">
        <w:rPr>
          <w:rFonts w:ascii="StempelGaramondLTPro-Roman+01" w:hAnsi="StempelGaramondLTPro-Roman+01" w:cs="StempelGaramondLTPro-Roman+01"/>
        </w:rPr>
        <w:t>ě</w:t>
      </w:r>
      <w:r w:rsidRPr="00D57EDE">
        <w:rPr>
          <w:rFonts w:ascii="StempelGaramondLTPro-Roman" w:hAnsi="StempelGaramondLTPro-Roman" w:cs="StempelGaramondLTPro-Roman"/>
        </w:rPr>
        <w:t>, ztí</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ené výrobní podmínky související s umíst</w:t>
      </w:r>
      <w:r w:rsidRPr="00D57EDE">
        <w:rPr>
          <w:rFonts w:ascii="StempelGaramondLTPro-Roman+01" w:hAnsi="StempelGaramondLTPro-Roman+01" w:cs="StempelGaramondLTPro-Roman+01"/>
        </w:rPr>
        <w:t>ě</w:t>
      </w:r>
      <w:r w:rsidRPr="00D57EDE">
        <w:rPr>
          <w:rFonts w:ascii="StempelGaramondLTPro-Roman" w:hAnsi="StempelGaramondLTPro-Roman" w:cs="StempelGaramondLTPro-Roman"/>
        </w:rPr>
        <w:t>ním stavby, provozními nebo dopravními omezeními, pokud jsou objednatelem po</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adovány, p</w:t>
      </w:r>
      <w:r w:rsidRPr="00D57EDE">
        <w:rPr>
          <w:rFonts w:ascii="StempelGaramondLTPro-Roman+01" w:hAnsi="StempelGaramondLTPro-Roman+01" w:cs="StempelGaramondLTPro-Roman+01"/>
        </w:rPr>
        <w:t>ř</w:t>
      </w:r>
      <w:r w:rsidRPr="00D57EDE">
        <w:rPr>
          <w:rFonts w:ascii="StempelGaramondLTPro-Roman" w:hAnsi="StempelGaramondLTPro-Roman" w:cs="StempelGaramondLTPro-Roman"/>
        </w:rPr>
        <w:t>ípadn</w:t>
      </w:r>
      <w:r w:rsidRPr="00D57EDE">
        <w:rPr>
          <w:rFonts w:ascii="StempelGaramondLTPro-Roman+01" w:hAnsi="StempelGaramondLTPro-Roman+01" w:cs="StempelGaramondLTPro-Roman+01"/>
        </w:rPr>
        <w:t xml:space="preserve">ě </w:t>
      </w:r>
      <w:r w:rsidRPr="00D57EDE">
        <w:rPr>
          <w:rFonts w:ascii="StempelGaramondLTPro-Roman" w:hAnsi="StempelGaramondLTPro-Roman" w:cs="StempelGaramondLTPro-Roman"/>
        </w:rPr>
        <w:t>pokud vyplývají z p</w:t>
      </w:r>
      <w:r w:rsidRPr="00D57EDE">
        <w:rPr>
          <w:rFonts w:ascii="StempelGaramondLTPro-Roman+01" w:hAnsi="StempelGaramondLTPro-Roman+01" w:cs="StempelGaramondLTPro-Roman+01"/>
        </w:rPr>
        <w:t>ř</w:t>
      </w:r>
      <w:r w:rsidRPr="00D57EDE">
        <w:rPr>
          <w:rFonts w:ascii="StempelGaramondLTPro-Roman" w:hAnsi="StempelGaramondLTPro-Roman" w:cs="StempelGaramondLTPro-Roman"/>
        </w:rPr>
        <w:t>íslu</w:t>
      </w:r>
      <w:r w:rsidRPr="00D57EDE">
        <w:rPr>
          <w:rFonts w:ascii="StempelGaramondLTPro-Roman+01" w:hAnsi="StempelGaramondLTPro-Roman+01" w:cs="StempelGaramondLTPro-Roman+01"/>
        </w:rPr>
        <w:t>š</w:t>
      </w:r>
      <w:r w:rsidRPr="00D57EDE">
        <w:rPr>
          <w:rFonts w:ascii="StempelGaramondLTPro-Roman" w:hAnsi="StempelGaramondLTPro-Roman" w:cs="StempelGaramondLTPro-Roman"/>
        </w:rPr>
        <w:t>né dokumentace.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bCs/>
          <w:iCs/>
        </w:rPr>
        <w:t xml:space="preserve">Technologickým zařízením </w:t>
      </w:r>
      <w:r w:rsidRPr="00D57EDE">
        <w:rPr>
          <w:rFonts w:ascii="Arial" w:hAnsi="Arial" w:cs="Arial"/>
          <w:iCs/>
        </w:rPr>
        <w:t>soubor strojních zařízení</w:t>
      </w:r>
      <w:r w:rsidRPr="00D57EDE">
        <w:rPr>
          <w:rFonts w:ascii="Arial" w:hAnsi="Arial" w:cs="Arial"/>
          <w:bCs/>
          <w:iCs/>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Zhotovitelem </w:t>
      </w:r>
      <w:r w:rsidRPr="00D57EDE">
        <w:rPr>
          <w:rFonts w:ascii="Arial" w:hAnsi="Arial" w:cs="Arial"/>
          <w:iCs/>
        </w:rPr>
        <w:t>osoba označená v záhlaví smlouvy o dílo jako zhotovitel.</w:t>
      </w:r>
    </w:p>
    <w:p w:rsidR="00A66AF3" w:rsidRPr="00D57EDE" w:rsidRDefault="00A66AF3" w:rsidP="00A66AF3">
      <w:pPr>
        <w:ind w:left="1260"/>
        <w:jc w:val="both"/>
        <w:rPr>
          <w:rFonts w:ascii="Arial" w:hAnsi="Arial" w:cs="Arial"/>
          <w:b/>
          <w:iCs/>
        </w:rPr>
      </w:pPr>
    </w:p>
    <w:p w:rsidR="00A66AF3" w:rsidRPr="00D57EDE" w:rsidRDefault="00A66AF3" w:rsidP="00A66AF3">
      <w:pPr>
        <w:ind w:left="1260"/>
        <w:jc w:val="both"/>
        <w:rPr>
          <w:rFonts w:ascii="Arial" w:hAnsi="Arial" w:cs="Arial"/>
          <w:b/>
          <w:iCs/>
          <w:sz w:val="22"/>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VZÁJEMNÝ STYK objednatele a zhotovitele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Vzájemný styk mezi objednatelem a zhotovitelem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Písemnosti touto smlouvou předpokládané (např. změny odpovědných osob, návrh na změny smlouvy, odstoupení od smlouvy, různé výzvy k plnění či placení) budou druhé smluvní straně zasílány: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bCs/>
          <w:iCs/>
        </w:rPr>
        <w:t>písemně a předávány osobně (proti potvrzení), poslány doporučenou poštou nebo kurýrem (proti potvrzení), případně elektronickou poštou,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bCs/>
          <w:iCs/>
        </w:rPr>
        <w:t>doručeny, zaslány nebo přeneseny na adresu druhé smluvní strany uvedenou ve smlouvě. Pokud některá ze smluvních stran oznámí změnu své adresy, budou písemnosti od obdržení této změny doručovány na tuto novou adresu,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bCs/>
          <w:iCs/>
        </w:rPr>
        <w:t xml:space="preserve">pro vzájemnou komunikaci a sdělení týkající se technických záležitostí stavby lze použít i stavební deník.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Vyžaduje-li písemnost po některé ze smluvních stran schválení, potvrzení či souhlas nebo stanovisko, nebude poskytnutí vyžadovaného úkonu bez objektivní příčiny zadržováno nebo zpožďováno</w:t>
      </w:r>
      <w:r w:rsidRPr="00D57EDE">
        <w:t xml:space="preserv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Jakékoliv písemnosti nenazvané Dodatek ke smlouvě, se nepovažují za změnu smlouvy bez ohledu na jejich obsah. </w:t>
      </w:r>
    </w:p>
    <w:p w:rsidR="00A66AF3" w:rsidRPr="00D57EDE" w:rsidRDefault="00A66AF3" w:rsidP="00A66AF3">
      <w:pPr>
        <w:ind w:left="540"/>
        <w:jc w:val="both"/>
        <w:rPr>
          <w:rFonts w:ascii="Arial" w:hAnsi="Arial"/>
          <w:snapToGrid w:val="0"/>
        </w:rPr>
      </w:pPr>
    </w:p>
    <w:p w:rsidR="00A66AF3" w:rsidRPr="00D57EDE" w:rsidRDefault="00A66AF3" w:rsidP="00A66AF3">
      <w:pPr>
        <w:ind w:left="1260"/>
        <w:jc w:val="both"/>
        <w:rPr>
          <w:rFonts w:ascii="Arial" w:hAnsi="Arial" w:cs="Arial"/>
          <w:b/>
          <w:iCs/>
          <w:sz w:val="22"/>
        </w:rPr>
      </w:pPr>
    </w:p>
    <w:p w:rsidR="00A66AF3" w:rsidRPr="00D57EDE" w:rsidRDefault="00A66AF3" w:rsidP="00A66AF3">
      <w:pPr>
        <w:jc w:val="both"/>
        <w:rPr>
          <w:rFonts w:ascii="Arial" w:hAnsi="Arial" w:cs="Arial"/>
          <w:b/>
          <w:iCs/>
          <w:sz w:val="22"/>
          <w:highlight w:val="yellow"/>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 xml:space="preserve">Předmět díla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Rozsah předmětu díla</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 xml:space="preserve">Předmětem díla je zhotovení </w:t>
      </w:r>
      <w:r w:rsidRPr="00D57EDE">
        <w:rPr>
          <w:rFonts w:ascii="Arial" w:hAnsi="Arial" w:cs="Arial"/>
        </w:rPr>
        <w:t>stavby nebo provedení stavebních prací (dále také předmět plnění či dílo)</w:t>
      </w:r>
      <w:r w:rsidRPr="00D57EDE">
        <w:rPr>
          <w:rFonts w:ascii="Arial" w:hAnsi="Arial" w:cs="Arial"/>
          <w:b/>
        </w:rPr>
        <w:t>.</w:t>
      </w:r>
      <w:r w:rsidRPr="00D57EDE">
        <w:rPr>
          <w:rFonts w:ascii="Arial" w:hAnsi="Arial"/>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eastAsia="Batang" w:hAnsi="Arial" w:cs="Arial"/>
        </w:rPr>
        <w:t>Rozsah předmětu plnění (dále také dílo) je vymezen smlouvou.</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Součástí zhotovení stavby je i vyhotovení dokumentace skutečného provedení stavby a je-li to nezbytné nebo požadované (např. pro vklad do Katastru nemovitostí) tak i geodetické zaměření dokončeného díla, případně geometrický plán.</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Vedle všech definovaných činností patří do zhotovení stavby i následující práce a činnosti:</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vytýčení veškerých inženýrských sítí, odpovědnost za jejich neporušení během výstavby a zpětné protokolární předání jejich správcům,</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všech nezbytných průzkumů nutných pro řádné provádění a dokončení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veškeré práce a dodávky související s bezpečnostními opatřeními na ochranu lidí a majetku (zejména chodců a vozidel v místech dotčených stavbou),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ostraha stavby a staveniště, zajištění bezpečnosti práce a ochrany životního prostředí,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projednání a zajištění případného zvláštního užívání komunikací a veřejných ploch včetně úhrady vyměřených poplatků a nájemného,</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dopravního značení k dopravním omezením, jejich údržba a přemisťování a následné odstranění,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a provedení všech nutných zkoušek dle ČSN nebo předepsaných projektovou dokumentací (případně jiných norem vztahujících se k prováděnému dílu včetně pořízení protokolů),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atestů a dokladů o požadovaných vlastnostech výrobků ke kolaudaci (i dle zákona č. 22/1997 Sb. – prohlášení o shodě) a revizí veškerých elektrických zařízení s případným odstraněním uvedených závad,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zřízení a odstranění zařízení staveniště včetně napojení na inženýrské sítě,</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odvoz (kontejnerová doprava suti) a uložení vybouraných hmot a stavební suti na skládku včetně poplatku za uskladnění v souladu s ustanoveními zákona 185/2001 Sb. - o odpadech a o změně některých dalších zákonů, ve znění pozdějších předpisů,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uvedení všech povrchů dotčených stavbou do původního stavu (komunikace, chodníky, zeleň, příkopy, propustky apod.).</w:t>
      </w:r>
    </w:p>
    <w:p w:rsidR="00A66AF3" w:rsidRPr="00D57EDE" w:rsidRDefault="00A66AF3" w:rsidP="00A66AF3">
      <w:pPr>
        <w:ind w:left="1404"/>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Dokumentace skutečného provedení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Dokumentaci skutečného provedení díla vypracuje zhotovitel jako součást dodávky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Dokumentace skutečného provedení stavby bude předána objednateli ve třech vyhotoveních v grafické (tištěné) podobě </w:t>
      </w:r>
      <w:r w:rsidRPr="00D57EDE">
        <w:rPr>
          <w:rFonts w:ascii="Arial" w:hAnsi="Arial"/>
        </w:rPr>
        <w:t>a jednou v digitální podobě ve formátech pdf a dwg.</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Dokumentace skutečného provedení bude provedena podle následujících zásad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Do projektové dokumentace pro provádění stavby všech stavebních objektů a provozních souborů budou zřetelně vyznačeny všechny změny, k nimž došlo v průběhu zhotovení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Ty části projektové dokumentace pro provádění stavby, u kterých nedošlo k žádným změnám, budou označeny nápisem „beze změn“,</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Každý výkres dokumentace skutečného provedení stavby bude opatřen jménem a příjmením osoby, která změny zakreslila, jejím podpisem a razítkem zhotovitele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U výkresů obsahujících změnu proti projektu pro provádění stavby bude přiložen i doklad, ze kterého bude vyplývat projednání změny s odpovědnou osobou objednatele a její souhlasné stanovisko,</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Součástí dokumentace skutečného provedení stavby bude i celková situace včetně přívodů, přípojek, komunikací, podzemních i nadzemních vedení v areálu staveniště s údaji o hloubkách uložení sítí (tato část bude i v digitální podobě),</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rsidR="00A66AF3" w:rsidRPr="00D57EDE" w:rsidRDefault="00A66AF3" w:rsidP="00A66AF3">
      <w:pPr>
        <w:tabs>
          <w:tab w:val="left" w:pos="1276"/>
        </w:tabs>
        <w:ind w:left="709"/>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Geodetické zaměření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tohoto zaměření jsou: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Geodetické zaměření skutečného provedení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Geometrický plán pro vklad do katastru nemovitostí.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Doklady o vytýčení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U staveb, jejichž zhotovení nezakládá povinnost změny nebo zápisu do Katastru nemovitostí se geometrický plán nevyhotovuje.</w:t>
      </w:r>
    </w:p>
    <w:p w:rsidR="00A66AF3" w:rsidRPr="00D57EDE" w:rsidRDefault="00A66AF3" w:rsidP="00A66AF3">
      <w:pPr>
        <w:ind w:left="360"/>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Předání příslušné dokumentace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předal zhotoviteli příslušnou dokumentaci v rámci zadávacího řízení, na jehož základě je sjednána smlouva. Objednatel specifikuje tuto příslušnou dokumentaci ve smlouvě a je povinen na požádání zhotovitele předat zhotoviteli další 2 vyhotovení této příslušné dokumentace (bez soupisu stavebních prací) nejpozději do 10 dnů ode dne podpisu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Je-li příslušnou dokumentací členěna stavba na stavební objekty, inženýrské objekty nebo provozní soubory, je jejich výčet uveden ve smlouvě.</w:t>
      </w:r>
    </w:p>
    <w:p w:rsidR="00A66AF3" w:rsidRPr="00D57EDE" w:rsidRDefault="00A66AF3" w:rsidP="00A66AF3">
      <w:pPr>
        <w:ind w:left="1260"/>
        <w:jc w:val="both"/>
        <w:rPr>
          <w:rFonts w:ascii="Arial" w:hAnsi="Arial"/>
          <w:snapToGrid w:val="0"/>
        </w:rPr>
      </w:pPr>
    </w:p>
    <w:p w:rsidR="00A66AF3" w:rsidRPr="00D57EDE" w:rsidRDefault="00A66AF3" w:rsidP="00A66AF3">
      <w:pPr>
        <w:ind w:left="360"/>
        <w:jc w:val="both"/>
        <w:rPr>
          <w:rFonts w:ascii="Arial" w:hAnsi="Arial"/>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Termíny a LHŮty plnění</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Termín zahájení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Termínem zahájení stavebních prací se rozumí den, v němž dojde k protokolárnímu předání a převzetí staveniště mezi objednatelem a zhotovitelem.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stavební práce na díle nezahájí ani ve lhůtě do 14 dnů ode dne, kdy měl práce na díle zahájit, je objednatel oprávněn od této smlouvy odstoupit.</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Lhůta pro dokončení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dokončit veškeré práce či dodávky na díle ve lhůtě stanovené smlouvou.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Lhůta pro dokončení díla je závislá na řádném a včasném splnění součinností objednatele dohodnutých ve smlouvě. Po dobu prodlení objednatele s poskytnutím dohodnutých součinností není zhotovitel v prodlení s plněním závazku. Nedojde-li mezi stranami k jiné dohodě, prodlužuje se lhůta pro dokončení předmětu plnění o dobu shodnou s prodlením objednatele v plnění jeho součinností. O tomto prodloužení lhůty pro dokončení předmětu plnění bude uzavřen písemný dodatek ke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Prodlení zhotovitele proti lhůtě pro dokončení díla delší jak 60 dnů se považuje za podstatné porušení smlouvy, ale pouze v případě, že prodlení zhotovitele nevzniklo z důvodů na straně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Poslední den lhůty pro dokončení předmětu plnění je dnem, ve kterém bude objednatel zhotovitelem písemně vyzván k předání a převzetí řádně dokončeného díla se nazývá termín dokončení.</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Harmonogram provádění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ke smlouvě přiložit i harmonogram provádění prací včetně předpokládaného finančního plnění po jednotlivých měsících, a to nejpozději do 15 dnů ode dne podpisu smlouvy. Byly-li tyto dokumenty zpracovány v zadávacím řízení v rámci nabídky zhotovitele, stávají se součástí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Předmět plnění a jeho jednotlivé součásti budou prováděny v souladu s harmonogramem, který je přílohou a nedílnou součástí smlouvy nebo se jí stane po jeho vyhotovení.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průběžně harmonogram aktualizovat, nejméně 1x za 3 měsíce, a to podle skutečně provedených prací. Aktualizovaný harmonogram předloží zhotovitel na požádání objednateli na kontrolních dnech stavby.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pro změnu sjednaných termínů či lhůt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zjistí, že pro řádné dokončení díla je nezbytné prodloužit lhůtu pro dokončení předmětu plnění, předloží svůj návrh na změnu lhůty pro dokončení díla technickému dozoru objednatele k projednání.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Prodloužení lhůty pro dokončení díla je možné jen v důsledku objektivně nepředvídatelných okolností, které nemají svůj původ v činnosti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případném prodloužení lhůty pro dokončení díla musí být sjednán písemný dodatek ke smlouvě, jinak je neplatné.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Vícepráce či méněpráce, jejichž celkový finanční objem nepřesáhne 10% z hodnoty ceny sjednané dle smlouvy, nemají vliv na délku lhůty pro dokončení díla a předmět plnění bude dokončen ve sjednané lhůtě pro dokončení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Běžné klimatické podmínky odpovídající ročnímu období, v němž se stavební práce provádí, nejsou důvodem k prodloužení lhůty pro dokončení díla.</w:t>
      </w:r>
    </w:p>
    <w:p w:rsidR="00A66AF3" w:rsidRPr="00D57EDE" w:rsidRDefault="00A66AF3" w:rsidP="00A66AF3">
      <w:pPr>
        <w:pStyle w:val="Zkladntext"/>
        <w:jc w:val="both"/>
      </w:pPr>
    </w:p>
    <w:p w:rsidR="00A66AF3" w:rsidRPr="00D57EDE" w:rsidRDefault="00A66AF3" w:rsidP="00A66AF3">
      <w:pPr>
        <w:pStyle w:val="Zkladntext"/>
        <w:jc w:val="both"/>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Cena za dílo a podmínky pro změnu sjednané ceny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Výše sjednané ceny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Cena za splnění díla je definována ve smlouvě.</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Obsah ceny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Cena za splnění díla je stanovena podle zhotovitelem oceněného položkového rozpočtu, který je zpracován na základě soupisu stavebních prací, dodávek a služeb s výkazem výměr předaného objednatelem zhotoviteli. Pro obsah sjednané ceny je rozhodující soupis stavebních prací, dodávek a služeb s výkazem výměr.</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Sjednaná cena obsahuje veškeré náklady a zisk zhotovitele nezbytné k řádnému a včasnému provedení díla, včetně vedlejších a ostatních nákladů ve smyslu vyhlášky Ministerstva pro místní rozvoj č.  230/2012 Sb. </w:t>
      </w:r>
      <w:r w:rsidRPr="00D57EDE">
        <w:rPr>
          <w:rFonts w:ascii="Arial" w:hAnsi="Arial"/>
        </w:rPr>
        <w:t>Sjednaná cena obsahuje i předpokládané náklady vzniklé vývojem cen v národním hospodářství, a to až do konce lhůty pro dokončení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Doklady určující cenu za dílo</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Cena je stanovena podle příslušné dokumentace předané objednatelem zhotoviteli. Pro obsah sjednané ceny je rozhodující soupis stavebních prací, dodávek a služeb s výkazem výměr, který byl součástí předané příslušné dokumentace.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Cena je doložena položkovými rozpočty a zhotovitel ručí za to, že tyto položkové rozpočty jsou v úplném souladu se soupisem stavebních prací, dodávek a služeb s výkazem výměr předloženým objednatelem. Položkové rozpočty slouží k prokazování skutečně provedených prací (tj. jako podklad pro měsíční fakturaci) a dále pro stanovení ceny případných víceprací nebo méněprací.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nemá právo domáhat se zvýšení sjednané ceny za dílo z důvodů chyb nebo nedostatků v položkovém rozpočtu, pokud jsou tyto chyby důsledkem nepřesného nebo neúplného ocenění soupisu stavebních prací, dodávek a služeb.</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pro změnu ceny za dílo</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Sjednaná cena je cenou nejvýše přípustnou a může být změněna pouze z objektivních a nepředvídatelných důvodů, a to za níže uvedených podmínek.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pokud po podpisu smlouvy a před uplynutím lhůty pro dokončení předmětu plnění dojde ke změnám sazeb DPH nebo ke změně přenesené daňové povinnosti;</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pokud se při provádění předmětu plnění díla vyskytnou skutečnosti, které nebyly v době sjednání smlouvy známé a zhotovitel je nezavinil ani nemohl předvídat a tyto skutečnosti mají prokazatelný vliv na sjednanou cenu.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sjednání změny ceny (Změnový list)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Nastane-li některá z podmínek, za kterých je možná změna sjednané ceny je zhotovitel povinen sestavit změnový list a v něm popsat důvody a okolnosti vedoucí k nutnosti změny sjednané ceny, provést výpočet návrhu změny sjednané ceny a předložit jej objednateli k odsouhlasení.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Změna sjednané ceny je možná pouze v případě, kdy objednatel písemně odsouhlasí změnový list a teprve poté, když proběhnou úkony objednatele stanovené zákonem č.137/2006 Sb., pro změnu sjednané ceny a bude uzavřen příslušný dodatek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Jsou-li k úhradě sjednané ceny použity finanční prostředky poskytnuté objednateli formou dotací (zejména z finančních prostředků Evropské unie), je nezbytnou podmínkou pro změnu sjednané ceny i souhlas s obsahem změnového listu od poskytovatele finančních prostředků.</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Vícepráce a méněpráce a způsob jejich prokazování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stanovit cenu víceprací nebo méněprací nejvýše podle hodnot jednotkových cen uvedených v položkových rozpočtech a pokud vícepráce v položkových rozpočtech obsaženy nejsou pak nejvýše podle cenové soustavy RTS a.s., definované pro to období, ve kterém byly vícepráce zjištěny</w:t>
      </w:r>
      <w:r w:rsidR="00C9030D">
        <w:rPr>
          <w:rFonts w:ascii="Arial" w:hAnsi="Arial"/>
          <w:snapToGrid w:val="0"/>
        </w:rPr>
        <w:t>, sníženými o 15%</w:t>
      </w:r>
      <w:r w:rsidRPr="00D57EDE">
        <w:rPr>
          <w:rFonts w:ascii="Arial" w:hAnsi="Arial"/>
          <w:snapToGrid w:val="0"/>
        </w:rPr>
        <w: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vyjádřit se k návrhu změnového listu nejpozději do 10 dnů ode dne předložení návrhu zhotovitelem. To neplatí, je-li k odsouhlasení změnové listu potřeba souhlasu poskytovatele dotace. V takovém případě je lhůta pro vyjádření objednatele nejméně 30 dnů.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 splnění všech smluvených podmínek pro změnu sjednané ceny dohodnou obě strany změnu sjednané ceny písemně formou dodatku ke smlouvě.</w:t>
      </w:r>
    </w:p>
    <w:p w:rsidR="00A66AF3" w:rsidRPr="00D57EDE" w:rsidRDefault="00A66AF3" w:rsidP="00A66AF3">
      <w:pPr>
        <w:ind w:left="540"/>
        <w:jc w:val="both"/>
        <w:rPr>
          <w:rFonts w:ascii="Arial" w:hAnsi="Arial"/>
          <w:snapToGrid w:val="0"/>
        </w:rPr>
      </w:pPr>
    </w:p>
    <w:p w:rsidR="00A66AF3" w:rsidRPr="00D57EDE" w:rsidRDefault="00A66AF3" w:rsidP="00A66AF3">
      <w:pPr>
        <w:ind w:left="540"/>
        <w:jc w:val="both"/>
        <w:rPr>
          <w:rFonts w:ascii="Arial" w:hAnsi="Arial"/>
          <w:snapToGrid w:val="0"/>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Platební podmínky</w:t>
      </w:r>
    </w:p>
    <w:p w:rsidR="00A66AF3" w:rsidRPr="00D57EDE" w:rsidRDefault="00A66AF3" w:rsidP="00A66AF3">
      <w:pPr>
        <w:ind w:left="360"/>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Zálohy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neposkytne zhotoviteli zálohu.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Postup plateb</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Cena za dílo bude hrazena průběžně na základě daňových dokladů (dále jen „faktur“) vystavených zhotovitelem 1x měsíčně, přičemž datem zdanitelného plnění je poslední kalendářní den příslušného měsíce.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předloží objednateli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soupisem souhlasí) a po odsouhlasení objednatelem vystaví zhotovitel fakturu nejpozději do 15 dne příslušného měsíce. Nedílnou součástí faktury musí být soupis provedených prací. Bez tohoto soupisu je faktura neúplná.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Práce a dodávky, u kterých nedošlo k dohodě o jejich provedení nebo u kterých nedošlo k dohodě o provedeném množství, projednají zhotovitel s objednatelem v samostatném řízení, ze kterého pořídí zápis s uvedením důvodů obou stran. Dále se postupuje tak, jak je popsáno v řešení sporů.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Měsíční fakturací bude uhrazena cena díla až do výše 90% z celkové sjednané ceny.  Faktury budou hrazeny v plné výši, dokud v součtu nedosáhnou 90% celkové sjednané ceny.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Ostatní a vedlejší náklady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sjednané ceny jsou i ostatní a vedlejší náklady, které vyjadřují náklady na činnosti, které v mnoha případech probíhají v průběhu celé stavby. Pro zjednodušení administrativního postupu je stanoveno, že tato část ceny bude zhotovitelem fakturována průběžně v termínech sjednaných pro fakturaci stavebních prací, a to podle finanční hodnoty provedených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 započetím fakturace zhotovitel stanoví poměr ostatních a vedlejších nákladů k součtu celkových nákladů za provedení stavebních objektů, inženýrských objektů a provozních souborů (na 5 desetinných míst) a tímto poměrem shodně vypočte i podíl ostatních a vedlejších nákladů náležející k hodnotě fakturovaných provedených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Ostatní a vedlejší náklady budou fakturovány na téže faktuře jako provedené stavební práce. </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Zádržné (pozastávka)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Částka rovnající se 10% z celkové sjednané ceny slouží jako zádržné, které bude uhrazeno objednatelem zhotoviteli po protokolárním předání a převzetí díla bez vad a nedodělků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objednatel převezme dílo, na němž se vyskytují vady či nedodělky nebránící užívání díla, bude zádržné uhrazeno až po odstranění posledního z nich.</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Zádržné bude uhrazeno objednatelem zhotoviteli na základě daňového dokladu vystaveného zhotovitelem, v němž bude uvedeno, že se jedná o konečnou fakturu.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může nahradit zádržné finanční zárukou  ve shodné výši, která musí být objednateli předložena zhotovitelem před předáním a převzetím díla nebo nejpozději v den předání a převzetí. Po předložení odpovídající finanční záruky vzniká zhotoviteli právo vystavit konečnou fakturu a zádržné bude objednatelem uhrazeno neprodleně, nejpozději však do 30 ti dnů ode dne odeslání konečné faktury.</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Lhůty splatnosti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je povinen uhradit fakturu zhotovitele nejpozději do 30 dnů ode dne následujícího po dni odeslání faktury. </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Platby za Vícepráce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na díle vyskytnou vícepráce, s jejichž provedením objednatel souhlasí, musí být jejich cena fakturována samostatně.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Faktura za vícepráce musí kromě jiných, výše uvedených náležitostí faktury obsahovat i odkaz na dokument, kterým byly vícepráce sjednány a odsouhlaseny.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Náležitosti daňových dokladů (faktur)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Faktura musí mít náležitosti daňového dokladu podle zákona o DPH.</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Sazba DPH a výše DPH, popřípadě povinnosti, spojené s přenesenou daňovou povinností, budou sjednány formou dodatku ke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Jsou-li předmětem plnění práce, na které se nevztahuje přenesená daňová povinnost dle zákona o DPH, zhotovitel prohlašuje, že: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nemá v úmyslu nezaplatit daň z přidané hodnoty u zdanitelného plnění podle smlouvy,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mu nejsou známy skutečnosti, nasvědčující tomu, že se dostane  do postavení, kdy nemůže daň zaplatit a ani se ke dni podpisu této smlouvy v takovém postavení nenachází,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nezkrátí daň nebo nevyláká daňovou výhodu.</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Termín splnění povinnosti zaplatit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Peněžitý závazek (dluh) objednatele se považuje za splněný v den, kdy je dlužná částka připsána na účet zhotovitele.</w:t>
      </w: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smluvní pokuty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neplnění dohodnutých termínů či lhůt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bude zhotovitel v prodlení proti sjednané lhůtě pro dokončení díla je povinen zaplatit objednateli smluvní pokutu ve výši 0,15% ze sjednané ceny, a to za každý i započatý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prodlení zhotovitele proti lhůtě pro dokončení díla přesáhne 30 kalendářních dnů, je zhotovitel povinen zaplatit objednateli ještě další smluvní pokutu ve výši 0,05% ze sjednané ceny, a to za třicátý první a každý další i započatý den prodlení.</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neodstranění vad a nedodělků zjištěných při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nenastoupí do pěti dnů od termínu předání a převzetí díla k odstraňování vad či nedodělků uvedených v protokolu o předání a převzetí díla, je povinen zaplatit objednateli smluvní pokutu 1.000,- Kč za každý nedodělek či vadu, na jejichž odstraňování nenastoupil ve sjednané lhůtě, a za každý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neodstraní nedodělky či vady uvedené v zápise o předání a převzetí díla v dohodnutém termínu (viz protokol o předání a převzetí) zaplatí objednateli smluvní  pokutu 2.000,- Kč za každý nedodělek či vadu, u nichž je v prodlení a za každý den prodlení.</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neodstranění reklamovaných vad</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nenastoupí ve sjednaném termínu, nejpozději však ve lhůtě do patnácti dnů ode dne obdržení reklamace objednatele k odstraňování reklamované vady (případně vad), je povinen zaplatit objednateli smluvní pokutu 2.000,- Kč za každou reklamovanou vadu, na jejíž odstraňování nastoupil později než ve sjednaném termínu a za každý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neodstraní reklamovanou vadu ve sjednaném termínu, je povinen zaplatit objednateli smluvní pokutu 2.000,- Kč za každou reklamovanou vadu, u níž je v prodlení a za každý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Označil-li objednatel v reklamaci, že se jedná o vadu, která brání řádnému užívání díla, případně hrozí nebezpečí škody velkého rozsahu (havárie), sjednávají obě smluvní strany smluvní pokuty v dvojnásobné výši.</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nevyklizení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nevyklidí staveniště v termínu stanoveném touto smlouvou, příp. v termínu sjednaném dohodou smluvních stran, je povinen zaplatit objednateli smluvní pokutu 5.000,- Kč za každý i započatý den prodlení.</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Úrok z prodlení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Pokud bude objednatel v prodlení s úhradou faktury proti sjednanému termínu je povinen zaplatit zhotoviteli úrok z prodlení ve výši 0,05% z dlužné částky za každý i započatý den prodlení. </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nepředání seznamu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bude zhotovitel v prodlení s předáním seznamu subdodavatelů objednateli proti sjednané lhůtě je povinen zaplatit objednateli jednorázovou smluvní pokutu ve výši 50.000,- Kč a dále smluvní pokutu ve výši 1.000,- Kč za každý i započatý den prodlení.  Pokud v důsledku nesplnění této povinnosti zhotovitelem bude objednateli vyměřena sankce či objednateli vzniknou jiné náklady či škoda, je zhotovitel povinen ji v plné výši uhradit objednateli.</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vyúčtování smluvní pokuty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Strana povinná se musí k vyúčtování smluvní pokutu či úroku z prodlení vyjádřit nejpozději do deseti dnů ode dne jeho obdržení, jinak se má za to, že s vyúčtováním souhlasí. Vyjádřením se v tomto případě rozumí písemné stanovisko strany povinné.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Nesouhlasí-li strana povinná s vyúčtováním smluvní pokuty či úroku z prodlení je povinna písemně ve sjednané lhůtě sdělit oprávněné straně důvody, pro které vyúčtování smluvní pokuty či úroku z prodlení neuznává.</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Lhůta splatnosti smluvních pokut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Strana povinná je povinna uhradit vyúčtované smluvní pokuty či úrok z prodlení nejpozději do 14 dnů od dne obdržení příslušného vyúčtování.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Ostatní náležitosti vztahující se k smluvním pokutám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Zaplacením smluvní pokuty není dotčen nárok objednatele na náhradu škody způsobené mu porušením povinnosti zhotovitele, na niž se smluvní pokuta vztahuje.</w:t>
      </w: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Staveniště</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Předání a převzetí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předat zhotoviteli staveniště (nebo jeho ucelenou část) prosté práv třetí osoby nejpozději do deseti dnů po dni oboustranného podpisu smlouvy o dílo, pokud se strany písemně ve smlouvě nedohodnou jinak. Splnění termínu předání staveniště je podstatnou náležitostí smlouvy, na níž je závislé splnění lhůty pro dokončení předmětu plnění.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předání a převzetí staveniště vyhotoví objednatel písemný protokol, který obě strany podepíší. Za den předání staveniště se považuje den, kdy dojde k oboustrannému podpisu příslušného protokolu.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Stávající podzemní inženýrské sítě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předat zhotoviteli veškeré dostupné podklady o trasách stávajících známých inženýrských sítí na staveništi a přilehlých pozemcích dotčených prováděním díla včetně případných zákresů.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dodržovat všechny podmínky správců nebo vlastníků těchto sítí a nese veškeré důsledky a škody vzniklé jejich nedodržením. Zhotovitel neodpovídá za škody na stávajících inženýrských sítích, které nebyly vyznačeny v podkladech objednatele.</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Publicita stavby na staveništi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na úhradě díla podílí veřejné prostředky, zejména pak finanční prostředky ze zdrojů Evropské unie je zhotoviteli povinen v prostorách staveniště vybudovat a umístit prvky publicity podle podmínek stanovených poskytovatelem dotace, které objednatel předá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prvky publicity umístit v prostorách staveniště bezprostředně po termínu zahájení stavebních prací, nejpozději však do 2 dnů ode dne předání a převzetí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Prvkem publicity se rozumí velkoplošný informační panel (billboard, o rozměru stanoveném podmínkami poskytovatele dotace), na němž budou uvedeny i povinné údaje podle podmínek poskytovatele finančních prostředků (dotace).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objednatelem.</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Vybudování a provoz zařízení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Zařízení staveniště vybuduje v rozsahu nezbytném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Jako součást zařízení staveniště zajistí zhotovitel i rozvod potřebných médií na staveništi a jejich připojení na odběrná místa určená objednatelem.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samostatná měřící místa na úhradu jím spotřebovaných energií a tyto uhradit.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Energie spotřebované provozem zařízení staveniště hradí objednateli zhotovitel a má je zahrnuty ve sjednané ceně.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 rámci objektů zařízení staveniště poskytnout osobám vykonávajícím funkci technického dozoru odpovídající provozní prostory a zařízení nezbytné pro výkon jejich funkce při kontrole provádění předmětu plnění. Není-li smlouvou či příslušnou dokumentací stanoveno něco jiného, pak se za odpovídající provozní prostory a zařízení považuje samostatná kancelář vybavená běžným skříňovým nábytkem, stoly a židlemi a s umyvadlem a dostatečným osvětlením a vytápěním.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umožnit osobám vykonávajícím funkci technického dozoru používání sociálních zařízení, které zhotovitel vybudoval v rámci zařízení staveniště.</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Užívání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užívat staveniště pouze pro účely související s prováděním předmětu plnění a při užívání staveniště je povinen dodržovat veškeré právní předpisy.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cs="Arial"/>
          <w:bCs/>
          <w:iCs/>
        </w:rPr>
        <w:t xml:space="preserve">Zhotovitel je povinen vypracovat pro staveniště </w:t>
      </w:r>
      <w:r w:rsidRPr="00D57EDE">
        <w:rPr>
          <w:rFonts w:ascii="Arial" w:hAnsi="Arial" w:cs="Arial"/>
          <w:iCs/>
        </w:rPr>
        <w:t>požární řád, poplachové směrnice stavby a provozně dopravní řád stavby</w:t>
      </w:r>
      <w:r w:rsidRPr="00D57EDE">
        <w:rPr>
          <w:rFonts w:ascii="Arial" w:hAnsi="Arial" w:cs="Arial"/>
          <w:bCs/>
          <w:iCs/>
        </w:rPr>
        <w:t xml:space="preserve"> a je povinen je viditelně na staveništi umístit.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udržovat na staveništi pořádek.</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zajistí střežení staveniště a v případě potřeby i jeho oplocení nebo jiné vhodné zabezpečení.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není oprávněn, pokud se strany nedohodnou jinak, využívat staveniště k ubytování nebo nocování osob.</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cs="Arial"/>
          <w:iCs/>
        </w:rPr>
        <w:t>Za provoz na staveništi odpovídá zhotovitel.</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užívání veřejných prostranství a komunikací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Veškerá potřebná povolení k užívání veřejných ploch, případně rozkopávkám, objízdným trasám nebo překopům veřejných ploch či komunikací zajišťuje zhotovitel a nese veškeré případné poplatky.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bezpečný vstup a vjezd na staveniště a stejně tak i výstup a výjezd z něj.</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bezpečnosti a hygieny a ochrany životního prostředí na staveništi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na staveništi veškerá bezpečnostní opatření a hygienická opatření a požární ochranu staveniště i prováděného díla, a to v rozsahu a způsobem stanoveným příslušnými předpisy.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staveniště hasícími prostředky.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vypracovat pro staveniště požární řád, poplachové směrnice stavby a provozně dopravní řád stavby a je povinen je viditelně na staveništi umístit.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bezpečný vstup a vjezd na staveniště a stejně tak i výstup a výjezd. Za provoz na staveništi odpovídá zhotovitel.</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Vyklizení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odstranit zařízení staveniště a vyklidit staveniště nejpozději do 15 dnů ode dne termínu předání a převzetí díla, pokud se strany nedohodnou jinak (zejména jde-li o ponechání zařízení, nutných pro zabezpečení odstranění vad a nedodělků ve smyslu protokolu o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Nevyklidí-li zhotovitel staveniště ve sjednaném termínu, je objednatel oprávněn zabezpečit vyklizení staveniště třetí osobou a náklady s tím spojené uhradí objednateli zhotovitel. Nárok objednatele na sjednanou smluvní pokutu tím není dotčen. </w:t>
      </w:r>
    </w:p>
    <w:p w:rsidR="00A66AF3" w:rsidRPr="00D57EDE" w:rsidRDefault="00A66AF3" w:rsidP="00A66AF3">
      <w:pPr>
        <w:pStyle w:val="Zkladntext"/>
        <w:spacing w:line="240" w:lineRule="atLeast"/>
        <w:jc w:val="both"/>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Stavební deník</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Povinnost vést stavební deník</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vést ode dne předání a převzetí staveniště o pracích, které provádí, stavební deník.</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Stavební deník musí být v pracovní dny od 7.00 do 17.00 hod. přístupný oprávněným osobám objednatele, případně jiným osobám oprávněným do stavebního deníku zapisovat.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Zápisy do stavebního deníku se provádí v originále a dvou kopiích. Originál stavebního deníku je zhotovitel povinen předat objednateli po dokončení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První kopii obdrží osoba vykonávající funkci technického dozoru objednatele a druhou kopii obdrží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Povinnost vést stavební deník končí nabytím právní moci kolaudačního souhlasu. V případě výskytu kolaudačních vad nebo jiných podmínek kolaudačního souhlasu končí povinnost vést stavební deník až dnem jejich úplného odstranění nebo splnění.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Povinnost archivovat stavební deník po dobu nejméně 10 let ode dne nabytí právní moci kolaudačního souhlasu má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 stavebního deníku je zhotovitel povinen zapisovat veškeré skutečnosti rozhodné pro provádění díla. Zejména je povinen zapisovat údaje podle přílohy č. 5 k vyhlášce 499/2006 Sb.</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Všechny listy stavebního deníku musí být očíslovány.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 stavebním deníku nesmí být vynechána volná místa.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 případě neočekávaných událostí nebo okolností majících zvláštní význam pro další postup stavby pořizuje zhotovitel i příslušnou fotodokumentaci, která se stane součástí stavebního deníku.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vedení a zápisu do stavebního deníku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Zápisy do stavebního deníku provádí zhotovitel formou denních záznamů. Veškeré okolnosti rozhodné pro plnění díla musí být učiněny zhotovitelem v ten den, kdy nastaly.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Nesouhlasí-li zhotovitel se zápisem, který učinil do stavebního deníku objednatel nebo jím pověřená osoba vykonávající funkci technického dozoru, případně osoba vykonávající funkci autorského dozoru nebo funkci koordinátora BOZP, musí k tomuto zápisu připojit svoje stanovisko nejpozději do pěti pracovních dnů, jinak se má za to, že se zápisem souhlasí.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 případě, že všechny zúčastněné osoby jsou vlastníky elektronického podpisu, lze stavební deník vést elektronickou formou.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Závaznost ujednání ve stavebním deníku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Zápisy ve stavebním deníku se nepovažují za změnu smlouvy, ale slouží jako podklad pro vypracování příslušných dodatků ke smlouvě.</w:t>
      </w:r>
    </w:p>
    <w:p w:rsidR="00A66AF3" w:rsidRPr="00D57EDE" w:rsidRDefault="00A66AF3" w:rsidP="00A66AF3">
      <w:pPr>
        <w:pStyle w:val="Zkladntext"/>
        <w:spacing w:line="240" w:lineRule="atLeast"/>
        <w:jc w:val="both"/>
      </w:pPr>
    </w:p>
    <w:p w:rsidR="00A66AF3" w:rsidRPr="00D57EDE" w:rsidRDefault="00A66AF3" w:rsidP="00A66AF3">
      <w:pPr>
        <w:jc w:val="both"/>
        <w:rPr>
          <w:rFonts w:ascii="Arial" w:hAnsi="Arial"/>
          <w:snapToGrid w:val="0"/>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kontrola a Kontrolní dny</w:t>
      </w:r>
    </w:p>
    <w:p w:rsidR="00A66AF3" w:rsidRPr="00D57EDE" w:rsidRDefault="00A66AF3" w:rsidP="00A66AF3">
      <w:pPr>
        <w:pStyle w:val="Zkladntext"/>
        <w:spacing w:line="240" w:lineRule="atLeast"/>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Kontrola provádění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kontrolovat provádění díla sám nebo prostřednictvím technického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Kontrolní dny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 účely kontroly průběhu provádění díla organizuje objednatel kontrolní dny v termínech nezbytných pro řádné provádění kontroly. Objednatel je povinen oznámit konání kontrolního dne písemně a nejméně pět dnů před jeho konáním, pokud se na termínu kontrolního dne nedohodly zúčastněné strany na předchozím jednání.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Kontrolních dnů jsou povinni se zúčastnit zástupci objednatele včetně osob vykonávajících funkci technického dozoru a případně i autorského dozoru, koordinátora BOZP a zástupci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Vedením kontrolních dnů je pověřen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pořizuje z kontrolního dne zápis o jednání, který předá nejpozději do tří pracovních dnů ode dne konání kontrolního dne všem zúčastněným.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zapsat datum konání kontrolního dne a jeho závěry do stavebního deníku.</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Četnost kontrolních dnů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Kontrolní den se uskuteční nejméně 1x v kalendářním měsíci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má právo stanovit i vyšší četnost kontrolních dnů, pokud to vyžadují okolnosti stavby, zejména prodlení v plnění zhotovitele, technologické návaznosti v provádění apod.. Pokud objednatel rozhodne o častějším konání kontrolních dnů, je zhotovitel povinen na tuto četnost přistoupit.</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Kontrola zakrytých prací a konstrukcí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vyzvat objednatele ke kontrole a prověření prací či konstrukcí, které budou dalším postupem stavebních prací zakryty nebo se stanou nepřístupnými. Zhotovitel je povinen vyzvat objednatele nejméně pět dnů před termínem, v němž budou předmětné práce zakryty (postačí zápis ve stavebním deníku).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objednatel ke kontrole přes včasné písemné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Kontrola čerpání veřejných prostředků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osobou povinnou spolupůsobit při výkonu finanční kontroly v souladu s § 2e) zákona č. 320/2001 Sb., o finanční kontrole.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Jsou-li pro úhradu díla použity finanční prostředky Evropské unie je zhotovitel povinen uchovávat veškeré doklady související s realizací díla a jeho financováním (způsobem dle zákona 563/1991 Sb., o účetnictví, v platném znění) po dobu nejméně 10 let ode dne poslední platby za 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A66AF3" w:rsidRPr="00D57EDE" w:rsidRDefault="00A66AF3" w:rsidP="00A66AF3">
      <w:pPr>
        <w:jc w:val="both"/>
        <w:rPr>
          <w:rFonts w:ascii="Arial" w:hAnsi="Arial"/>
          <w:snapToGrid w:val="0"/>
        </w:rPr>
      </w:pPr>
    </w:p>
    <w:p w:rsidR="00A66AF3" w:rsidRPr="00D57EDE" w:rsidRDefault="00A66AF3" w:rsidP="00A66AF3">
      <w:pPr>
        <w:jc w:val="both"/>
        <w:rPr>
          <w:rFonts w:ascii="Arial" w:hAnsi="Arial"/>
          <w:snapToGrid w:val="0"/>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technický dozor objednatele</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Technický dozor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pro kontrolu díla ustanovit odpovědnou osobu, které jeho jménem jedná a vydává pokyny směřující k řádnému a včasnému dokončení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Osoba, kterou takto objednatel ustanoví, se nazývá technický dozor.</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Identifikace osoby, která vykonává technický dozor je uvedena ve smlouvě nebo v zápise ve stavebním deníku.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Oprávnění technického dozoru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jedná jménem objednatele a jeho rozhodnutí či pokyny vůči zhotoviteli či jiným účastníkům výstavby se chápou tak, jako by je učinil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kontroluje zejména věcnou, časovou, finanční a kvalitativní stránku provádění stavby a zúčastňuje se jako zástupce objednatele všech kontrol na prováděném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Omezení činnosti technického dozoru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na stavbě nesmí provádět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Osoba vykonávající Technický dozor na stavbě nesmí být propojená ve smyslu </w:t>
      </w:r>
      <w:r w:rsidRPr="00D57EDE">
        <w:rPr>
          <w:rFonts w:ascii="Arial" w:hAnsi="Arial" w:cs="Arial"/>
        </w:rPr>
        <w:t>§ 71 a násl. zák. č. 90/2012 Sb., o obchodních korporacích se zhotovitelem ani s žádným ze subdodavatelů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zjistí, že technický dozor provádí sám zhotovitel nebo osoba s ním propojená, je povinen tuto skutečnost oznámit neprodleně objednateli.  V takovém případě objednatel sjedná nápravu ustanovením jiného technického dozoru.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Pokud zhotovitel zjistí, že technický dozor provádí osoba propojená s některým ze subdodavatelů zhotovitele, je povinen tuto skutečnost oznámit neprodleně objednateli.  V takovém případě zhotovitel sjedná okamžitou nápravu zabezpečením jiného subdodavatele. Pro předcházení takovému stavu je zhotovitel povinen před uzavřením smlouvy se svým subdodavatelem tuto skutečnost ověřit. </w:t>
      </w:r>
    </w:p>
    <w:p w:rsidR="00A66AF3" w:rsidRPr="00D57EDE" w:rsidRDefault="00A66AF3" w:rsidP="00A66AF3">
      <w:pPr>
        <w:ind w:left="540"/>
        <w:jc w:val="both"/>
        <w:rPr>
          <w:rFonts w:ascii="Arial" w:hAnsi="Arial"/>
          <w:snapToGrid w:val="0"/>
        </w:rPr>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koordinátor bezpečnosti práce</w:t>
      </w:r>
    </w:p>
    <w:p w:rsidR="00A66AF3" w:rsidRPr="00D57EDE" w:rsidRDefault="00A66AF3" w:rsidP="00A66AF3">
      <w:pPr>
        <w:pStyle w:val="Zkladntext"/>
        <w:spacing w:line="240" w:lineRule="atLeast"/>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Koordinátor bezpečnosti práce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Osoba, kterou takto objednatel ustanoví, se nazývá koordinátor bezpečnosti 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Identifikace osoby, která je pro výkon funkce koordinátora bezpečnosti práce ustanovena, je uvedena ve smlouvě nebo v zápise ve stavebním deníku.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Oprávnění koordinátora bezpečnosti práce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jedná jménem objednatele a jeho rozhodnutí či pokyny vůči zhotoviteli či jiným účastníkům výstavby se chápou tak, jako by je učinil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 oprávněn provádět kontrolu stavebních prací a případných dalších činností zhotovitele či jeho subdodavatelů z hlediska provádění v souladu s předpisy týkajícími se bezpečnosti a ochrany zdraví při práci a dále kontrolovat, zda zhotovitel či jeho subdodavatelů dodržují veškeré právní předpisy týkající se bezpečnosti a ochrany zdraví při práci.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Koordinátor bezpečnosti práce má právo upozornit zhotovitele na nedostatky v uplatňování požadavků na bezpečnost a ochranu zdraví při práci zjištěné na staveništi a vyžadovat zjednání nápravy;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 oprávněn stanovit přiměřená opatření k nápravě a vyžadovat jejich splnění,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není oprávněn schvalovat změnu smlouvy ani jejich částí. Pokud mají rozhodnutí koordinátora bezpečnosti práce vliv na termíny plnění či sjednanou cenu nebo jsou dle mínění zhotovitele nevhodné, je zhotovitel o těchto skutečnost povinen neprodleně informovat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se zúčastňuje jako zástupce objednatele všech kontrol na prováděném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 oprávněn provádět další činnosti, pokud mu je stanoví právní předpis.</w:t>
      </w:r>
    </w:p>
    <w:p w:rsidR="00A66AF3" w:rsidRPr="00D57EDE" w:rsidRDefault="00A66AF3" w:rsidP="00A66AF3">
      <w:pPr>
        <w:pStyle w:val="Zkladntext"/>
        <w:spacing w:line="240" w:lineRule="atLeast"/>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Povinnosti Zhotovitele ve vztahu ke koordinátorovi bezpečnosti práce </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snapToGrid w:val="0"/>
        </w:rPr>
        <w:t>Zhotovitel je povinen se před zahájením stavebních prací seznámit s plánem bezpečnosti práce,</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snapToGrid w:val="0"/>
        </w:rPr>
        <w:t>Zhotovitel je povinen nejpozději do 8 dnů před zahájením prací na staveništi informovat koordinátora o rizicích vznikajících při pracovních nebo technologických postupech, které zvolil,</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snapToGrid w:val="0"/>
        </w:rPr>
        <w:t xml:space="preserve">Zhotovitel je povinen </w:t>
      </w:r>
      <w:r w:rsidRPr="00D57EDE">
        <w:rPr>
          <w:rFonts w:ascii="Arial" w:hAnsi="Arial" w:cs="Arial"/>
        </w:rPr>
        <w:t>poskytovat koordinátorovi bezpečnosti práce součinnost potřebnou pro plnění jeho úkolů po celou dobu svého zapojení do přípravy a provádění stavby, zejména mu včas předávat informace a podklady potřebné pro zhotovení plánu bezpečnosti a jeho změny.</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rPr>
        <w:t>Zhotovitel je povinen vzít v úvahu podněty a pokyny koordinátora bezpečnosti práce.</w:t>
      </w:r>
    </w:p>
    <w:p w:rsidR="00A66AF3" w:rsidRPr="00D57EDE" w:rsidRDefault="00A66AF3" w:rsidP="00A66AF3"/>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Provádění díla a bezpečnost práce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Pokyny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Při provádění díla postupuje zhotovitel samostatně. Zhotovitel se však zavazuje respektovat veškeré pokyny objednatele, technického dozoru a případně koordinátora BOZP, týkající se realizace předmětu plnění a upozorňující na možné porušování smluvních povinností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A66AF3" w:rsidRPr="00D57EDE" w:rsidRDefault="00A66AF3" w:rsidP="00A66AF3">
      <w:pPr>
        <w:tabs>
          <w:tab w:val="num" w:pos="1855"/>
        </w:tabs>
        <w:ind w:left="540"/>
        <w:jc w:val="both"/>
        <w:rPr>
          <w:rFonts w:ascii="Arial" w:hAnsi="Arial"/>
          <w:snapToGrid w:val="0"/>
        </w:rPr>
      </w:pP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Použité materiály a výrobky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Věci, které jsou potřebné k provedení díla je povinen opatřit zhotovitel, pokud ve smlouvě není výslovně uvedeno, že některé věci opatří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doloží na vyzvání objednatele, nejpozději však v termínu předání a převzetí díla soubor certifikátů rozhodujících materiálů užitých ke zhotovení stavby.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Dodržování bezpečnosti a hygieny 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provedení vstupního školení o bezpečnosti a ochraně zdraví při práci a o požární ochraně i u svých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v plné míře zodpovídá za bezpečnost a ochranu zdraví všech osob, které se s jeho vědomím zdržují na staveništi a je povinen zabezpečit jejich vybavení ochrannými pracovními pomůckami.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Jsou-li při provádění díla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subdodavatele.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Jestliže se při provádění stavby vyskytují na staveništi nebo v místě provádění stavebních prací rizikové faktory, je zhotovitel povinen pravidelně, a dále bez zbytečného odkladu vždy, pokud dojde ke změně podmínek práce, měřením zjišťovat a kontrolovat jejich hodnoty a zabezpečit,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provádět v průběhu provádění díla vlastní dozor a soustavnou kontrolu nad bezpečností práce a požární ochranou na staveništi.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pravidelně kontrolovat stav sousedících objektů a ploch a pravidelně dokumentovat jejich stav, zda nejsou dotčeny vlivem zhotovování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to, že všichni jeho zaměstnanci byli podrobeni vstupní lékařské prohlídce a že jsou zdravotně způsobilí k práci na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Dodržování zásad ochrany životního prostředí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vést evidenci o všech druzích odpadů vzniklých z jeho činnosti a vést evidenci o způsobu jejich zneškodňování.</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Dodržování podmínek rozhodnutí dotčených orgánů a organizací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Kvalifikace pracovníků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Veškeré odborné práce musí vykonávat pracovníci zhotovitele nebo jeho subdodavatelů mající příslušnou kvalifikaci. Doklad o kvalifikaci pracovníků je zhotovitel na požádání objednatele povinen doložit.</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Odpovědnost Zhotovitele za škodu a povinnost nahradit škodu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i za škodu způsobenou činností těch, kteří pro něj dílo provádějí.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škodu způsobenou okolnostmi, které mají původ v povaze strojů, přístrojů nebo jiných věcí, které zhotovitel použil nebo hodlal použít při provádění díla.</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Archeologické nálezy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Subdodavatelé (podzhotovitelé)</w:t>
      </w:r>
    </w:p>
    <w:p w:rsidR="00A66AF3" w:rsidRPr="00D57EDE" w:rsidRDefault="00A66AF3" w:rsidP="00A66AF3">
      <w:pPr>
        <w:ind w:left="708"/>
        <w:jc w:val="both"/>
        <w:rPr>
          <w:rFonts w:ascii="Arial" w:hAnsi="Arial"/>
          <w:highlight w:val="yellow"/>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za kterých je možné pověřit realizací díla jinou osobu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Pověřit prováděním části předmětu plnění subdodavatele je zhotovitel oprávněn pouze v případech, kdy takové subdodavatele definoval ve své nabídce v rámci zadávacího řízení. V ostatních případech je zhotovitel oprávněn pověřit provedením části předmětu plnění subdodavatele jen se souhlasem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činnost svých subdodavatelů tak, jako by dílo prováděl sám.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ve svých subdodavatelských smlouvách splnění všech povinností vyplývajících zhotoviteli ze smlouvy o dílo, a to přiměřeně k povaze a rozsahu jejich subdodávky.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Požádá-li o to objednatel, je zhotovitel povinen poskytnout objednateli údaje o všech svých subdodavatelích, kteří se provádění předmětu plnění podílejí nebo podíleli.</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Změna subdodavatele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Změna subdodavatele, jehož prostřednictvím zhotovitel prokazoval v zadávacím řízení kvalifikaci, je možná pouze po předchozím schválení ze strany objednatele, a to za předpokladu, že nový subdodavatel prokáže před uzavřením smlouvy mezi zhotovitelem a subdodavatelem kvalifikaci v  rozsahu minimálně shodném s rozsahem, kterým kvalifikaci prokazoval původní subdodavatel.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schválení nového subdodavatele při splnění všech smluvených podmínek bez závažného důvodu neodepře.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má právo odmítnout plnění části předmětu plnění subdodavatelem v případech, kdy zhotovitelem uvažovaný subdodavatel prokazatelně v minulosti poskytl objednateli vadné plnění.</w:t>
      </w:r>
    </w:p>
    <w:p w:rsidR="00A66AF3" w:rsidRPr="00D57EDE" w:rsidRDefault="00A66AF3" w:rsidP="00A66AF3">
      <w:pPr>
        <w:pStyle w:val="Zkladntext"/>
        <w:spacing w:line="240" w:lineRule="atLeast"/>
        <w:ind w:left="1056"/>
        <w:jc w:val="both"/>
        <w:rPr>
          <w:rFonts w:ascii="Arial" w:hAnsi="Arial" w:cs="Arial"/>
          <w:highlight w:val="cyan"/>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Seznam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předat objednateli seznam svých subdodavatelů, ve kterém uvede ty subdodavatele, jímž za plnění jejich subdodávky uhradil více než 10% z celkové sjednané ceny. Zhotovitel předloží objednateli tento seznam subdodavatelů nejpozději do 60 dnů od splnění smlouvy. Má-li subdodavatel formu akciové společnosti, je povinností zhotovitele zabezpečit, aby přílohou seznamu subdodavatelů byl i seznam vlastníků akcií, jejichž souhrnná jmenovitá hodnota přesahuje 10% základního kapitálu, vyhotovený ve lhůtě nejdéle 90 dnů před dnem předložení seznamu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Seznam subdodavatelů musí obsahovat identifikační údaje subdodavatele (Obchodní firmu, sídlo, IČ) a popis prací či dodávek, které subdodavatel prováděl.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Seznam musí být předán v písemné podobě a v rovněž i v elektronické podobě ve formátu *.pdf.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Porušením povinnosti předat objednateli seznam subdodavatelů se zhotovitel dopouští správního deliktu podle § 120a odst. 1 písm. c) zákona č.137/2006 Sb. o veřejných zakázkách, ve znění pozdějších předpisů.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Vzhledem k tomu, že na včasném předání seznamu subdodavatelů je závislé splnění dalších povinností objednatele, je tato povinnost zajištěna smluvní pokutou.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Věcné omezení prací prováděných subdodavatelsky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má právo ve smlouvě stanovit, že některé druhy prací nebo dodávek nesmí být prováděny subdodavatelem, pokud si takové právo vyhradil v zadávacích podmínkách, na jejichž základě zhotovitel podal svoji nabídku.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objednatel tohoto svého práva využije, je zhotovitel povinen provádět takto stanovené práce nebo dodávky prostřednictvím osob, které jsou vůči němu v pracovněprávním vztahu.</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Kontroly, zkoušky a revize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Kontrolní a zkušební plán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před zahájením prací předložit objednateli kontrolní a zkušební plán zpracovaný na podmínky prováděného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Veškeré zkoušky a kontroly musí vykazovat kladný výsledek, jinak se má za to, že dílo není prováděno v souladu se smlouvou.</w:t>
      </w:r>
    </w:p>
    <w:p w:rsidR="00A66AF3" w:rsidRPr="00D57EDE" w:rsidRDefault="00A66AF3" w:rsidP="00A66AF3">
      <w:pPr>
        <w:ind w:left="141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Individuální vyzkoušení</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k individuálnímu vyzkoušení každého elementu přizvat objednatele, který má právo se kteréhokoliv individuálního vyzkoušení zúčastnit.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individuálního vyzkoušení je rovněž předání návodu k údržbě a obsluze zkoušeného elementu v českém jazyce a vyžaduje-li to povaha elementu, tak i zaškolení obsluhy.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Náklady individuálního vyzkoušení hradí zhotovitel a jsou součástí sjednané ceny.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datu provedení a výsledku individuálního vyzkoušení provede zhotovitel zápis ve stavebním deníku.</w:t>
      </w:r>
    </w:p>
    <w:p w:rsidR="00A66AF3" w:rsidRPr="00D57EDE" w:rsidRDefault="00A66AF3" w:rsidP="00A66AF3">
      <w:pPr>
        <w:ind w:left="708"/>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Komplexní vyzkoušení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Je-li předmětem plnění dle smlouvy i dodávka skupiny strojů či zařízení, které plní samy o sobě nebo ve spojení s jinými určitou technologickou funkci, je povinností zhotovitele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Komplexní vyzkoušení musí proběhnout po dobu nejméně 72 hodin.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 zahájením komplexního vyzkoušení je zhotovitel povinen vypracovat protokol, který projedná s objednatelem a v němž budou definována kritéria pro posuzování úspěšnosti komplexního vyzkoušení.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ke komplexnímu vyzkoušení strojů a zařízení přizvat objednatele. O výsledku komplexního vyzkoušení pořizuje zhotovitel protokol, který předá objednateli v rámci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provozu zajišťuje zhotovitel. Objednatel má právo přizvat ke zkušebnímu provozu i vlastní odborné pracovníky.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Náklady komplexního vyzkoušení hradí s výjimkou surovin, provozních materiálů, energií a mezd pracovníků objednatele zhotovitel. Případná produkce získaná komplexním vyzkoušením náleží objednateli.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komplexního vyzkoušení je rovněž předání návodu k údržbě a obsluze zkoušeného strojů a zařízení v českém jazyce a vyžaduje-li to povaha stroje nebo zařízení, tak i zaškolení obsluhy.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Komplexní vyzkoušení se považuje za úspěšné, pokud po celou dobu zkoušení nebyla shledána žádná vada. V opačném případě komplexní zkoušení pokračuje až do doby dosažení bezvadného stavu.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Kladný výsledek komplexního vyzkoušení je podstatnou podmínkou zahájení zkušebního provozu.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hradí veškeré náklady komplexního vyzkoušení tehdy, pokud nebylo úspěšné z příčin na jeho straně.</w:t>
      </w:r>
    </w:p>
    <w:p w:rsidR="00A66AF3" w:rsidRPr="00D57EDE" w:rsidRDefault="00A66AF3" w:rsidP="00A66AF3">
      <w:pPr>
        <w:ind w:left="708"/>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bookmarkStart w:id="1" w:name="_Toc152988819"/>
      <w:r w:rsidRPr="00D57EDE">
        <w:rPr>
          <w:rFonts w:ascii="Arial" w:hAnsi="Arial"/>
          <w:u w:val="single"/>
        </w:rPr>
        <w:t>Zkušební provoz</w:t>
      </w:r>
      <w:bookmarkEnd w:id="1"/>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Zkušební provoz technologického zařízení provádí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příslušné dokumentaci.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 zahájením zkušebního provozu sjednají smluvní strany dobu zahájení a délku zkušebního provozu (není-li stanovena smlouvou), jakož i kritéria výsledného hodnocení, podmínky, rozsah a technicky nutnou dobu účasti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ležících na jeho straně.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před zahájením zkušebního provozu předat objednateli provozní řád na zkušební provoz.</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Energie a provozní náplně pro zkušební provoz zajišťuje a hradí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zkušebního provozu je i zaškolení obsluhy objednatele.</w:t>
      </w:r>
    </w:p>
    <w:p w:rsidR="00A66AF3" w:rsidRPr="00D57EDE" w:rsidRDefault="00A66AF3" w:rsidP="00A66AF3">
      <w:pPr>
        <w:tabs>
          <w:tab w:val="num" w:pos="1855"/>
        </w:tabs>
        <w:ind w:left="1260"/>
        <w:jc w:val="both"/>
        <w:rPr>
          <w:rFonts w:ascii="Arial" w:hAnsi="Arial"/>
          <w:snapToGrid w:val="0"/>
        </w:rPr>
      </w:pPr>
    </w:p>
    <w:p w:rsidR="00A66AF3" w:rsidRPr="00D57EDE" w:rsidRDefault="00A66AF3" w:rsidP="00A66AF3">
      <w:pPr>
        <w:ind w:left="708"/>
        <w:jc w:val="both"/>
        <w:rPr>
          <w:rFonts w:ascii="Arial" w:hAnsi="Arial"/>
          <w:b/>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 xml:space="preserve">Předání a převzetí díla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Organizace předání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 prvním jednání obě strany dohodnou organizační záležitosti předávacího a přejímacího řízení.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Místem předání a převzetí díla je místo, kde se dílo provádělo.</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je povinen k předání a převzetí díla přizvat osoby vykonávající funkci technického a případně i autorského dozoru.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přizvat k předání a převzetí díla i jiné osoby, jejichž účast pokládá za nezbytnou (např. budoucího uživatele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k předání a převzetí díla přizvat na požádání objednatele i své subdodavatele.</w:t>
      </w:r>
    </w:p>
    <w:p w:rsidR="00A66AF3" w:rsidRPr="00D57EDE" w:rsidRDefault="00A66AF3" w:rsidP="00A66AF3">
      <w:pPr>
        <w:pStyle w:val="Zkladntext"/>
        <w:spacing w:line="240" w:lineRule="atLeast"/>
        <w:ind w:left="1056"/>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Protokol o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průběhu předávacího a přejímacího řízení pořídí objednatel zápis (protokol).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Povinným obsahem protokolu jsou:</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údaje o zhotoviteli a objednateli</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popis díla, které je předmětem předání a převzetí</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dohoda o způsobu a termínu vyklizení staveniště</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termín, od kterého počíná běžet záruční lhůta</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 xml:space="preserve">prohlášení objednatele, zda dílo přejímá nebo nepřejímá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Obsahuje-li dílo, které je předmětem předání a převzetí vady nebo nedodělky, musí protokol obsahovat i:</w:t>
      </w:r>
    </w:p>
    <w:p w:rsidR="00A66AF3" w:rsidRPr="00D57EDE" w:rsidRDefault="00A66AF3" w:rsidP="00A66AF3">
      <w:pPr>
        <w:numPr>
          <w:ilvl w:val="3"/>
          <w:numId w:val="1"/>
        </w:numPr>
        <w:tabs>
          <w:tab w:val="clear" w:pos="2484"/>
          <w:tab w:val="num" w:pos="2340"/>
        </w:tabs>
        <w:suppressAutoHyphens w:val="0"/>
        <w:ind w:left="2340"/>
        <w:jc w:val="both"/>
        <w:rPr>
          <w:rFonts w:ascii="Arial" w:hAnsi="Arial"/>
          <w:snapToGrid w:val="0"/>
        </w:rPr>
      </w:pPr>
      <w:r w:rsidRPr="00D57EDE">
        <w:rPr>
          <w:rFonts w:ascii="Arial" w:hAnsi="Arial"/>
          <w:snapToGrid w:val="0"/>
        </w:rPr>
        <w:t>soupis zjištěných vad a nedodělků</w:t>
      </w:r>
    </w:p>
    <w:p w:rsidR="00A66AF3" w:rsidRPr="00D57EDE" w:rsidRDefault="00A66AF3" w:rsidP="00A66AF3">
      <w:pPr>
        <w:numPr>
          <w:ilvl w:val="3"/>
          <w:numId w:val="1"/>
        </w:numPr>
        <w:tabs>
          <w:tab w:val="clear" w:pos="2484"/>
          <w:tab w:val="num" w:pos="2340"/>
        </w:tabs>
        <w:suppressAutoHyphens w:val="0"/>
        <w:ind w:left="2340"/>
        <w:jc w:val="both"/>
        <w:rPr>
          <w:rFonts w:ascii="Arial" w:hAnsi="Arial"/>
          <w:snapToGrid w:val="0"/>
        </w:rPr>
      </w:pPr>
      <w:r w:rsidRPr="00D57EDE">
        <w:rPr>
          <w:rFonts w:ascii="Arial" w:hAnsi="Arial"/>
          <w:snapToGrid w:val="0"/>
        </w:rPr>
        <w:t>dohodu o způsobu a termínech jejich odstranění, popřípadě o jiném způsobu narovnání</w:t>
      </w:r>
    </w:p>
    <w:p w:rsidR="00A66AF3" w:rsidRPr="00D57EDE" w:rsidRDefault="00A66AF3" w:rsidP="00A66AF3">
      <w:pPr>
        <w:numPr>
          <w:ilvl w:val="3"/>
          <w:numId w:val="1"/>
        </w:numPr>
        <w:tabs>
          <w:tab w:val="clear" w:pos="2484"/>
          <w:tab w:val="num" w:pos="2340"/>
        </w:tabs>
        <w:suppressAutoHyphens w:val="0"/>
        <w:ind w:left="2340"/>
        <w:jc w:val="both"/>
        <w:rPr>
          <w:rFonts w:ascii="Arial" w:hAnsi="Arial"/>
          <w:snapToGrid w:val="0"/>
        </w:rPr>
      </w:pPr>
      <w:r w:rsidRPr="00D57EDE">
        <w:rPr>
          <w:rFonts w:ascii="Arial" w:hAnsi="Arial"/>
          <w:snapToGrid w:val="0"/>
        </w:rPr>
        <w:t>dohodu o zpřístupnění díla nebo jeho částí zhotoviteli za účelem odstranění vad nebo nedodělků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 případě, že objednatel odmítá dílo převzít, uvede v protokolu o předání a převzetí díla i důvody, pro které odmítá dílo převzít.</w:t>
      </w:r>
    </w:p>
    <w:p w:rsidR="00A66AF3" w:rsidRPr="00D57EDE" w:rsidRDefault="00A66AF3" w:rsidP="00A66AF3">
      <w:pPr>
        <w:pStyle w:val="Zkladntext"/>
        <w:spacing w:line="240" w:lineRule="atLeast"/>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Vady a nedodělky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w:t>
      </w:r>
      <w:r w:rsidR="00C9030D">
        <w:rPr>
          <w:rFonts w:ascii="Arial" w:hAnsi="Arial"/>
          <w:snapToGrid w:val="0"/>
        </w:rPr>
        <w:t>může, dohodne-li se tak se zhotovitelem,</w:t>
      </w:r>
      <w:r w:rsidRPr="00D57EDE">
        <w:rPr>
          <w:rFonts w:ascii="Arial" w:hAnsi="Arial"/>
          <w:snapToGrid w:val="0"/>
        </w:rPr>
        <w:t xml:space="preserve"> převzít i dílo, které vykazuje drobné vady a nedodělky, které samy o sobě, ani ve spojení s jinými nebrání řádnému užívání díla.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 protokolu o předání a převzetí uvede objednatel soupis těchto vad a nedodělků včetně způsobu a termínu jejich odstranění.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Nedojde-li mezi oběma stranami k dohodě o termínu odstranění vad a nedodělků, pak platí, že vady a nedodělky musí být odstraněny nejpozději do 30 dnů ode dne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ve stanovené lhůtě odstranit vady nebo nedodělky i v případě, kdy podle jeho názoru za vady a nedodělky neodpovídá. Náklady na odstranění v těchto sporných případech nese až do rozhodnutí soudu zhotovitel. </w:t>
      </w: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Doklady nezbytné k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připravit a doložit u předávacího a přejímacího řízení zejména tyto doklady: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tři vyhotovení dokumentace skutečného provedení stavby a jedno vyhotovení v digitální podobě ve formátech pdf a dwg;</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osvědčení o provedených zkouškách použitých materiálů;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výsledky předepsaných měření (např., radon, CO apod.);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výsledky o vyzkoušení smontovaného zařízení, o provedených revizních a provozních zkouškách (např. tlakové zkoušky, revize elektroinstalace, plynu, tlakové nádoby, komíny apod.);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výsledky o prověření prací a konstrukcí zakrytých v průběhu prací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seznam strojů a zařízení, které jsou součástí díla, jejich pasporty, záruční listy, návody k obsluze a údržbě v českém jazyce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stavební deník (případně deníky) a deník(y) víceprací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geodetické zaměření skutečného provedení díla v požadovaném rozsahu a počtu vyhotovení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geometrický plán pro vklad do Katastru nemovitostí v požadovaném rozsahu a počtu vyhotovení, pokud zhotovení díla zakládá povinnost změny nebo zápisu do Katastru nemovitostí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Nedoloží-li zhotovitel požadované doklady, nepovažuje se dílo za dokončené a schopné předání.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připravit a doložit u předávacího a přejímacího řízení zejména tyto doklady: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územní rozhodnutí;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stavební povolení včetně dokladu o jeho nabytí právní moci a včetně všech případných změn a doplňků</w:t>
      </w:r>
    </w:p>
    <w:p w:rsidR="00A66AF3" w:rsidRPr="00D57EDE" w:rsidRDefault="00A66AF3" w:rsidP="00A66AF3">
      <w:pPr>
        <w:ind w:left="1260"/>
        <w:jc w:val="both"/>
        <w:rPr>
          <w:rFonts w:ascii="Arial" w:hAnsi="Arial"/>
          <w:snapToGrid w:val="0"/>
        </w:rPr>
      </w:pPr>
      <w:r w:rsidRPr="00D57EDE">
        <w:rPr>
          <w:rFonts w:ascii="Arial" w:hAnsi="Arial"/>
          <w:snapToGrid w:val="0"/>
        </w:rPr>
        <w:t>Tyto doklady slouží při předání a převzetí díla ke kontrole, zda byly splněny podmínky v nich obsažené.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Publicita dokončené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na úhradě díla podílí veřejné prostředky, zejména pak finanční prostředky ze zdrojů Evropské unie je zhotoviteli povinen po dokončení vybudovat a umístit prvky publicity podle podmínek stanovených poskytovatelem dotace, které objednatel předá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umístit v prostorách stavby na viditelném místě stálou informační tabuli nejpozději v den předání a převzetí díla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Stálá informační tabule (trvalá pamětní deska) musí mít rozměr dle podmínek poskytovatele dotace. Pamětní deska musí být z</w:t>
      </w:r>
      <w:r w:rsidRPr="00D57EDE">
        <w:rPr>
          <w:rFonts w:ascii="Arial" w:hAnsi="Arial" w:hint="eastAsia"/>
          <w:snapToGrid w:val="0"/>
        </w:rPr>
        <w:t> </w:t>
      </w:r>
      <w:r w:rsidRPr="00D57EDE">
        <w:rPr>
          <w:rFonts w:ascii="Arial" w:hAnsi="Arial"/>
          <w:snapToGrid w:val="0"/>
        </w:rPr>
        <w:t>leštěného kamene, pokud se smluvní strany nedohodnou jinak, a musí obsahovat všechny údaje podle podmínek stanovených poskytovatelem dotace, které objednatel předá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 pamětní desce musí být uveden název stavby. Povinné informace musí zabírat nejméně 25 % plochy pamětní desky. Vše musí být provedeno v čitelné a viditelné formě tak, aby nebyl narušen charakter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Konečnou podobu pamětní desky musí zhotovitel v předstihu nejméně 15 dní před termínem předání a převzetí předložit objednateli k odsouhlasení.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Pamětní deska musí být umístěna na místech přístupných široké veřejnosti (např. v blízkosti příjezdové komunikace, na vstupu do budovy apod.). Konkrétní umístění a konkrétní obsah pamětní desky projedná zhotovitel s objednatelem.</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Kolaudace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se zúčastnit kolaudačního řízení, pokud jej přizve stavební úřad. V případě, že se zhotovitel přes řádné pozvání nedostaví, nese veškeré náklady na opakované kolaudační řízení.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poskytnout objednateli pro účely kolaudačního řízení nezbytnou součinnost, zejména dodat včas doklady nezbytné pro řádnou kolaudaci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zaslat bez zbytečného odkladu zhotoviteli kopii kolaudačního souhlasu pokud jsou v něm stanoveny povinnosti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splnit svoje povinnosti, vyplývající z kolaudačního souhlasu ve lhůtě tam stanovené, a nebyla-li lhůta stanovena tak nejpozději do třiceti dnů ode dne doručení kopie kolaudačního souhlasu.</w:t>
      </w:r>
    </w:p>
    <w:p w:rsidR="00A66AF3" w:rsidRPr="00D57EDE" w:rsidRDefault="00A66AF3" w:rsidP="00A66AF3">
      <w:pPr>
        <w:jc w:val="both"/>
        <w:rPr>
          <w:rFonts w:ascii="Arial" w:hAnsi="Arial"/>
          <w:snapToGrid w:val="0"/>
        </w:rPr>
      </w:pPr>
    </w:p>
    <w:p w:rsidR="00A66AF3" w:rsidRPr="00D57EDE" w:rsidRDefault="00A66AF3" w:rsidP="00A66AF3">
      <w:pPr>
        <w:jc w:val="both"/>
        <w:rPr>
          <w:rFonts w:ascii="Arial" w:hAnsi="Arial"/>
          <w:snapToGrid w:val="0"/>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Záruka za jakost díla</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Odpovědnost za vady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w:t>
      </w:r>
      <w:bookmarkStart w:id="2" w:name="_GoBack"/>
      <w:bookmarkEnd w:id="2"/>
      <w:r w:rsidRPr="00D57EDE">
        <w:rPr>
          <w:rFonts w:ascii="Arial" w:hAnsi="Arial"/>
          <w:snapToGrid w:val="0"/>
        </w:rPr>
        <w:t xml:space="preserve">vitel odpovídá za vady, jež má dílo v době jeho předání a dále odpovídá za vady díla zjištěné v záruční době.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neodpovídá za vady díla, které byly způsobeny objednatelem nebo vyšší mocí.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kvalitu provedených prací či dodávek jak vlastními pracovníky, tak i za kvalitu prací prováděných jeho subdodavateli.</w:t>
      </w:r>
    </w:p>
    <w:p w:rsidR="00A66AF3" w:rsidRPr="00D57EDE" w:rsidRDefault="00A66AF3" w:rsidP="00A66AF3">
      <w:pPr>
        <w:pStyle w:val="Zkladntext"/>
        <w:spacing w:line="240" w:lineRule="atLeast"/>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Délka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Záruční lhůta je pro celé dílo sjednána v délce </w:t>
      </w:r>
      <w:r w:rsidR="00740F2A" w:rsidRPr="00740F2A">
        <w:rPr>
          <w:rFonts w:ascii="Arial" w:hAnsi="Arial"/>
          <w:snapToGrid w:val="0"/>
        </w:rPr>
        <w:t xml:space="preserve">24 </w:t>
      </w:r>
      <w:r w:rsidRPr="00740F2A">
        <w:rPr>
          <w:rFonts w:ascii="Arial" w:hAnsi="Arial"/>
          <w:snapToGrid w:val="0"/>
        </w:rPr>
        <w:t>měsíců.</w:t>
      </w:r>
      <w:r w:rsidRPr="00D57EDE">
        <w:rPr>
          <w:rFonts w:ascii="Arial" w:hAnsi="Arial"/>
          <w:snapToGrid w:val="0"/>
        </w:rPr>
        <w:t xml:space="preserv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Záruční doba počíná běžet dnem oboustranného podpisu protokolu o předání a převzetí díla, pokud v tomto protokolu objednatel neodmítl dílo převzít.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Záruční lhůta neběží po dobu, po kterou objednatel nemohl předmět díla užívat pro vady díla, za které zhotovitel odpovídá.</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rsidR="00A66AF3" w:rsidRPr="00D57EDE" w:rsidRDefault="00A66AF3" w:rsidP="00A66AF3">
      <w:pPr>
        <w:pStyle w:val="Zkladntext"/>
        <w:spacing w:line="240" w:lineRule="atLeast"/>
        <w:ind w:left="1056"/>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Výjimky ze záruky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bookmarkStart w:id="3" w:name="OLE_LINK2"/>
      <w:r w:rsidRPr="00D57EDE">
        <w:rPr>
          <w:rFonts w:ascii="Arial" w:hAnsi="Arial"/>
          <w:snapToGrid w:val="0"/>
        </w:rPr>
        <w:t>Záruční lhůta pro dodávky strojů a zařízení, na něž výrobce těchto zařízení vystavuje samostatný záruční list, se sjednává v délce lhůty poskytnuté výrobcem, nejméně však v délce 24 měsíců.</w:t>
      </w:r>
      <w:bookmarkEnd w:id="3"/>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uplatnění reklamace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je povinen vady písemně reklamovat u zhotovitele bez zbytečného odkladu po jejich zjištění. Oznámení (reklamaci) odešle na adresu zhotovitele uvedenou ve smlouvě. V reklamaci musí být vady popsány nebo uvedeno jak se projevují. Dále v reklamaci objednatel uvede, jakým způsobem požaduje sjednat nápravu.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Právo objednatele vyplývající ze záruky zaniká, pokud objednatel neoznámí vady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bez zbytečného odkladu poté, kdy je zjistí,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bez zbytečného odkladu poté, kdy je měl zjistit při vynaložení odborné péče při prohlídce při předání a převzetí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bez zbytečného odkladu poté, kdy mohly být zjištěny později při vynaložení odborné péče nejpozději však do konce záruční doby.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Reklamaci lze uplatnit nejpozději do posledního dne záruční lhůty, přičemž i reklamace odeslaná objednatelem v poslední den záruční lhůty se považuje za včas uplatněnou.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odstranění reklamovaných vad</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nejpozději do 10ti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vadu(y) odstraní.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nastoupit neprodleně k odstranění reklamované vady, nejpozději však do 15ti dnů po obdržení reklamace, a to i v případě, že reklamaci neuznává. Náklady na odstranění reklamované vady nese zhotovitel i ve sporných případech až do rozhodnutí soudu.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Nenastoupí-li zhotovitel k odstranění reklamované vady ani do 20ti dnů po obdržení reklamace objednatele je objednatel oprávněn pověřit odstraněním vady jinou odbornou právnickou nebo fyzickou osobu. Veškeré takto vzniklé náklady uhradí objednateli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Jestliže objednatel v reklamaci výslovně uvede, že se jedná o havárii, je zhotovitel povinen nastoupit a zahájit odstraňování vady (havárie) nejpozději do 48 hod po obdržení reklamace (oznámení).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umožnit pracovníkům zhotovitele přístup do prostor nezbytných pro odstranění vady. Pokud tak neučiní, není zhotovitel v prodlení s termínem nastoupení na odstranění vady ani s termínem pro odstranění vady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Lhůty pro odstranění reklamovaných vad</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doručení reklamace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doručení reklamace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odstranění reklamované vady sepíše objednatel protokol, ve kterém potvrdí odstranění vady nebo uvede důvody, pro které odmítá opravu převzít.</w:t>
      </w:r>
    </w:p>
    <w:p w:rsidR="00A66AF3" w:rsidRPr="00D57EDE" w:rsidRDefault="00A66AF3" w:rsidP="00A66AF3">
      <w:pPr>
        <w:pStyle w:val="Zkladntextodsazen2"/>
        <w:jc w:val="both"/>
      </w:pPr>
    </w:p>
    <w:p w:rsidR="00A66AF3" w:rsidRPr="00D57EDE" w:rsidRDefault="00A66AF3" w:rsidP="00A66AF3">
      <w:pPr>
        <w:pStyle w:val="Zkladntextodsazen2"/>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Vlastnictví díla a nebezpečí škody na díle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Vlastnictví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Vlastníkem zhotovovaného díla je od počátku objednatel. </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Nebezpečí škody na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Nebezpečí škody ve smyslu ustanovení § 2624 zák. č. 89/2012 Sb., občanský zákoník (dále jen obč. zák), nese od počátku zhotovitel, a to až do doby řádného předání a převzetí díla mezi zhotovitelem a objednatelem.</w:t>
      </w: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Zajištění závazků Zhotovitele</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Zajištění závazků zhotovitele po dobu realizace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smlouva stanoví, že zhotovitel předá objednateli finanční záruku za řádné provedení předmětu plnění ve smyslu ustanovení § 2029 a následujících obč. zák. bude její výše sjednána ve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Finanční záruka poskytnutá zhotovitelem musí být platná po dobu provádění díla.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 finanční záruky, poskytnuté zhotovitelem musí vyplývat právo objednatele čerpat finanční prostředky v případě, že během provádění díla nesplní zhotovitel své povinnosti vyplývající ze smlouvy nebo v případě, kdy objednateli vznikne ze smlouvy nárok na smluvní pokutu. Pokud tomu tak není, neodpovídá finanční záruka podmínkám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záruku předloží zhotovitel objednateli v originále listiny nejpozději do 30 kalendářních dnů ode dne podpisu smlouvy. 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záruka za řádné provedení díla bude zhotoviteli vrácena (uvolněna) do 30 dnů ode dne protokolárního předání a převzetí díla.</w:t>
      </w:r>
    </w:p>
    <w:p w:rsidR="00A66AF3" w:rsidRPr="00D57EDE" w:rsidRDefault="00A66AF3" w:rsidP="00A66AF3">
      <w:pPr>
        <w:ind w:left="540"/>
        <w:jc w:val="both"/>
        <w:rPr>
          <w:rFonts w:ascii="Arial" w:hAnsi="Arial"/>
          <w:snapToGrid w:val="0"/>
        </w:rPr>
      </w:pP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Zajištění závazků zhotovitele po dobu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smlouva stanoví, že zhotovitel předá objednateli finanční záruku ve smyslu ustanovení § 2029 a násl. obč. zák. za řádné plnění záručních podmínek. Výše finanční záruky bude sjednána ve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záruka poskytnutá zhotovitelem musí být platná po celou dobu sjednané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 finanční záruky poskytnuté zhotovitelem musí vyplývat právo objednatele čerpat finanční prostředky v případě, že během sjednané záruční lhůty zhotovitel neodstraní případné reklamované vady zjištěné objednatelem nebo v případě, kdy objednateli vznikne neplněním záručních podmínek či jiných smluvních povinností zhotovitelem nárok na smluvní pokutu. Pokud tomu tak není, neodpovídá finanční záruka podmínkám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záruku předloží zhotovitel objednateli v originále listiny nejpozději do 30 kalendářních dnů ode dne oboustranného podpisu protokolu o předání a převzetí díla. 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záruka za řádné plnění záručních podmínek bude zhotoviteli vrácena (uvolněna) do 30 dnů ode dne uplynutí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Finační záruku k zajištění závazků zhotovitele vyplývajících z poskytnuté záruky za jakost, může zhotovitel postupně, vždy po uplynutí 12 kalendářních měsíců ze záruční lhůty, nahrazovat novou bankovní zárukou, sníženou o jednu její pětinu v případě, kdy je sjednána záruční doba 60 měsíců (při jiné délce záruční lhůty se snížení výše finanční záruky upraví podle počtu let sjednané záruční lhůty). </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Pojištění díla</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Pojištění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být po celou dobu plnění pojištěn proti škodám způsobeným jeho činností včetně možných škod pracovníků zhotovitele, a to do výše stanovené ve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Pojištění odpovědnosti za škodu z výkonu podnikatelské činnosti musí pokrývat škody na věcech (vzniklé poškozením, zničením nebo pohřešováním) a na zdraví (úrazem nebo nemocí):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způsobené provozní činností zhotovitele,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způsobené vadným výrobkem,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vzniklé v souvislosti s poskytovanými pracemi, dodávkami a službami,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vzniklé v souvislosti s vlastnictvím nemovitosti,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vzniklé na věcech zaměstnanců.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Výše pojistné hodnoty je definována smlouvou. Pokud smlouva výši pojistné hodnoty nedefinuje má se na mysli minimální hodnota odpovídající 20% nové ceny, tedy hodnoty díla po jeho úplném dokončení. </w:t>
      </w: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Pojištění díla</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snapToGrid w:val="0"/>
        </w:rPr>
        <w:t>Zhotovitel je povinen před zahájením prací pojistit dílo proti škodám</w:t>
      </w:r>
      <w:r w:rsidRPr="00D57EDE">
        <w:rPr>
          <w:rFonts w:ascii="Arial" w:hAnsi="Arial"/>
        </w:rPr>
        <w:t xml:space="preserve">, které </w:t>
      </w:r>
      <w:r w:rsidRPr="00D57EDE">
        <w:rPr>
          <w:rFonts w:ascii="Arial" w:hAnsi="Arial"/>
          <w:bCs/>
        </w:rPr>
        <w:t>mohou vzniknout v průběhu zhotovování stavby: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požárem, výbuchem, přímým úderem blesku, nárazem nebo zřícením letadla, jeho části nebo jeho nákladu,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záplavou, povodní, vichřicí, krupobitím, sesouváním půdy, zřícením skal nebo zemin, sesouváním nebo zřícením sněhových lavin, tíhou sněhu nebo námrazy,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pádem pojištěné věci, nárazem,</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pádem stromů, stožárů a jiných předmětů,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vodou vytékající z vodovodních zařízení,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z w:val="22"/>
        </w:rPr>
      </w:pPr>
      <w:r w:rsidRPr="00D57EDE">
        <w:rPr>
          <w:rFonts w:ascii="Arial" w:hAnsi="Arial"/>
          <w:snapToGrid w:val="0"/>
        </w:rPr>
        <w:t>neodborným zacházením, nesprávnou obsluhou, úmyslným poškozením, nešikovností, nepozorností a nedbalostí</w:t>
      </w:r>
      <w:r w:rsidRPr="00D57EDE">
        <w:rPr>
          <w:rFonts w:ascii="Arial" w:hAnsi="Arial" w:cs="Arial"/>
          <w:sz w:val="22"/>
          <w:szCs w:val="16"/>
        </w:rPr>
        <w:t>,</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rPr>
      </w:pPr>
      <w:r w:rsidRPr="00D57EDE">
        <w:rPr>
          <w:rFonts w:ascii="Arial" w:hAnsi="Arial" w:cs="Arial"/>
        </w:rPr>
        <w:t>krádeží.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Výše pojistné hodnoty je definována smlouvou. Pokud smlouva výši pojistné hodnoty nedefinuje, má se na mysli jeho nová cena, tedy hodnota díla po jeho úplném dokončení.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Pojištění zaměstnanců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být po celou dobu provádění díla pojištěn pro případ své odpovědnosti za škodu při pracovním úrazu nebo nemoci z povolání svých zaměstnanců.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Pojištění subdodavatelů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zabezpečit před zahájením subdodavatelských prací, aby shodné povinnosti související s pojištěním splnili i jeho subdodavatelé v rozsahu odpovídajícím charakteru a rozsahu jejich subdodávky.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Doklady o pojištění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Dokladem o pojištění je platná a účinná pojistná smlouva, u níž zhotovitel řádně a včas uhradil pojistné.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Doklad o pojištění je zhotovitel povinen na požádání předložit objednateli.  Nepředložení kteréhokoliv dokladu o pojištění nejpozději do 10 kalendářních dnů ode dne výzvy objednatele, opravňuje objednatele k odstoupení od smlouvy.</w:t>
      </w:r>
    </w:p>
    <w:p w:rsidR="00A66AF3" w:rsidRPr="00D57EDE" w:rsidRDefault="00A66AF3" w:rsidP="00A66AF3">
      <w:pPr>
        <w:rPr>
          <w:rFonts w:ascii="Arial" w:hAnsi="Arial" w:cs="Arial"/>
          <w:b/>
          <w:sz w:val="22"/>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Povinnosti obou stran při vzniku pojistné události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Při vzniku pojistné události zabezpečuje veškeré úkony vůči svému pojistiteli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poskytnout v souvislosti s pojistnou událostí zhotoviteli veškerou součinnost, která je v jeho možnostech</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Náklady na pojištění nese zhotovitel a má je zahrnuty ve sjednané ceně.</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Vyšší moc</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Definice vyšší moci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 vyšší moc se považují okolnosti mající vliv na dílo, které nejsou závislé na zhotoviteli ani na objednateli a které ani zhotovitel ani objednatel nemohou ovlivnit. Jedná se např. o válku, mobilizaci, povstání, živelné pohromy apod.</w:t>
      </w:r>
    </w:p>
    <w:p w:rsidR="00A66AF3" w:rsidRPr="00D57EDE" w:rsidRDefault="00A66AF3" w:rsidP="00A66AF3">
      <w:pPr>
        <w:pStyle w:val="Zkladntext"/>
        <w:spacing w:line="240" w:lineRule="atLeast"/>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Práva a povinnosti při vzniku vyšší moci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Změna smlouvy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Forma změny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Jakákoliv změna smlouvy musí mít písemnou formu a musí být podepsána osobami oprávněnými za objednatele a zhotovitele jednat a podepisovat nebo osobami jimi zmocněnými.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Změny smlouvy se sjednávají jako dodatek ke smlouvě s číselným označením podle pořadového čísla dodatku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Předloží-li některá ze smluvních stran návrh na změnu smlouvy formou písemného dodatku ke smlouvě, je druhá smluvní strana povinna se k návrhu vyjádřit nejpozději do 15 dnů ode dne následujícího po doručení návrhu dodatku ke smlouvě.</w:t>
      </w:r>
    </w:p>
    <w:p w:rsidR="00A66AF3" w:rsidRPr="00D57EDE" w:rsidRDefault="00A66AF3" w:rsidP="00A66AF3">
      <w:pPr>
        <w:pStyle w:val="Zkladntext"/>
        <w:spacing w:line="240" w:lineRule="atLeast"/>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Převod práv a povinností ze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oprávněn převést svoje práva a povinnosti z této smlouvy vyplývající na jinou osobu pouze s písemným souhlasem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Vzhledem k tomu, že tyto obchodní podmínky se vztahují ke stavbám či stavebním pracím, které byly či jsou předmětem veřejné zakázky ve smyslu zákona č. 137/2006 Sb., o veřejných zakázkách není objednatel oprávněn převést svoje práva a povinnosti z této smlouvy vyplývající na jinou osobu.</w:t>
      </w: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Odstoupení od smlouvy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Důvody opravňující k odstoupení od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Nastanou-li u některé ze smluvních stran skutečnosti bránící řádnému plnění smlouvy je tato smluvní strana povinna to bez zbytečného odkladu oznámit druhé smluvní straně a vyvolat jednání zástupců oprávněných k popisu smlouvy.</w:t>
      </w:r>
    </w:p>
    <w:p w:rsidR="00A66AF3" w:rsidRPr="00D57EDE" w:rsidRDefault="00A66AF3" w:rsidP="00A66AF3">
      <w:pPr>
        <w:ind w:left="708"/>
        <w:jc w:val="both"/>
        <w:rPr>
          <w:rFonts w:ascii="Arial" w:hAnsi="Arial" w:cs="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odstoupení od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Je-li důvodem k odstoupení od smlouvy neplnění smluvních povinností jednou ze smluvních stran, je druhá strana, která hodlá od smlouvy odstoupit, povinna poskytnout druhé straně přiměřenou lhůtu k nápravě. Teprve poté, co smluvní povinnost nebyla splněna ni v této dodatečně poskytnuté lhůtě je možné od smlouvy odstoupit.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A66AF3" w:rsidRPr="00D57EDE" w:rsidRDefault="00A66AF3" w:rsidP="00A66AF3">
      <w:pPr>
        <w:ind w:left="1056"/>
        <w:jc w:val="both"/>
        <w:rPr>
          <w:rFonts w:ascii="Arial" w:hAnsi="Arial" w:cs="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Den účinnosti odstoupení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Důsledky odstoupení od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Odstoupí-li některá ze stran od smlouvy na základě ujednání z této smlouvy vyplývajících, pak povinnosti obou stran jsou následující: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Zhotovitel provede soupis všech provedených prací oceněný dle způsobu, kterým je stanovena cena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Zhotovitel provede finanční vyčíslení provedených prací, popřípadě poskytnutých záloh a zpracuje „dílčí konečnou fakturu“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Zhotovitel odveze veškerý svůj nezabudovaný materiál, pokud se strany nedohodnou jinak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Zhotovitel vyzve objednatele k „dílčímu předání díla“ a objednatel je povinen do tří dnů od obdržení vyzvání zahájit „dílčí přejímací řízení“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 dílčím předání provedených prací sjednají obě strany písemné zrušení smlouvy</w:t>
      </w:r>
    </w:p>
    <w:p w:rsidR="00A66AF3"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strana, která důvodné odstoupení od smlouvy zapříčinila je povinna uhradit druhé straně veškeré náklady jí vzniklé z důvodů odstoupení od smlouvy</w:t>
      </w:r>
      <w:r>
        <w:rPr>
          <w:rFonts w:ascii="Arial" w:hAnsi="Arial"/>
          <w:snapToGrid w:val="0"/>
        </w:rPr>
        <w:t xml:space="preserve"> </w:t>
      </w: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Řešení sporů</w:t>
      </w:r>
    </w:p>
    <w:p w:rsidR="00A66AF3" w:rsidRPr="00D57EDE" w:rsidRDefault="00A66AF3" w:rsidP="00A66AF3">
      <w:pPr>
        <w:ind w:left="708"/>
        <w:jc w:val="both"/>
        <w:rPr>
          <w:rFonts w:ascii="Arial" w:hAnsi="Arial"/>
        </w:rPr>
      </w:pP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Příslušnost soudu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Jakýkoliv spor vzniklý ze smlouvy, pokud se jej nepodaří urovnat jednáním mezi smluvními stranami, bude rozhodnut k tomu věcně a místně příslušným soudem, přičemž soudem místně příslušným k rozhodnutí je soud určený podle sídla objednatele.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Volba práva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Právní vztahy, včetně otázek platnosti a následků neplatnosti se řídí českým právem.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 věcech smlouvou ani obchodními podmínkami výslovně neupravených se bude smluvní vztah řídit ustanoveními obecně závazných právních předpisů, zejména občanským zákoníkem a předpisy souvisejícími.</w:t>
      </w: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bookmarkStart w:id="4" w:name="_Toc152988861"/>
      <w:r w:rsidRPr="00D57EDE">
        <w:rPr>
          <w:rFonts w:ascii="Arial" w:hAnsi="Arial"/>
          <w:b/>
          <w:caps/>
        </w:rPr>
        <w:t xml:space="preserve">důvěrnost informací a duševní vlastnictví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Důvěrné informace </w:t>
      </w:r>
    </w:p>
    <w:bookmarkEnd w:id="4"/>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Veškeré informace a dokumenty týkající se plnění předmětu smlouvy, s nimiž bude zhotovitel přicházet v průběhu provádění díla do styku, jsou považovány za důvěrné a nesmějí být sdělovány nikomu kromě objednatele a - podle dohody s ním – dalším povolaným osobám, např. subdodavatelům. Tyto informace nebudou použity k jiným účelům než k provádění díla podle smlouvy a příslušné dokumentace.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 důvěrné informace se nepovažují informace, které:</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jsou veřejně přístupné nebo známé v době jejich užití nebo zpřístupnění, pokud jejich veřejná přístupnost či známost nenastala v důsledku porušení zákonné (tj. uložené právními předpisy) či smluvní povinnosti, nebo</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jsou poskytnuty smluvní straně třetí osobou nijak nezúčastněnou na zhotovení stavby, která má právo s takovou informací volně nakládat a poskytnout ji třetím osobám.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 souvislosti s důvěrností informací bere zhotovitel na vědomí, že je zákonnou povinností objednatele uveřejnit na profilu zadavatele celé znění smlouvy včetně všech jejich případných dodatků a po splnění smlouvy je objednatel povinen na profilu zadavatele uveřejnit skutečně uhrazenou cenu a seznam subdodavatelů. Splnění této zákonné povinnosti není porušením důvěrnosti informací.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 w:val="num" w:pos="1260"/>
        </w:tabs>
        <w:suppressAutoHyphens w:val="0"/>
        <w:ind w:left="540" w:hanging="540"/>
        <w:jc w:val="both"/>
        <w:rPr>
          <w:rFonts w:ascii="Arial" w:hAnsi="Arial"/>
          <w:u w:val="single"/>
        </w:rPr>
      </w:pPr>
      <w:bookmarkStart w:id="5" w:name="_Toc152988863"/>
      <w:r w:rsidRPr="00D57EDE">
        <w:rPr>
          <w:rFonts w:ascii="Arial" w:hAnsi="Arial"/>
          <w:u w:val="single"/>
        </w:rPr>
        <w:t>Duševní vlastnictví</w:t>
      </w:r>
      <w:bookmarkEnd w:id="5"/>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při zhotovování stavby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A66AF3" w:rsidRPr="00D57EDE" w:rsidRDefault="00A66AF3" w:rsidP="00A66AF3">
      <w:pPr>
        <w:ind w:left="540"/>
        <w:jc w:val="both"/>
        <w:rPr>
          <w:rFonts w:ascii="Arial" w:hAnsi="Arial"/>
          <w:snapToGrid w:val="0"/>
        </w:rPr>
      </w:pP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Default="00A66AF3" w:rsidP="00A66AF3"/>
    <w:p w:rsidR="00515F5F" w:rsidRDefault="00515F5F"/>
    <w:sectPr w:rsidR="00515F5F" w:rsidSect="00515F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960" w:rsidRDefault="00E81960">
      <w:r>
        <w:separator/>
      </w:r>
    </w:p>
  </w:endnote>
  <w:endnote w:type="continuationSeparator" w:id="0">
    <w:p w:rsidR="00E81960" w:rsidRDefault="00E8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EB" w:rsidRDefault="00740F2A">
    <w:pPr>
      <w:pStyle w:val="Zpat"/>
      <w:jc w:val="right"/>
    </w:pPr>
  </w:p>
  <w:p w:rsidR="004653EB" w:rsidRDefault="00A66AF3">
    <w:pPr>
      <w:pStyle w:val="Zpat"/>
      <w:jc w:val="right"/>
      <w:rPr>
        <w:b/>
        <w:sz w:val="24"/>
        <w:szCs w:val="24"/>
      </w:rPr>
    </w:pPr>
    <w:r>
      <w:t xml:space="preserve">Stránka </w:t>
    </w:r>
    <w:r>
      <w:rPr>
        <w:b/>
        <w:sz w:val="24"/>
        <w:szCs w:val="24"/>
      </w:rPr>
      <w:fldChar w:fldCharType="begin"/>
    </w:r>
    <w:r>
      <w:rPr>
        <w:b/>
      </w:rPr>
      <w:instrText>PAGE</w:instrText>
    </w:r>
    <w:r>
      <w:rPr>
        <w:b/>
        <w:sz w:val="24"/>
        <w:szCs w:val="24"/>
      </w:rPr>
      <w:fldChar w:fldCharType="separate"/>
    </w:r>
    <w:r w:rsidR="00740F2A">
      <w:rPr>
        <w:b/>
        <w:noProof/>
      </w:rPr>
      <w:t>22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740F2A">
      <w:rPr>
        <w:b/>
        <w:noProof/>
      </w:rPr>
      <w:t>27</w:t>
    </w:r>
    <w:r>
      <w:rPr>
        <w:b/>
        <w:sz w:val="24"/>
        <w:szCs w:val="24"/>
      </w:rPr>
      <w:fldChar w:fldCharType="end"/>
    </w:r>
  </w:p>
  <w:p w:rsidR="004653EB" w:rsidRPr="00A83E17" w:rsidRDefault="00A66AF3">
    <w:pPr>
      <w:pStyle w:val="Zpat"/>
      <w:rPr>
        <w:i/>
      </w:rPr>
    </w:pPr>
    <w:r w:rsidRPr="002D3F50">
      <w:rPr>
        <w:i/>
      </w:rPr>
      <w:t>Obchodní podmínky:</w:t>
    </w:r>
    <w:r w:rsidR="003A1E2E">
      <w:rPr>
        <w:i/>
      </w:rPr>
      <w:t xml:space="preserve"> „</w:t>
    </w:r>
    <w:r w:rsidR="003A1E2E" w:rsidRPr="003A1E2E">
      <w:rPr>
        <w:i/>
      </w:rPr>
      <w:t>Město Šternberk - stavební úpravy chodníků sídliště ulice Uničovská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960" w:rsidRDefault="00E81960">
      <w:r>
        <w:separator/>
      </w:r>
    </w:p>
  </w:footnote>
  <w:footnote w:type="continuationSeparator" w:id="0">
    <w:p w:rsidR="00E81960" w:rsidRDefault="00E8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6AF3"/>
    <w:rsid w:val="000909E3"/>
    <w:rsid w:val="00310E72"/>
    <w:rsid w:val="003A1E2E"/>
    <w:rsid w:val="00515F5F"/>
    <w:rsid w:val="00740F2A"/>
    <w:rsid w:val="00A66AF3"/>
    <w:rsid w:val="00A83E17"/>
    <w:rsid w:val="00C9030D"/>
    <w:rsid w:val="00E81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D4D0"/>
  <w15:docId w15:val="{D7EA58BA-3173-431B-9B34-0E86331B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ind w:left="539" w:right="-289" w:hanging="72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A66AF3"/>
    <w:pPr>
      <w:suppressAutoHyphens/>
      <w:ind w:left="0" w:right="0" w:firstLine="0"/>
      <w:jc w:val="left"/>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66AF3"/>
    <w:rPr>
      <w:sz w:val="16"/>
    </w:rPr>
  </w:style>
  <w:style w:type="character" w:customStyle="1" w:styleId="ZkladntextChar">
    <w:name w:val="Základní text Char"/>
    <w:basedOn w:val="Standardnpsmoodstavce"/>
    <w:link w:val="Zkladntext"/>
    <w:rsid w:val="00A66AF3"/>
    <w:rPr>
      <w:rFonts w:ascii="Times New Roman" w:eastAsia="Times New Roman" w:hAnsi="Times New Roman" w:cs="Times New Roman"/>
      <w:sz w:val="16"/>
      <w:szCs w:val="20"/>
      <w:lang w:eastAsia="ar-SA"/>
    </w:rPr>
  </w:style>
  <w:style w:type="paragraph" w:styleId="Zkladntextodsazen2">
    <w:name w:val="Body Text Indent 2"/>
    <w:basedOn w:val="Normln"/>
    <w:link w:val="Zkladntextodsazen2Char1"/>
    <w:rsid w:val="00A66AF3"/>
    <w:pPr>
      <w:suppressAutoHyphens w:val="0"/>
      <w:ind w:left="708"/>
    </w:pPr>
    <w:rPr>
      <w:rFonts w:ascii="Arial" w:hAnsi="Arial"/>
      <w:sz w:val="24"/>
      <w:szCs w:val="24"/>
    </w:rPr>
  </w:style>
  <w:style w:type="character" w:customStyle="1" w:styleId="Zkladntextodsazen2Char">
    <w:name w:val="Základní text odsazený 2 Char"/>
    <w:basedOn w:val="Standardnpsmoodstavce"/>
    <w:uiPriority w:val="99"/>
    <w:semiHidden/>
    <w:rsid w:val="00A66AF3"/>
    <w:rPr>
      <w:rFonts w:ascii="Times New Roman" w:eastAsia="Times New Roman" w:hAnsi="Times New Roman" w:cs="Times New Roman"/>
      <w:sz w:val="20"/>
      <w:szCs w:val="20"/>
      <w:lang w:eastAsia="ar-SA"/>
    </w:rPr>
  </w:style>
  <w:style w:type="character" w:customStyle="1" w:styleId="Zkladntextodsazen2Char1">
    <w:name w:val="Základní text odsazený 2 Char1"/>
    <w:link w:val="Zkladntextodsazen2"/>
    <w:rsid w:val="00A66AF3"/>
    <w:rPr>
      <w:rFonts w:ascii="Arial" w:eastAsia="Times New Roman" w:hAnsi="Arial" w:cs="Times New Roman"/>
      <w:sz w:val="24"/>
      <w:szCs w:val="24"/>
    </w:rPr>
  </w:style>
  <w:style w:type="paragraph" w:customStyle="1" w:styleId="Smlouva">
    <w:name w:val="Smlouva"/>
    <w:rsid w:val="00A66AF3"/>
    <w:pPr>
      <w:widowControl w:val="0"/>
      <w:spacing w:after="120"/>
      <w:ind w:left="0" w:right="0" w:firstLine="0"/>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A66AF3"/>
    <w:pPr>
      <w:numPr>
        <w:ilvl w:val="1"/>
        <w:numId w:val="2"/>
      </w:numPr>
      <w:ind w:right="0"/>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A66AF3"/>
    <w:pPr>
      <w:numPr>
        <w:numId w:val="2"/>
      </w:numPr>
      <w:suppressAutoHyphens w:val="0"/>
      <w:spacing w:before="360" w:after="360"/>
      <w:jc w:val="center"/>
    </w:pPr>
    <w:rPr>
      <w:b/>
      <w:snapToGrid w:val="0"/>
      <w:color w:val="0000FF"/>
      <w:sz w:val="28"/>
      <w:lang w:eastAsia="cs-CZ"/>
    </w:rPr>
  </w:style>
  <w:style w:type="paragraph" w:customStyle="1" w:styleId="Bodsmlouvy-211">
    <w:name w:val="Bod smlouvy - 2.1.1"/>
    <w:basedOn w:val="Bodsmlouvy-21"/>
    <w:rsid w:val="00A66AF3"/>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A66AF3"/>
    <w:pPr>
      <w:spacing w:before="600"/>
    </w:pPr>
    <w:rPr>
      <w:bCs/>
    </w:rPr>
  </w:style>
  <w:style w:type="paragraph" w:styleId="Zpat">
    <w:name w:val="footer"/>
    <w:basedOn w:val="Normln"/>
    <w:link w:val="ZpatChar"/>
    <w:uiPriority w:val="99"/>
    <w:unhideWhenUsed/>
    <w:rsid w:val="00A66AF3"/>
    <w:pPr>
      <w:tabs>
        <w:tab w:val="center" w:pos="4536"/>
        <w:tab w:val="right" w:pos="9072"/>
      </w:tabs>
    </w:pPr>
  </w:style>
  <w:style w:type="character" w:customStyle="1" w:styleId="ZpatChar">
    <w:name w:val="Zápatí Char"/>
    <w:basedOn w:val="Standardnpsmoodstavce"/>
    <w:link w:val="Zpat"/>
    <w:uiPriority w:val="99"/>
    <w:rsid w:val="00A66AF3"/>
    <w:rPr>
      <w:rFonts w:ascii="Times New Roman" w:eastAsia="Times New Roman" w:hAnsi="Times New Roman" w:cs="Times New Roman"/>
      <w:sz w:val="20"/>
      <w:szCs w:val="20"/>
      <w:lang w:eastAsia="ar-SA"/>
    </w:rPr>
  </w:style>
  <w:style w:type="character" w:customStyle="1" w:styleId="nowrap">
    <w:name w:val="nowrap"/>
    <w:basedOn w:val="Standardnpsmoodstavce"/>
    <w:rsid w:val="00A66AF3"/>
  </w:style>
  <w:style w:type="paragraph" w:styleId="Zhlav">
    <w:name w:val="header"/>
    <w:basedOn w:val="Normln"/>
    <w:link w:val="ZhlavChar"/>
    <w:uiPriority w:val="99"/>
    <w:unhideWhenUsed/>
    <w:rsid w:val="00C9030D"/>
    <w:pPr>
      <w:tabs>
        <w:tab w:val="center" w:pos="4536"/>
        <w:tab w:val="right" w:pos="9072"/>
      </w:tabs>
    </w:pPr>
  </w:style>
  <w:style w:type="character" w:customStyle="1" w:styleId="ZhlavChar">
    <w:name w:val="Záhlaví Char"/>
    <w:basedOn w:val="Standardnpsmoodstavce"/>
    <w:link w:val="Zhlav"/>
    <w:uiPriority w:val="99"/>
    <w:rsid w:val="00C9030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13160</Words>
  <Characters>77648</Characters>
  <Application>Microsoft Office Word</Application>
  <DocSecurity>0</DocSecurity>
  <Lines>647</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sehnal</dc:creator>
  <cp:lastModifiedBy>Širgelová Hana</cp:lastModifiedBy>
  <cp:revision>5</cp:revision>
  <dcterms:created xsi:type="dcterms:W3CDTF">2014-10-08T06:42:00Z</dcterms:created>
  <dcterms:modified xsi:type="dcterms:W3CDTF">2016-10-14T09:59:00Z</dcterms:modified>
</cp:coreProperties>
</file>