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bookmarkStart w:id="0" w:name="_GoBack"/>
      <w:bookmarkEnd w:id="0"/>
      <w:r>
        <w:t xml:space="preserve">D O D A T E K </w:t>
      </w:r>
      <w:r w:rsidR="00374B49">
        <w:t xml:space="preserve">č. </w:t>
      </w:r>
      <w:r w:rsidR="0019755A">
        <w:t>1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9755A">
        <w:t>OLA-JZ-214/2017</w:t>
      </w:r>
      <w:r w:rsidR="00374B49">
        <w:t xml:space="preserve"> ze dne </w:t>
      </w:r>
      <w:r w:rsidR="0019755A">
        <w:t>17.5.2017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9755A" w:rsidRPr="0019755A">
        <w:rPr>
          <w:rFonts w:cs="Arial"/>
          <w:szCs w:val="20"/>
        </w:rPr>
        <w:t xml:space="preserve">Ing. </w:t>
      </w:r>
      <w:r w:rsidR="0019755A">
        <w:t>Bořivoj Novotný</w:t>
      </w:r>
      <w:r w:rsidRPr="00A3020E">
        <w:rPr>
          <w:rFonts w:cs="Arial"/>
          <w:szCs w:val="20"/>
        </w:rPr>
        <w:t xml:space="preserve">, </w:t>
      </w:r>
      <w:r w:rsidR="0019755A" w:rsidRPr="0019755A">
        <w:rPr>
          <w:rFonts w:cs="Arial"/>
          <w:szCs w:val="20"/>
        </w:rPr>
        <w:t>ředitel Odboru</w:t>
      </w:r>
      <w:r w:rsidR="0019755A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9755A" w:rsidRPr="0019755A">
        <w:rPr>
          <w:rFonts w:cs="Arial"/>
          <w:szCs w:val="20"/>
        </w:rPr>
        <w:t>Dobrovského 1278</w:t>
      </w:r>
      <w:r w:rsidR="0019755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9755A" w:rsidRPr="0019755A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9755A" w:rsidRPr="0019755A">
        <w:rPr>
          <w:rFonts w:cs="Arial"/>
          <w:szCs w:val="20"/>
        </w:rPr>
        <w:t>Úřad práce</w:t>
      </w:r>
      <w:r w:rsidR="0019755A">
        <w:t xml:space="preserve"> ČR – Krajská pobočka v  Olomouci, Vejdovského č.p.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19755A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19755A" w:rsidRPr="0019755A">
        <w:rPr>
          <w:rFonts w:cs="Arial"/>
          <w:szCs w:val="20"/>
        </w:rPr>
        <w:t>HOTEL U</w:t>
      </w:r>
      <w:r w:rsidR="0019755A">
        <w:t xml:space="preserve"> PARKU, s.r.o.</w:t>
      </w:r>
      <w:r w:rsidR="0019755A" w:rsidRPr="0019755A">
        <w:rPr>
          <w:rFonts w:cs="Arial"/>
          <w:vanish/>
          <w:szCs w:val="20"/>
        </w:rPr>
        <w:t>0</w:t>
      </w:r>
    </w:p>
    <w:p w:rsidR="00336059" w:rsidRPr="00A3020E" w:rsidRDefault="0019755A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19755A">
        <w:rPr>
          <w:rFonts w:cs="Arial"/>
          <w:noProof/>
          <w:szCs w:val="20"/>
        </w:rPr>
        <w:t xml:space="preserve">Ing. </w:t>
      </w:r>
      <w:r>
        <w:rPr>
          <w:noProof/>
        </w:rPr>
        <w:t>Ivana Bokůvková, zmocněnec</w:t>
      </w:r>
      <w:r>
        <w:rPr>
          <w:noProof/>
        </w:rPr>
        <w:tab/>
      </w:r>
      <w:r>
        <w:rPr>
          <w:noProof/>
        </w:rPr>
        <w:br/>
        <w:t>Jan Kratina, jednatel</w:t>
      </w:r>
    </w:p>
    <w:p w:rsidR="00336059" w:rsidRPr="00A3020E" w:rsidRDefault="0019755A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19755A">
        <w:rPr>
          <w:rFonts w:cs="Arial"/>
          <w:szCs w:val="20"/>
        </w:rPr>
        <w:t>Vladislavova č</w:t>
      </w:r>
      <w:r>
        <w:t>.p. 1390/17, Nové Město, 110 00 Praha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9755A" w:rsidRPr="0019755A">
        <w:rPr>
          <w:rFonts w:cs="Arial"/>
          <w:szCs w:val="20"/>
        </w:rPr>
        <w:t>27808084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6D3C6A" w:rsidRDefault="006D3C6A" w:rsidP="006D3C6A">
      <w:pPr>
        <w:pStyle w:val="Bezmezer"/>
        <w:spacing w:after="120"/>
      </w:pPr>
    </w:p>
    <w:p w:rsidR="0019755A" w:rsidRDefault="0019755A" w:rsidP="0019755A">
      <w:pPr>
        <w:pStyle w:val="BoddohodyII"/>
        <w:numPr>
          <w:ilvl w:val="0"/>
          <w:numId w:val="0"/>
        </w:numPr>
        <w:tabs>
          <w:tab w:val="left" w:pos="708"/>
        </w:tabs>
        <w:ind w:left="426" w:hanging="426"/>
      </w:pPr>
      <w:r>
        <w:t xml:space="preserve">Změna sídla firmy HOTEL U PARKU, s.r.o. </w:t>
      </w:r>
    </w:p>
    <w:p w:rsidR="0019755A" w:rsidRDefault="0019755A" w:rsidP="0019755A">
      <w:pPr>
        <w:pStyle w:val="BoddohodyII"/>
        <w:numPr>
          <w:ilvl w:val="0"/>
          <w:numId w:val="0"/>
        </w:numPr>
        <w:tabs>
          <w:tab w:val="left" w:pos="708"/>
        </w:tabs>
        <w:ind w:left="426" w:hanging="426"/>
      </w:pPr>
      <w:r>
        <w:t xml:space="preserve">Nová adresa sídla: </w:t>
      </w:r>
      <w:r>
        <w:rPr>
          <w:szCs w:val="20"/>
        </w:rPr>
        <w:t>Vladislavova č</w:t>
      </w:r>
      <w:r>
        <w:t>.p. 1390/17, Nové Město, 110 00 Praha 1</w:t>
      </w:r>
    </w:p>
    <w:p w:rsidR="0019755A" w:rsidRDefault="0019755A" w:rsidP="0019755A">
      <w:pPr>
        <w:pStyle w:val="BoddohodyII"/>
        <w:numPr>
          <w:ilvl w:val="0"/>
          <w:numId w:val="0"/>
        </w:numPr>
        <w:tabs>
          <w:tab w:val="left" w:pos="708"/>
        </w:tabs>
        <w:ind w:left="426" w:hanging="426"/>
      </w:pPr>
      <w:r>
        <w:t>Původní adresa sídla: Wolkerova č.p. 1197/29, 779 00 Olomouc</w:t>
      </w:r>
    </w:p>
    <w:p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9755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975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19755A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19755A" w:rsidRDefault="0019755A" w:rsidP="003A2F33">
      <w:pPr>
        <w:keepNext/>
        <w:keepLines/>
        <w:jc w:val="center"/>
      </w:pPr>
      <w:r w:rsidRPr="0019755A">
        <w:rPr>
          <w:rFonts w:cs="Arial"/>
          <w:szCs w:val="20"/>
        </w:rPr>
        <w:t xml:space="preserve">Ing. </w:t>
      </w:r>
      <w:r>
        <w:t xml:space="preserve">Ivana Bokůvková </w:t>
      </w:r>
    </w:p>
    <w:p w:rsidR="003A2F33" w:rsidRPr="003F2F6D" w:rsidRDefault="0019755A" w:rsidP="003A2F33">
      <w:pPr>
        <w:keepNext/>
        <w:keepLines/>
        <w:jc w:val="center"/>
        <w:rPr>
          <w:rFonts w:cs="Arial"/>
          <w:szCs w:val="20"/>
        </w:rPr>
      </w:pPr>
      <w:r>
        <w:t>zmocněnec</w:t>
      </w:r>
      <w:r>
        <w:tab/>
      </w:r>
      <w:r>
        <w:br/>
      </w:r>
      <w:r>
        <w:tab/>
      </w:r>
      <w:r>
        <w:br/>
      </w:r>
    </w:p>
    <w:p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A2F33" w:rsidRPr="003F2F6D" w:rsidRDefault="0019755A" w:rsidP="003A2F33">
      <w:pPr>
        <w:keepNext/>
        <w:keepLines/>
        <w:jc w:val="center"/>
        <w:rPr>
          <w:rFonts w:cs="Arial"/>
          <w:szCs w:val="20"/>
        </w:rPr>
      </w:pPr>
      <w:r w:rsidRPr="0019755A">
        <w:rPr>
          <w:rFonts w:cs="Arial"/>
          <w:szCs w:val="20"/>
        </w:rPr>
        <w:t xml:space="preserve">Ing. </w:t>
      </w:r>
      <w:r>
        <w:t>Bořivoj Novotný</w:t>
      </w:r>
    </w:p>
    <w:p w:rsidR="003A2F33" w:rsidRPr="003F2F6D" w:rsidRDefault="0019755A" w:rsidP="003A2F33">
      <w:pPr>
        <w:keepNext/>
        <w:keepLines/>
        <w:jc w:val="center"/>
        <w:rPr>
          <w:rFonts w:cs="Arial"/>
          <w:szCs w:val="20"/>
        </w:rPr>
      </w:pPr>
      <w:r w:rsidRPr="0019755A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19755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19755A" w:rsidRPr="0019755A">
        <w:rPr>
          <w:rFonts w:cs="Arial"/>
          <w:szCs w:val="20"/>
        </w:rPr>
        <w:t xml:space="preserve">Ing. </w:t>
      </w:r>
      <w:r w:rsidR="0019755A">
        <w:t>Nikola Minarčíková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9755A" w:rsidRPr="0019755A">
        <w:rPr>
          <w:rFonts w:cs="Arial"/>
          <w:szCs w:val="20"/>
        </w:rPr>
        <w:t>950 141</w:t>
      </w:r>
      <w:r w:rsidR="0019755A">
        <w:t xml:space="preserve"> 485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19755A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2C" w:rsidRDefault="004A192C">
      <w:r>
        <w:separator/>
      </w:r>
    </w:p>
  </w:endnote>
  <w:endnote w:type="continuationSeparator" w:id="0">
    <w:p w:rsidR="004A192C" w:rsidRDefault="004A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5A" w:rsidRDefault="001975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A192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A192C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9755A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9755A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9755A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9755A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2C" w:rsidRDefault="004A192C">
      <w:r>
        <w:separator/>
      </w:r>
    </w:p>
  </w:footnote>
  <w:footnote w:type="continuationSeparator" w:id="0">
    <w:p w:rsidR="004A192C" w:rsidRDefault="004A1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5A" w:rsidRDefault="001975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5A" w:rsidRDefault="0019755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4A192C" w:rsidP="000F1F30">
    <w:pPr>
      <w:pStyle w:val="Zhlav"/>
      <w:jc w:val="left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4A192C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4A192C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2C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9755A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47C97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939BD"/>
    <w:rsid w:val="004A1179"/>
    <w:rsid w:val="004A153F"/>
    <w:rsid w:val="004A192C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D5ED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6091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kty%20EU\OP%20Z\RIP\M&#225;mo,%20t&#225;to%20nese&#271;te%20doma\S&#218;PM\S&#218;PM%20&#381;adatel&#233;%20v&#353;echny%20KoPy\OL_a%20Litovel_S&#218;PM\OL_214_2017_Hotel%20u%20praku_&#268;e&#353;kov&#225;\dodatek%20&#269;_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č_1.dot</Template>
  <TotalTime>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Minarčíková Nikola Ing. (UPM-OLA)</dc:creator>
  <dc:description>Předloha byla vytvořena v informačním systému OKpráce.</dc:description>
  <cp:lastModifiedBy>Minarčíková Nikola Ing. (UPM-OLA)</cp:lastModifiedBy>
  <cp:revision>1</cp:revision>
  <cp:lastPrinted>1601-01-01T00:00:00Z</cp:lastPrinted>
  <dcterms:created xsi:type="dcterms:W3CDTF">2018-02-20T06:47:00Z</dcterms:created>
  <dcterms:modified xsi:type="dcterms:W3CDTF">2018-02-20T06:47:00Z</dcterms:modified>
</cp:coreProperties>
</file>