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customXml/itemProps1.xml" ContentType="application/vnd.openxmlformats-officedocument.customXmlProperties+xml"/>
  <Default Extension="wmf" ContentType="image/x-wmf"/>
  <Override PartName="/word/activeX/activeX3.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14" w:rsidRPr="00EE23FC" w:rsidRDefault="00ED5A14">
      <w:pPr>
        <w:rPr>
          <w:rFonts w:cs="Arial"/>
          <w:b/>
        </w:rPr>
      </w:pPr>
    </w:p>
    <w:p w:rsidR="00ED5A14" w:rsidRPr="00EE23FC" w:rsidRDefault="00E67462">
      <w:pPr>
        <w:rPr>
          <w:rFonts w:cs="Arial"/>
          <w:b/>
          <w:caps/>
          <w:sz w:val="32"/>
          <w:szCs w:val="32"/>
        </w:rPr>
      </w:pPr>
      <w:r w:rsidRPr="00EE23FC">
        <w:rPr>
          <w:rFonts w:cs="Arial"/>
          <w:b/>
          <w:sz w:val="32"/>
          <w:szCs w:val="32"/>
        </w:rPr>
        <w:t>S</w:t>
      </w:r>
      <w:r w:rsidR="00702821" w:rsidRPr="00EE23FC">
        <w:rPr>
          <w:rFonts w:cs="Arial"/>
          <w:b/>
          <w:sz w:val="32"/>
          <w:szCs w:val="32"/>
        </w:rPr>
        <w:t xml:space="preserve">mlouva o </w:t>
      </w:r>
      <w:r w:rsidR="00ED5A14" w:rsidRPr="00EE23FC">
        <w:rPr>
          <w:rFonts w:cs="Arial"/>
          <w:b/>
          <w:sz w:val="32"/>
          <w:szCs w:val="32"/>
        </w:rPr>
        <w:t xml:space="preserve">úschově a správě </w:t>
      </w:r>
      <w:r w:rsidR="00702821" w:rsidRPr="00EE23FC">
        <w:rPr>
          <w:rFonts w:cs="Arial"/>
          <w:b/>
          <w:sz w:val="32"/>
          <w:szCs w:val="32"/>
        </w:rPr>
        <w:t xml:space="preserve">investičních nástrojů </w:t>
      </w:r>
    </w:p>
    <w:p w:rsidR="00ED5A14" w:rsidRPr="00EE23FC" w:rsidRDefault="00ED5A14">
      <w:pPr>
        <w:jc w:val="center"/>
        <w:rPr>
          <w:rFonts w:cs="Arial"/>
          <w:b/>
        </w:rPr>
      </w:pPr>
    </w:p>
    <w:p w:rsidR="00702821" w:rsidRPr="00EE23FC" w:rsidRDefault="00702821" w:rsidP="00401E04">
      <w:pPr>
        <w:rPr>
          <w:rFonts w:cs="Arial"/>
          <w:b/>
        </w:rPr>
      </w:pPr>
    </w:p>
    <w:p w:rsidR="00702821" w:rsidRPr="00EE23FC" w:rsidRDefault="00702821" w:rsidP="00C1070F">
      <w:pPr>
        <w:rPr>
          <w:rFonts w:cs="Arial"/>
          <w:b/>
          <w:bCs/>
        </w:rPr>
      </w:pPr>
      <w:r w:rsidRPr="00EE23FC">
        <w:rPr>
          <w:rFonts w:cs="Arial"/>
          <w:b/>
          <w:bCs/>
        </w:rPr>
        <w:t>Česká spořitelna, a.s., Praha 4, Olbrachtova 1929/62, PSČ 140 00, IČ: 45 24 47 82</w:t>
      </w:r>
    </w:p>
    <w:p w:rsidR="00702821" w:rsidRPr="00EE23FC" w:rsidRDefault="00702821">
      <w:pPr>
        <w:rPr>
          <w:rFonts w:cs="Arial"/>
        </w:rPr>
      </w:pPr>
      <w:r w:rsidRPr="00EE23FC">
        <w:rPr>
          <w:rFonts w:cs="Arial"/>
        </w:rPr>
        <w:t>zapsaná v obchodním rejstříku vedeném Městským soudem v Praze, oddíl B, vložka 1171</w:t>
      </w:r>
    </w:p>
    <w:tbl>
      <w:tblPr>
        <w:tblW w:w="10418" w:type="dxa"/>
        <w:tblLayout w:type="fixed"/>
        <w:tblCellMar>
          <w:left w:w="70" w:type="dxa"/>
          <w:right w:w="70" w:type="dxa"/>
        </w:tblCellMar>
        <w:tblLook w:val="0000"/>
      </w:tblPr>
      <w:tblGrid>
        <w:gridCol w:w="10418"/>
      </w:tblGrid>
      <w:tr w:rsidR="00702821" w:rsidRPr="00EE23FC" w:rsidTr="00401E04">
        <w:tc>
          <w:tcPr>
            <w:tcW w:w="10418" w:type="dxa"/>
            <w:tcBorders>
              <w:top w:val="nil"/>
              <w:left w:val="nil"/>
              <w:bottom w:val="nil"/>
              <w:right w:val="nil"/>
            </w:tcBorders>
          </w:tcPr>
          <w:p w:rsidR="00702821" w:rsidRPr="00EE23FC" w:rsidRDefault="00702821" w:rsidP="00287E27">
            <w:pPr>
              <w:rPr>
                <w:rFonts w:cs="Arial"/>
              </w:rPr>
            </w:pPr>
            <w:r w:rsidRPr="00EE23FC">
              <w:rPr>
                <w:rFonts w:cs="Arial"/>
              </w:rPr>
              <w:t>Název a a</w:t>
            </w:r>
            <w:r w:rsidR="004A660B">
              <w:rPr>
                <w:rFonts w:cs="Arial"/>
              </w:rPr>
              <w:t xml:space="preserve">dresa organizační složky: </w:t>
            </w:r>
            <w:r w:rsidR="00F07CDF">
              <w:rPr>
                <w:rFonts w:cs="Arial"/>
                <w:szCs w:val="18"/>
              </w:rPr>
              <w:t>3760</w:t>
            </w:r>
            <w:r w:rsidR="004A660B">
              <w:rPr>
                <w:rFonts w:cs="Arial"/>
                <w:szCs w:val="18"/>
              </w:rPr>
              <w:t xml:space="preserve"> - </w:t>
            </w:r>
            <w:r w:rsidR="00F07CDF" w:rsidRPr="00F07CDF">
              <w:rPr>
                <w:rFonts w:cs="Arial"/>
                <w:szCs w:val="18"/>
              </w:rPr>
              <w:t xml:space="preserve">Finanční instituce a </w:t>
            </w:r>
            <w:proofErr w:type="spellStart"/>
            <w:r w:rsidR="00F07CDF" w:rsidRPr="00F07CDF">
              <w:rPr>
                <w:rFonts w:cs="Arial"/>
                <w:szCs w:val="18"/>
              </w:rPr>
              <w:t>koresp</w:t>
            </w:r>
            <w:proofErr w:type="spellEnd"/>
            <w:r w:rsidR="00F07CDF" w:rsidRPr="00F07CDF">
              <w:rPr>
                <w:rFonts w:cs="Arial"/>
                <w:szCs w:val="18"/>
              </w:rPr>
              <w:t>.</w:t>
            </w:r>
            <w:r w:rsidR="00287E27">
              <w:rPr>
                <w:rFonts w:cs="Arial"/>
                <w:szCs w:val="18"/>
              </w:rPr>
              <w:t xml:space="preserve"> </w:t>
            </w:r>
            <w:r w:rsidR="00F07CDF" w:rsidRPr="00F07CDF">
              <w:rPr>
                <w:rFonts w:cs="Arial"/>
                <w:szCs w:val="18"/>
              </w:rPr>
              <w:t>bankovnictví</w:t>
            </w:r>
            <w:r w:rsidRPr="00EE23FC">
              <w:rPr>
                <w:rFonts w:cs="Arial"/>
                <w:szCs w:val="18"/>
              </w:rPr>
              <w:t xml:space="preserve">, </w:t>
            </w:r>
            <w:r w:rsidR="006B00F1" w:rsidRPr="006B00F1">
              <w:rPr>
                <w:rFonts w:cs="Arial"/>
                <w:szCs w:val="18"/>
              </w:rPr>
              <w:t>Budějovická 1518/13a,b</w:t>
            </w:r>
            <w:r w:rsidRPr="00EE23FC">
              <w:rPr>
                <w:rFonts w:cs="Arial"/>
                <w:szCs w:val="18"/>
              </w:rPr>
              <w:t>, Praha</w:t>
            </w:r>
            <w:r w:rsidR="00361E15">
              <w:rPr>
                <w:rFonts w:cs="Arial"/>
                <w:szCs w:val="18"/>
              </w:rPr>
              <w:t xml:space="preserve"> </w:t>
            </w:r>
            <w:r w:rsidR="006B00F1">
              <w:rPr>
                <w:rFonts w:cs="Arial"/>
                <w:szCs w:val="18"/>
              </w:rPr>
              <w:t>4</w:t>
            </w:r>
          </w:p>
        </w:tc>
      </w:tr>
    </w:tbl>
    <w:p w:rsidR="00702821" w:rsidRPr="00EE23FC" w:rsidRDefault="00702821" w:rsidP="00C1070F">
      <w:pPr>
        <w:rPr>
          <w:rFonts w:cs="Arial"/>
        </w:rPr>
      </w:pPr>
      <w:r w:rsidRPr="00EE23FC">
        <w:rPr>
          <w:rFonts w:cs="Arial"/>
        </w:rPr>
        <w:t>(dále jen „</w:t>
      </w:r>
      <w:r w:rsidR="00ED5A14" w:rsidRPr="00EE23FC">
        <w:rPr>
          <w:rFonts w:cs="Arial"/>
        </w:rPr>
        <w:t>B</w:t>
      </w:r>
      <w:r w:rsidRPr="00EE23FC">
        <w:rPr>
          <w:rFonts w:cs="Arial"/>
        </w:rPr>
        <w:t>anka”)</w:t>
      </w:r>
    </w:p>
    <w:p w:rsidR="00702821" w:rsidRPr="00EE23FC" w:rsidRDefault="00702821">
      <w:pPr>
        <w:rPr>
          <w:rFonts w:cs="Arial"/>
        </w:rPr>
      </w:pPr>
    </w:p>
    <w:p w:rsidR="00702821" w:rsidRPr="00EE23FC" w:rsidRDefault="00702821">
      <w:pPr>
        <w:rPr>
          <w:rFonts w:cs="Arial"/>
        </w:rPr>
      </w:pPr>
      <w:r w:rsidRPr="00EE23FC">
        <w:rPr>
          <w:rFonts w:cs="Arial"/>
        </w:rPr>
        <w:t>a</w:t>
      </w:r>
    </w:p>
    <w:p w:rsidR="00702821" w:rsidRPr="00EE23FC" w:rsidRDefault="00702821">
      <w:pPr>
        <w:rPr>
          <w:rFonts w:cs="Arial"/>
        </w:rPr>
      </w:pPr>
    </w:p>
    <w:tbl>
      <w:tblPr>
        <w:tblW w:w="10632" w:type="dxa"/>
        <w:tblInd w:w="-72" w:type="dxa"/>
        <w:tblLayout w:type="fixed"/>
        <w:tblCellMar>
          <w:left w:w="70" w:type="dxa"/>
          <w:right w:w="70" w:type="dxa"/>
        </w:tblCellMar>
        <w:tblLook w:val="0000"/>
      </w:tblPr>
      <w:tblGrid>
        <w:gridCol w:w="10632"/>
      </w:tblGrid>
      <w:tr w:rsidR="00702821" w:rsidRPr="00EE23FC" w:rsidTr="002E53AB">
        <w:tc>
          <w:tcPr>
            <w:tcW w:w="10632" w:type="dxa"/>
            <w:tcBorders>
              <w:top w:val="nil"/>
              <w:left w:val="nil"/>
              <w:bottom w:val="nil"/>
              <w:right w:val="nil"/>
            </w:tcBorders>
          </w:tcPr>
          <w:tbl>
            <w:tblPr>
              <w:tblW w:w="0" w:type="auto"/>
              <w:tblLayout w:type="fixed"/>
              <w:tblCellMar>
                <w:left w:w="70" w:type="dxa"/>
                <w:right w:w="70" w:type="dxa"/>
              </w:tblCellMar>
              <w:tblLook w:val="0000"/>
            </w:tblPr>
            <w:tblGrid>
              <w:gridCol w:w="2622"/>
              <w:gridCol w:w="3615"/>
              <w:gridCol w:w="4041"/>
            </w:tblGrid>
            <w:tr w:rsidR="00702821" w:rsidRPr="00EE23FC" w:rsidTr="00385F95">
              <w:trPr>
                <w:trHeight w:val="284"/>
              </w:trPr>
              <w:tc>
                <w:tcPr>
                  <w:tcW w:w="2622" w:type="dxa"/>
                  <w:tcBorders>
                    <w:top w:val="nil"/>
                    <w:left w:val="nil"/>
                    <w:bottom w:val="nil"/>
                    <w:right w:val="nil"/>
                  </w:tcBorders>
                  <w:vAlign w:val="center"/>
                </w:tcPr>
                <w:p w:rsidR="00702821" w:rsidRPr="00EE23FC" w:rsidRDefault="00702821" w:rsidP="00631757">
                  <w:pPr>
                    <w:rPr>
                      <w:rFonts w:cs="Arial"/>
                      <w:szCs w:val="18"/>
                      <w:lang w:eastAsia="en-US"/>
                    </w:rPr>
                  </w:pPr>
                  <w:r w:rsidRPr="00EE23FC">
                    <w:rPr>
                      <w:rFonts w:cs="Arial"/>
                      <w:szCs w:val="18"/>
                      <w:lang w:eastAsia="en-US"/>
                    </w:rPr>
                    <w:t>Obchodní firma (název):</w:t>
                  </w:r>
                </w:p>
              </w:tc>
              <w:tc>
                <w:tcPr>
                  <w:tcW w:w="7656" w:type="dxa"/>
                  <w:gridSpan w:val="2"/>
                  <w:tcBorders>
                    <w:top w:val="nil"/>
                    <w:left w:val="nil"/>
                    <w:bottom w:val="dotted" w:sz="4" w:space="0" w:color="auto"/>
                    <w:right w:val="nil"/>
                  </w:tcBorders>
                  <w:vAlign w:val="center"/>
                </w:tcPr>
                <w:p w:rsidR="00702821" w:rsidRPr="00EE23FC" w:rsidRDefault="001960E8" w:rsidP="00631757">
                  <w:pPr>
                    <w:rPr>
                      <w:rFonts w:cs="Arial"/>
                      <w:b/>
                      <w:bCs/>
                      <w:szCs w:val="18"/>
                      <w:lang w:eastAsia="en-US"/>
                    </w:rPr>
                  </w:pPr>
                  <w:r w:rsidRPr="00B0040D">
                    <w:rPr>
                      <w:rFonts w:cs="Arial"/>
                      <w:b/>
                      <w:szCs w:val="18"/>
                      <w:lang w:eastAsia="en-US"/>
                    </w:rPr>
                    <w:t>Statutární město Havířov</w:t>
                  </w:r>
                </w:p>
              </w:tc>
            </w:tr>
            <w:tr w:rsidR="00702821" w:rsidRPr="00EE23FC" w:rsidTr="00385F95">
              <w:trPr>
                <w:trHeight w:val="284"/>
              </w:trPr>
              <w:tc>
                <w:tcPr>
                  <w:tcW w:w="2622" w:type="dxa"/>
                  <w:tcBorders>
                    <w:top w:val="nil"/>
                    <w:left w:val="nil"/>
                    <w:bottom w:val="nil"/>
                    <w:right w:val="nil"/>
                  </w:tcBorders>
                  <w:vAlign w:val="center"/>
                </w:tcPr>
                <w:p w:rsidR="00702821" w:rsidRPr="00EE23FC" w:rsidRDefault="00702821" w:rsidP="008F5107">
                  <w:pPr>
                    <w:rPr>
                      <w:rFonts w:cs="Arial"/>
                      <w:szCs w:val="18"/>
                      <w:lang w:eastAsia="en-US"/>
                    </w:rPr>
                  </w:pPr>
                  <w:r w:rsidRPr="00EE23FC">
                    <w:rPr>
                      <w:rFonts w:cs="Arial"/>
                      <w:szCs w:val="18"/>
                      <w:lang w:eastAsia="en-US"/>
                    </w:rPr>
                    <w:t>Sídlo:</w:t>
                  </w:r>
                </w:p>
              </w:tc>
              <w:tc>
                <w:tcPr>
                  <w:tcW w:w="7656" w:type="dxa"/>
                  <w:gridSpan w:val="2"/>
                  <w:tcBorders>
                    <w:top w:val="nil"/>
                    <w:left w:val="nil"/>
                    <w:bottom w:val="dotted" w:sz="4" w:space="0" w:color="auto"/>
                    <w:right w:val="nil"/>
                  </w:tcBorders>
                  <w:vAlign w:val="center"/>
                </w:tcPr>
                <w:p w:rsidR="00702821" w:rsidRPr="00EE23FC" w:rsidRDefault="001960E8" w:rsidP="001960E8">
                  <w:pPr>
                    <w:rPr>
                      <w:rFonts w:cs="Arial"/>
                      <w:b/>
                      <w:bCs/>
                      <w:szCs w:val="18"/>
                      <w:lang w:eastAsia="en-US"/>
                    </w:rPr>
                  </w:pPr>
                  <w:r w:rsidRPr="00B0040D">
                    <w:rPr>
                      <w:rFonts w:cs="Arial"/>
                      <w:b/>
                      <w:szCs w:val="18"/>
                      <w:lang w:eastAsia="en-US"/>
                    </w:rPr>
                    <w:t>Svornosti 2</w:t>
                  </w:r>
                  <w:r>
                    <w:rPr>
                      <w:rFonts w:cs="Arial"/>
                      <w:b/>
                      <w:szCs w:val="18"/>
                      <w:lang w:eastAsia="en-US"/>
                    </w:rPr>
                    <w:t>, 736 01 Havířov - Město</w:t>
                  </w:r>
                </w:p>
              </w:tc>
            </w:tr>
            <w:tr w:rsidR="00702821" w:rsidRPr="00EE23FC" w:rsidTr="008F4DC2">
              <w:trPr>
                <w:gridAfter w:val="1"/>
                <w:wAfter w:w="4041" w:type="dxa"/>
                <w:trHeight w:val="284"/>
              </w:trPr>
              <w:tc>
                <w:tcPr>
                  <w:tcW w:w="2622" w:type="dxa"/>
                  <w:tcBorders>
                    <w:top w:val="nil"/>
                    <w:left w:val="nil"/>
                    <w:bottom w:val="nil"/>
                    <w:right w:val="nil"/>
                  </w:tcBorders>
                  <w:vAlign w:val="center"/>
                </w:tcPr>
                <w:p w:rsidR="00702821" w:rsidRPr="00EE23FC" w:rsidRDefault="00702821" w:rsidP="00631757">
                  <w:pPr>
                    <w:rPr>
                      <w:rFonts w:cs="Arial"/>
                      <w:szCs w:val="18"/>
                      <w:lang w:eastAsia="en-US"/>
                    </w:rPr>
                  </w:pPr>
                  <w:r w:rsidRPr="00EE23FC">
                    <w:rPr>
                      <w:rFonts w:cs="Arial"/>
                      <w:szCs w:val="18"/>
                      <w:lang w:eastAsia="en-US"/>
                    </w:rPr>
                    <w:t>IČ:</w:t>
                  </w:r>
                </w:p>
              </w:tc>
              <w:tc>
                <w:tcPr>
                  <w:tcW w:w="3615" w:type="dxa"/>
                  <w:tcBorders>
                    <w:top w:val="nil"/>
                    <w:left w:val="nil"/>
                    <w:bottom w:val="dotted" w:sz="4" w:space="0" w:color="auto"/>
                    <w:right w:val="nil"/>
                  </w:tcBorders>
                  <w:vAlign w:val="center"/>
                </w:tcPr>
                <w:p w:rsidR="00702821" w:rsidRPr="00EE23FC" w:rsidRDefault="001960E8" w:rsidP="00631757">
                  <w:pPr>
                    <w:rPr>
                      <w:rFonts w:cs="Arial"/>
                      <w:b/>
                      <w:bCs/>
                      <w:szCs w:val="18"/>
                      <w:lang w:eastAsia="en-US"/>
                    </w:rPr>
                  </w:pPr>
                  <w:r w:rsidRPr="00B0040D">
                    <w:rPr>
                      <w:rFonts w:cs="Arial"/>
                      <w:b/>
                      <w:szCs w:val="18"/>
                      <w:lang w:eastAsia="en-US"/>
                    </w:rPr>
                    <w:t>00 29 74 88</w:t>
                  </w:r>
                </w:p>
              </w:tc>
            </w:tr>
            <w:tr w:rsidR="008F4DC2" w:rsidRPr="00EE23FC" w:rsidTr="008F4DC2">
              <w:trPr>
                <w:gridAfter w:val="1"/>
                <w:wAfter w:w="4041" w:type="dxa"/>
                <w:trHeight w:val="284"/>
              </w:trPr>
              <w:tc>
                <w:tcPr>
                  <w:tcW w:w="2622" w:type="dxa"/>
                  <w:tcBorders>
                    <w:top w:val="nil"/>
                    <w:left w:val="nil"/>
                    <w:bottom w:val="nil"/>
                    <w:right w:val="nil"/>
                  </w:tcBorders>
                  <w:vAlign w:val="center"/>
                </w:tcPr>
                <w:p w:rsidR="008F4DC2" w:rsidRPr="00EE23FC" w:rsidRDefault="008F4DC2" w:rsidP="00631757">
                  <w:pPr>
                    <w:rPr>
                      <w:rFonts w:cs="Arial"/>
                      <w:szCs w:val="18"/>
                      <w:lang w:eastAsia="en-US"/>
                    </w:rPr>
                  </w:pPr>
                  <w:r w:rsidRPr="00EE23FC">
                    <w:rPr>
                      <w:rFonts w:cs="Arial"/>
                      <w:szCs w:val="18"/>
                      <w:lang w:eastAsia="en-US"/>
                    </w:rPr>
                    <w:t>DIČ:</w:t>
                  </w:r>
                </w:p>
              </w:tc>
              <w:tc>
                <w:tcPr>
                  <w:tcW w:w="3615" w:type="dxa"/>
                  <w:tcBorders>
                    <w:top w:val="dotted" w:sz="4" w:space="0" w:color="auto"/>
                    <w:left w:val="nil"/>
                    <w:bottom w:val="dotted" w:sz="4" w:space="0" w:color="auto"/>
                    <w:right w:val="nil"/>
                  </w:tcBorders>
                  <w:vAlign w:val="center"/>
                </w:tcPr>
                <w:p w:rsidR="008F4DC2" w:rsidRPr="00EE23FC" w:rsidRDefault="001960E8" w:rsidP="00631757">
                  <w:pPr>
                    <w:rPr>
                      <w:rFonts w:cs="Arial"/>
                      <w:szCs w:val="18"/>
                      <w:lang w:eastAsia="en-US"/>
                    </w:rPr>
                  </w:pPr>
                  <w:r>
                    <w:rPr>
                      <w:rFonts w:cs="Arial"/>
                      <w:szCs w:val="18"/>
                      <w:lang w:eastAsia="en-US"/>
                    </w:rPr>
                    <w:t>CZ 00 29 74 88</w:t>
                  </w:r>
                </w:p>
              </w:tc>
            </w:tr>
          </w:tbl>
          <w:p w:rsidR="00702821" w:rsidRPr="00EE23FC" w:rsidRDefault="00702821" w:rsidP="00631757">
            <w:pPr>
              <w:spacing w:before="60"/>
              <w:jc w:val="both"/>
              <w:rPr>
                <w:rFonts w:cs="Arial"/>
                <w:szCs w:val="18"/>
              </w:rPr>
            </w:pPr>
          </w:p>
        </w:tc>
      </w:tr>
      <w:tr w:rsidR="00702821" w:rsidRPr="00EE23FC" w:rsidTr="002E53AB">
        <w:tc>
          <w:tcPr>
            <w:tcW w:w="10632" w:type="dxa"/>
            <w:tcBorders>
              <w:top w:val="nil"/>
              <w:left w:val="nil"/>
              <w:bottom w:val="nil"/>
              <w:right w:val="nil"/>
            </w:tcBorders>
          </w:tcPr>
          <w:p w:rsidR="00702821" w:rsidRPr="00EE23FC" w:rsidRDefault="00702821" w:rsidP="00ED5A14">
            <w:pPr>
              <w:spacing w:before="60"/>
              <w:jc w:val="both"/>
              <w:rPr>
                <w:rFonts w:cs="Arial"/>
                <w:szCs w:val="18"/>
              </w:rPr>
            </w:pPr>
            <w:r w:rsidRPr="00EE23FC">
              <w:rPr>
                <w:rFonts w:cs="Arial"/>
                <w:szCs w:val="18"/>
                <w:lang w:eastAsia="en-US"/>
              </w:rPr>
              <w:t>(dále jen „</w:t>
            </w:r>
            <w:r w:rsidR="00ED5A14" w:rsidRPr="00EE23FC">
              <w:rPr>
                <w:rFonts w:cs="Arial"/>
                <w:szCs w:val="18"/>
                <w:lang w:eastAsia="en-US"/>
              </w:rPr>
              <w:t>K</w:t>
            </w:r>
            <w:r w:rsidRPr="00EE23FC">
              <w:rPr>
                <w:rFonts w:cs="Arial"/>
                <w:szCs w:val="18"/>
                <w:lang w:eastAsia="en-US"/>
              </w:rPr>
              <w:t>lient“)</w:t>
            </w:r>
          </w:p>
        </w:tc>
      </w:tr>
    </w:tbl>
    <w:p w:rsidR="00702821" w:rsidRPr="00EE23FC" w:rsidRDefault="00702821">
      <w:pPr>
        <w:pStyle w:val="Zkladntext3"/>
        <w:jc w:val="center"/>
        <w:rPr>
          <w:sz w:val="18"/>
          <w:lang w:val="cs-CZ"/>
        </w:rPr>
      </w:pPr>
    </w:p>
    <w:p w:rsidR="00702821" w:rsidRPr="00EE23FC" w:rsidRDefault="00702821" w:rsidP="00631757">
      <w:pPr>
        <w:pStyle w:val="Zkladntext3"/>
        <w:jc w:val="center"/>
        <w:rPr>
          <w:sz w:val="18"/>
          <w:szCs w:val="18"/>
          <w:lang w:val="cs-CZ"/>
        </w:rPr>
      </w:pPr>
      <w:r w:rsidRPr="00EE23FC">
        <w:rPr>
          <w:sz w:val="18"/>
          <w:szCs w:val="18"/>
          <w:lang w:val="cs-CZ"/>
        </w:rPr>
        <w:t xml:space="preserve">uzavírají tuto </w:t>
      </w:r>
      <w:r w:rsidR="006F75B0" w:rsidRPr="00EE23FC">
        <w:rPr>
          <w:sz w:val="18"/>
          <w:szCs w:val="18"/>
          <w:lang w:val="cs-CZ"/>
        </w:rPr>
        <w:t>S</w:t>
      </w:r>
      <w:r w:rsidRPr="00EE23FC">
        <w:rPr>
          <w:sz w:val="18"/>
          <w:szCs w:val="18"/>
          <w:lang w:val="cs-CZ"/>
        </w:rPr>
        <w:t xml:space="preserve">mlouvu o </w:t>
      </w:r>
      <w:r w:rsidR="00ED5A14" w:rsidRPr="00EE23FC">
        <w:rPr>
          <w:sz w:val="18"/>
          <w:szCs w:val="18"/>
          <w:lang w:val="cs-CZ"/>
        </w:rPr>
        <w:t xml:space="preserve">úschově a správě </w:t>
      </w:r>
      <w:r w:rsidRPr="00EE23FC">
        <w:rPr>
          <w:sz w:val="18"/>
          <w:szCs w:val="18"/>
          <w:lang w:val="cs-CZ"/>
        </w:rPr>
        <w:t>investičních nástrojů (dále jen „</w:t>
      </w:r>
      <w:r w:rsidR="00ED5A14" w:rsidRPr="00EE23FC">
        <w:rPr>
          <w:sz w:val="18"/>
          <w:szCs w:val="18"/>
          <w:lang w:val="cs-CZ"/>
        </w:rPr>
        <w:t>S</w:t>
      </w:r>
      <w:r w:rsidRPr="00EE23FC">
        <w:rPr>
          <w:sz w:val="18"/>
          <w:szCs w:val="18"/>
          <w:lang w:val="cs-CZ"/>
        </w:rPr>
        <w:t>mlouva“)</w:t>
      </w:r>
      <w:r w:rsidR="00B64042" w:rsidRPr="00EE23FC">
        <w:rPr>
          <w:sz w:val="18"/>
          <w:szCs w:val="18"/>
          <w:lang w:val="cs-CZ"/>
        </w:rPr>
        <w:t>:</w:t>
      </w:r>
    </w:p>
    <w:p w:rsidR="00702821" w:rsidRPr="00EE23FC" w:rsidRDefault="00702821" w:rsidP="00401E04">
      <w:pPr>
        <w:jc w:val="both"/>
        <w:rPr>
          <w:rFonts w:cs="Arial"/>
          <w:b/>
          <w:szCs w:val="18"/>
        </w:rPr>
      </w:pPr>
    </w:p>
    <w:p w:rsidR="006A53EE" w:rsidRPr="00EE23FC" w:rsidRDefault="006A53EE" w:rsidP="005853A5">
      <w:pPr>
        <w:ind w:left="426" w:hanging="426"/>
        <w:jc w:val="both"/>
        <w:rPr>
          <w:rFonts w:cs="Arial"/>
          <w:szCs w:val="18"/>
          <w:u w:val="single"/>
        </w:rPr>
      </w:pPr>
      <w:r w:rsidRPr="00EE23FC">
        <w:rPr>
          <w:rFonts w:cs="Arial"/>
          <w:szCs w:val="18"/>
        </w:rPr>
        <w:t>1.</w:t>
      </w:r>
      <w:r w:rsidRPr="00EE23FC">
        <w:rPr>
          <w:rFonts w:cs="Arial"/>
          <w:szCs w:val="18"/>
        </w:rPr>
        <w:tab/>
      </w:r>
      <w:r w:rsidR="00147C61" w:rsidRPr="00EE23FC">
        <w:rPr>
          <w:rFonts w:cs="Arial"/>
          <w:szCs w:val="18"/>
          <w:u w:val="single"/>
        </w:rPr>
        <w:t>Ú</w:t>
      </w:r>
      <w:r w:rsidRPr="00EE23FC">
        <w:rPr>
          <w:rFonts w:cs="Arial"/>
          <w:szCs w:val="18"/>
          <w:u w:val="single"/>
        </w:rPr>
        <w:t>čty</w:t>
      </w:r>
      <w:r w:rsidR="00147C61" w:rsidRPr="00EE23FC">
        <w:rPr>
          <w:rFonts w:cs="Arial"/>
          <w:szCs w:val="18"/>
          <w:u w:val="single"/>
        </w:rPr>
        <w:t xml:space="preserve"> Klienta</w:t>
      </w:r>
    </w:p>
    <w:p w:rsidR="008A1662" w:rsidRPr="00EE23FC" w:rsidRDefault="008A1662" w:rsidP="005853A5">
      <w:pPr>
        <w:ind w:left="426" w:hanging="426"/>
        <w:jc w:val="both"/>
        <w:rPr>
          <w:rFonts w:cs="Arial"/>
          <w:szCs w:val="18"/>
        </w:rPr>
      </w:pPr>
    </w:p>
    <w:p w:rsidR="00B70FBB" w:rsidRPr="00EE23FC" w:rsidRDefault="008A1662" w:rsidP="005853A5">
      <w:pPr>
        <w:ind w:left="426" w:hanging="426"/>
        <w:jc w:val="both"/>
        <w:rPr>
          <w:rFonts w:cs="Arial"/>
          <w:szCs w:val="18"/>
        </w:rPr>
      </w:pPr>
      <w:r w:rsidRPr="00EE23FC">
        <w:rPr>
          <w:rFonts w:cs="Arial"/>
          <w:szCs w:val="18"/>
        </w:rPr>
        <w:t>1.1</w:t>
      </w:r>
      <w:r w:rsidRPr="00EE23FC">
        <w:rPr>
          <w:rFonts w:cs="Arial"/>
          <w:szCs w:val="18"/>
        </w:rPr>
        <w:tab/>
      </w:r>
      <w:r w:rsidR="006A53EE" w:rsidRPr="00EE23FC">
        <w:rPr>
          <w:rFonts w:cs="Arial"/>
          <w:szCs w:val="18"/>
        </w:rPr>
        <w:t xml:space="preserve">Banka se zavazuje zřídit a vést pro Klienta </w:t>
      </w:r>
      <w:r w:rsidR="00511CDA" w:rsidRPr="00EE23FC">
        <w:rPr>
          <w:rFonts w:cs="Arial"/>
          <w:szCs w:val="18"/>
        </w:rPr>
        <w:t>ve svých evidencích investičních nástrojů majetkové účty</w:t>
      </w:r>
      <w:r w:rsidR="005A561B" w:rsidRPr="00EE23FC">
        <w:rPr>
          <w:rFonts w:cs="Arial"/>
          <w:szCs w:val="18"/>
        </w:rPr>
        <w:t xml:space="preserve">, na kterých bude evidovat zaknihované investiční nástroje </w:t>
      </w:r>
      <w:r w:rsidR="00D974DA" w:rsidRPr="00EE23FC">
        <w:rPr>
          <w:rFonts w:cs="Arial"/>
          <w:szCs w:val="18"/>
        </w:rPr>
        <w:t xml:space="preserve">Klienta svěřené Bance do správy a listinné investiční nástroje Klienta </w:t>
      </w:r>
      <w:r w:rsidR="004E48F5" w:rsidRPr="00EE23FC">
        <w:rPr>
          <w:rFonts w:cs="Arial"/>
          <w:szCs w:val="18"/>
        </w:rPr>
        <w:t>svěřené Bance do úschovy a správy</w:t>
      </w:r>
      <w:r w:rsidR="00D974DA" w:rsidRPr="00EE23FC">
        <w:rPr>
          <w:rFonts w:cs="Arial"/>
          <w:szCs w:val="18"/>
        </w:rPr>
        <w:t xml:space="preserve"> </w:t>
      </w:r>
      <w:r w:rsidR="00454FD0" w:rsidRPr="00EE23FC">
        <w:rPr>
          <w:rFonts w:cs="Arial"/>
          <w:szCs w:val="18"/>
        </w:rPr>
        <w:t>(dále jen „</w:t>
      </w:r>
      <w:r w:rsidR="00D974DA" w:rsidRPr="00EE23FC">
        <w:rPr>
          <w:rFonts w:cs="Arial"/>
          <w:szCs w:val="18"/>
        </w:rPr>
        <w:t>M</w:t>
      </w:r>
      <w:r w:rsidR="00454FD0" w:rsidRPr="00EE23FC">
        <w:rPr>
          <w:rFonts w:cs="Arial"/>
          <w:szCs w:val="18"/>
        </w:rPr>
        <w:t>ajetkové účty“)</w:t>
      </w:r>
      <w:r w:rsidR="00915DA6" w:rsidRPr="00EE23FC">
        <w:rPr>
          <w:rFonts w:cs="Arial"/>
          <w:szCs w:val="18"/>
        </w:rPr>
        <w:t>.</w:t>
      </w:r>
    </w:p>
    <w:p w:rsidR="008A1662" w:rsidRPr="00EE23FC" w:rsidRDefault="00454FD0" w:rsidP="005853A5">
      <w:pPr>
        <w:ind w:left="426" w:hanging="426"/>
        <w:jc w:val="both"/>
        <w:rPr>
          <w:rFonts w:cs="Arial"/>
          <w:szCs w:val="18"/>
        </w:rPr>
      </w:pPr>
      <w:r w:rsidRPr="00EE23FC">
        <w:rPr>
          <w:rFonts w:cs="Arial"/>
          <w:szCs w:val="18"/>
        </w:rPr>
        <w:t xml:space="preserve"> </w:t>
      </w:r>
    </w:p>
    <w:p w:rsidR="00470435" w:rsidRPr="00EE23FC" w:rsidRDefault="008A1662" w:rsidP="005853A5">
      <w:pPr>
        <w:ind w:left="426" w:hanging="426"/>
        <w:jc w:val="both"/>
        <w:rPr>
          <w:rFonts w:cs="Arial"/>
          <w:szCs w:val="18"/>
        </w:rPr>
      </w:pPr>
      <w:r w:rsidRPr="00EE23FC">
        <w:rPr>
          <w:rFonts w:cs="Arial"/>
          <w:szCs w:val="18"/>
        </w:rPr>
        <w:t>1.2</w:t>
      </w:r>
      <w:r w:rsidRPr="00EE23FC">
        <w:rPr>
          <w:rFonts w:cs="Arial"/>
          <w:szCs w:val="18"/>
        </w:rPr>
        <w:tab/>
      </w:r>
      <w:r w:rsidR="00915DA6" w:rsidRPr="00EE23FC">
        <w:rPr>
          <w:rFonts w:cs="Arial"/>
          <w:szCs w:val="18"/>
        </w:rPr>
        <w:t xml:space="preserve">Banka </w:t>
      </w:r>
      <w:r w:rsidR="00F401BF">
        <w:rPr>
          <w:rFonts w:cs="Arial"/>
          <w:szCs w:val="18"/>
        </w:rPr>
        <w:t xml:space="preserve">může na základě samostatné smlouvy vést </w:t>
      </w:r>
      <w:r w:rsidR="00915DA6" w:rsidRPr="00EE23FC">
        <w:rPr>
          <w:rFonts w:cs="Arial"/>
          <w:szCs w:val="18"/>
        </w:rPr>
        <w:t xml:space="preserve">pro Klienta peněžní účet, na kterém budou prováděny platby podle této Smlouvy (dále jen „Peněžní účet“). </w:t>
      </w:r>
      <w:r w:rsidR="00B64042" w:rsidRPr="00EE23FC">
        <w:rPr>
          <w:rFonts w:cs="Arial"/>
          <w:szCs w:val="18"/>
        </w:rPr>
        <w:t>P</w:t>
      </w:r>
      <w:r w:rsidR="005E63E3" w:rsidRPr="00EE23FC">
        <w:rPr>
          <w:rFonts w:cs="Arial"/>
          <w:szCs w:val="18"/>
        </w:rPr>
        <w:t xml:space="preserve">latby podle této Smlouvy, které jsou </w:t>
      </w:r>
      <w:r w:rsidR="00FD5049" w:rsidRPr="00EE23FC">
        <w:rPr>
          <w:rFonts w:cs="Arial"/>
          <w:szCs w:val="18"/>
        </w:rPr>
        <w:t>k tíži</w:t>
      </w:r>
      <w:r w:rsidR="005E63E3" w:rsidRPr="00EE23FC">
        <w:rPr>
          <w:rFonts w:cs="Arial"/>
          <w:szCs w:val="18"/>
        </w:rPr>
        <w:t xml:space="preserve"> Klienta, </w:t>
      </w:r>
      <w:r w:rsidR="007956CB">
        <w:rPr>
          <w:rFonts w:cs="Arial"/>
          <w:szCs w:val="18"/>
        </w:rPr>
        <w:t>bude</w:t>
      </w:r>
      <w:r w:rsidR="007956CB" w:rsidRPr="00EE23FC">
        <w:rPr>
          <w:rFonts w:cs="Arial"/>
          <w:szCs w:val="18"/>
        </w:rPr>
        <w:t xml:space="preserve"> </w:t>
      </w:r>
      <w:r w:rsidR="001960E8" w:rsidRPr="00282815">
        <w:rPr>
          <w:rFonts w:cs="Arial"/>
          <w:szCs w:val="18"/>
        </w:rPr>
        <w:t>Klient podle této Smlouvy hradit Ban</w:t>
      </w:r>
      <w:r w:rsidR="001960E8">
        <w:rPr>
          <w:rFonts w:cs="Arial"/>
          <w:szCs w:val="18"/>
        </w:rPr>
        <w:t xml:space="preserve">ce na základě vystavené faktury. </w:t>
      </w:r>
      <w:r w:rsidR="001960E8" w:rsidRPr="00026734">
        <w:rPr>
          <w:rFonts w:cs="Arial"/>
          <w:szCs w:val="18"/>
        </w:rPr>
        <w:t xml:space="preserve">Má-li Klient u Banky na základě samostatné smlouvy zřízen </w:t>
      </w:r>
      <w:r w:rsidR="001960E8">
        <w:rPr>
          <w:rFonts w:cs="Arial"/>
          <w:szCs w:val="18"/>
        </w:rPr>
        <w:t>peněžní</w:t>
      </w:r>
      <w:r w:rsidR="001960E8" w:rsidRPr="00026734">
        <w:rPr>
          <w:rFonts w:cs="Arial"/>
          <w:szCs w:val="18"/>
        </w:rPr>
        <w:t xml:space="preserve"> účet, platby podle této Smlouvy,</w:t>
      </w:r>
      <w:r w:rsidR="001960E8">
        <w:rPr>
          <w:rFonts w:cs="Arial"/>
          <w:szCs w:val="18"/>
        </w:rPr>
        <w:t xml:space="preserve"> které jsou k tíži Klienta, může</w:t>
      </w:r>
      <w:r w:rsidR="001960E8" w:rsidRPr="00026734">
        <w:rPr>
          <w:rFonts w:cs="Arial"/>
          <w:szCs w:val="18"/>
        </w:rPr>
        <w:t xml:space="preserve"> Banka inkasovat z</w:t>
      </w:r>
      <w:r w:rsidR="001960E8">
        <w:rPr>
          <w:rFonts w:cs="Arial"/>
          <w:szCs w:val="18"/>
        </w:rPr>
        <w:t xml:space="preserve"> tohoto</w:t>
      </w:r>
      <w:r w:rsidR="001960E8" w:rsidRPr="00026734">
        <w:rPr>
          <w:rFonts w:cs="Arial"/>
          <w:szCs w:val="18"/>
        </w:rPr>
        <w:t xml:space="preserve"> </w:t>
      </w:r>
      <w:r w:rsidR="001960E8">
        <w:rPr>
          <w:rFonts w:cs="Arial"/>
          <w:szCs w:val="18"/>
        </w:rPr>
        <w:t>peněžního</w:t>
      </w:r>
      <w:r w:rsidR="001960E8" w:rsidRPr="00026734">
        <w:rPr>
          <w:rFonts w:cs="Arial"/>
          <w:szCs w:val="18"/>
        </w:rPr>
        <w:t xml:space="preserve"> účtu.</w:t>
      </w:r>
      <w:r w:rsidR="001960E8">
        <w:rPr>
          <w:rFonts w:cs="Arial"/>
          <w:szCs w:val="18"/>
        </w:rPr>
        <w:t xml:space="preserve"> </w:t>
      </w:r>
      <w:r w:rsidR="00B64042" w:rsidRPr="00EE23FC">
        <w:rPr>
          <w:rFonts w:cs="Arial"/>
          <w:szCs w:val="18"/>
        </w:rPr>
        <w:t>P</w:t>
      </w:r>
      <w:r w:rsidR="002614C1" w:rsidRPr="00EE23FC">
        <w:rPr>
          <w:rFonts w:cs="Arial"/>
          <w:szCs w:val="18"/>
        </w:rPr>
        <w:t xml:space="preserve">latby </w:t>
      </w:r>
      <w:r w:rsidR="006F75B0" w:rsidRPr="00EE23FC">
        <w:rPr>
          <w:rFonts w:cs="Arial"/>
          <w:szCs w:val="18"/>
        </w:rPr>
        <w:t>po</w:t>
      </w:r>
      <w:r w:rsidR="002614C1" w:rsidRPr="00EE23FC">
        <w:rPr>
          <w:rFonts w:cs="Arial"/>
          <w:szCs w:val="18"/>
        </w:rPr>
        <w:t xml:space="preserve">dle této </w:t>
      </w:r>
      <w:r w:rsidR="007670F2" w:rsidRPr="00EE23FC">
        <w:rPr>
          <w:rFonts w:cs="Arial"/>
          <w:szCs w:val="18"/>
        </w:rPr>
        <w:t xml:space="preserve">Smlouvy, které jsou ve prospěch Klienta, bude Banka připisovat na </w:t>
      </w:r>
      <w:r w:rsidR="00915DA6" w:rsidRPr="00EE23FC">
        <w:rPr>
          <w:rFonts w:cs="Arial"/>
          <w:szCs w:val="18"/>
        </w:rPr>
        <w:t xml:space="preserve">Peněžní </w:t>
      </w:r>
      <w:r w:rsidR="007670F2" w:rsidRPr="00EE23FC">
        <w:rPr>
          <w:rFonts w:cs="Arial"/>
          <w:szCs w:val="18"/>
        </w:rPr>
        <w:t xml:space="preserve">účet. </w:t>
      </w:r>
      <w:r w:rsidR="00FB64EE" w:rsidRPr="00EE23FC">
        <w:rPr>
          <w:rFonts w:cs="Arial"/>
          <w:szCs w:val="18"/>
        </w:rPr>
        <w:t xml:space="preserve">Klient se zavazuje, že po dobu účinnosti této Smlouvy nevypoví smlouvu o </w:t>
      </w:r>
      <w:r w:rsidR="00915DA6" w:rsidRPr="00EE23FC">
        <w:rPr>
          <w:rFonts w:cs="Arial"/>
          <w:szCs w:val="18"/>
        </w:rPr>
        <w:t xml:space="preserve">Peněžním </w:t>
      </w:r>
      <w:r w:rsidR="00FB64EE" w:rsidRPr="00EE23FC">
        <w:rPr>
          <w:rFonts w:cs="Arial"/>
          <w:szCs w:val="18"/>
        </w:rPr>
        <w:t>účtu.</w:t>
      </w:r>
    </w:p>
    <w:p w:rsidR="00B56C3C" w:rsidRPr="00EE23FC" w:rsidRDefault="00B56C3C" w:rsidP="005853A5">
      <w:pPr>
        <w:ind w:left="426" w:hanging="426"/>
        <w:jc w:val="both"/>
        <w:rPr>
          <w:rFonts w:cs="Arial"/>
          <w:szCs w:val="18"/>
        </w:rPr>
      </w:pPr>
    </w:p>
    <w:p w:rsidR="00E50DEB" w:rsidRPr="00EE23FC" w:rsidRDefault="00E50DEB" w:rsidP="005853A5">
      <w:pPr>
        <w:ind w:left="426" w:hanging="426"/>
        <w:jc w:val="both"/>
        <w:rPr>
          <w:rFonts w:cs="Arial"/>
          <w:szCs w:val="18"/>
          <w:u w:val="single"/>
        </w:rPr>
      </w:pPr>
      <w:r w:rsidRPr="00EE23FC">
        <w:rPr>
          <w:rFonts w:cs="Arial"/>
          <w:szCs w:val="18"/>
        </w:rPr>
        <w:t>2.</w:t>
      </w:r>
      <w:r w:rsidRPr="00EE23FC">
        <w:rPr>
          <w:rFonts w:cs="Arial"/>
          <w:szCs w:val="18"/>
        </w:rPr>
        <w:tab/>
      </w:r>
      <w:r w:rsidRPr="00EE23FC">
        <w:rPr>
          <w:rFonts w:cs="Arial"/>
          <w:szCs w:val="18"/>
          <w:u w:val="single"/>
        </w:rPr>
        <w:t>Úschova investičních nástrojů</w:t>
      </w:r>
    </w:p>
    <w:p w:rsidR="00E50DEB" w:rsidRPr="00EE23FC" w:rsidRDefault="00E50DEB" w:rsidP="005853A5">
      <w:pPr>
        <w:ind w:left="426" w:hanging="426"/>
        <w:jc w:val="both"/>
        <w:rPr>
          <w:rFonts w:cs="Arial"/>
          <w:szCs w:val="18"/>
          <w:u w:val="single"/>
        </w:rPr>
      </w:pPr>
    </w:p>
    <w:p w:rsidR="002614C1" w:rsidRPr="00EE23FC" w:rsidRDefault="00E50DEB" w:rsidP="005853A5">
      <w:pPr>
        <w:ind w:left="426"/>
        <w:jc w:val="both"/>
        <w:rPr>
          <w:rFonts w:cs="Arial"/>
          <w:szCs w:val="18"/>
        </w:rPr>
      </w:pPr>
      <w:r w:rsidRPr="00EE23FC">
        <w:rPr>
          <w:rFonts w:cs="Arial"/>
          <w:szCs w:val="18"/>
        </w:rPr>
        <w:t xml:space="preserve">Banka se zavazuje přijímat do úschovy listinné investiční nástroje Klienta. </w:t>
      </w:r>
      <w:r w:rsidR="00623E84" w:rsidRPr="00EE23FC">
        <w:rPr>
          <w:rFonts w:cs="Arial"/>
          <w:szCs w:val="18"/>
        </w:rPr>
        <w:t xml:space="preserve">Banka je </w:t>
      </w:r>
      <w:r w:rsidR="00AD1866" w:rsidRPr="00EE23FC">
        <w:rPr>
          <w:rFonts w:cs="Arial"/>
          <w:szCs w:val="18"/>
        </w:rPr>
        <w:t xml:space="preserve">však </w:t>
      </w:r>
      <w:r w:rsidR="00623E84" w:rsidRPr="00EE23FC">
        <w:rPr>
          <w:rFonts w:cs="Arial"/>
          <w:szCs w:val="18"/>
        </w:rPr>
        <w:t>oprávněna odmítnou</w:t>
      </w:r>
      <w:r w:rsidR="0031400C" w:rsidRPr="00EE23FC">
        <w:rPr>
          <w:rFonts w:cs="Arial"/>
          <w:szCs w:val="18"/>
        </w:rPr>
        <w:t>t</w:t>
      </w:r>
      <w:r w:rsidR="00623E84" w:rsidRPr="00EE23FC">
        <w:rPr>
          <w:rFonts w:cs="Arial"/>
          <w:szCs w:val="18"/>
        </w:rPr>
        <w:t xml:space="preserve"> </w:t>
      </w:r>
      <w:r w:rsidR="0031400C" w:rsidRPr="00EE23FC">
        <w:rPr>
          <w:rFonts w:cs="Arial"/>
          <w:szCs w:val="18"/>
        </w:rPr>
        <w:t xml:space="preserve">přijmout </w:t>
      </w:r>
      <w:r w:rsidR="00623E84" w:rsidRPr="00EE23FC">
        <w:rPr>
          <w:rFonts w:cs="Arial"/>
          <w:szCs w:val="18"/>
        </w:rPr>
        <w:t>do úschovy</w:t>
      </w:r>
      <w:r w:rsidR="00AD5CC4" w:rsidRPr="00EE23FC">
        <w:rPr>
          <w:rFonts w:cs="Arial"/>
          <w:szCs w:val="18"/>
        </w:rPr>
        <w:t xml:space="preserve"> investiční nástroj</w:t>
      </w:r>
      <w:r w:rsidR="00623E84" w:rsidRPr="00EE23FC">
        <w:rPr>
          <w:rFonts w:cs="Arial"/>
          <w:szCs w:val="18"/>
        </w:rPr>
        <w:t xml:space="preserve">, </w:t>
      </w:r>
      <w:r w:rsidR="00AD5CC4" w:rsidRPr="00EE23FC">
        <w:rPr>
          <w:rFonts w:cs="Arial"/>
          <w:szCs w:val="18"/>
        </w:rPr>
        <w:t xml:space="preserve">který je poškozený, </w:t>
      </w:r>
      <w:r w:rsidR="00915DA6" w:rsidRPr="00EE23FC">
        <w:rPr>
          <w:rFonts w:cs="Arial"/>
          <w:szCs w:val="18"/>
        </w:rPr>
        <w:t xml:space="preserve">nebo </w:t>
      </w:r>
      <w:r w:rsidR="00AD5CC4" w:rsidRPr="00EE23FC">
        <w:rPr>
          <w:rFonts w:cs="Arial"/>
          <w:szCs w:val="18"/>
        </w:rPr>
        <w:t xml:space="preserve">o </w:t>
      </w:r>
      <w:r w:rsidR="00AD1866" w:rsidRPr="00EE23FC">
        <w:rPr>
          <w:rFonts w:cs="Arial"/>
          <w:szCs w:val="18"/>
        </w:rPr>
        <w:t xml:space="preserve">jehož </w:t>
      </w:r>
      <w:r w:rsidR="00AD5CC4" w:rsidRPr="00EE23FC">
        <w:rPr>
          <w:rFonts w:cs="Arial"/>
          <w:szCs w:val="18"/>
        </w:rPr>
        <w:t>pravosti má Banka pochybnost</w:t>
      </w:r>
      <w:r w:rsidR="0031400C" w:rsidRPr="00EE23FC">
        <w:rPr>
          <w:rFonts w:cs="Arial"/>
          <w:szCs w:val="18"/>
        </w:rPr>
        <w:t xml:space="preserve">. </w:t>
      </w:r>
      <w:r w:rsidR="00AD5CC4" w:rsidRPr="00EE23FC">
        <w:rPr>
          <w:rFonts w:cs="Arial"/>
          <w:szCs w:val="18"/>
        </w:rPr>
        <w:t xml:space="preserve">Banka nezkoumá pravost investičních nástrojů při jejich předání do úschovy. </w:t>
      </w:r>
      <w:r w:rsidR="00623E84" w:rsidRPr="00EE23FC">
        <w:rPr>
          <w:rFonts w:cs="Arial"/>
          <w:szCs w:val="18"/>
        </w:rPr>
        <w:t xml:space="preserve">O předání a vyzvednutí </w:t>
      </w:r>
      <w:r w:rsidR="0031400C" w:rsidRPr="00EE23FC">
        <w:rPr>
          <w:rFonts w:cs="Arial"/>
          <w:szCs w:val="18"/>
        </w:rPr>
        <w:t xml:space="preserve">investičního nástroje bude vyhotoven předávací protokol. </w:t>
      </w:r>
      <w:r w:rsidR="002614C1" w:rsidRPr="00EE23FC">
        <w:rPr>
          <w:rFonts w:cs="Arial"/>
          <w:szCs w:val="18"/>
        </w:rPr>
        <w:t xml:space="preserve">Banka </w:t>
      </w:r>
      <w:r w:rsidR="00040704" w:rsidRPr="00EE23FC">
        <w:rPr>
          <w:rFonts w:cs="Arial"/>
          <w:szCs w:val="18"/>
        </w:rPr>
        <w:t xml:space="preserve">může investiční nástroje Klienta </w:t>
      </w:r>
      <w:r w:rsidR="002614C1" w:rsidRPr="00EE23FC">
        <w:rPr>
          <w:rFonts w:cs="Arial"/>
          <w:szCs w:val="18"/>
        </w:rPr>
        <w:t>uložit do hromadné úschovy nebo do druhotné úschovy u jiného schovatele.</w:t>
      </w:r>
    </w:p>
    <w:p w:rsidR="00040704" w:rsidRPr="00EE23FC" w:rsidRDefault="00040704" w:rsidP="005853A5">
      <w:pPr>
        <w:ind w:left="426" w:hanging="426"/>
        <w:jc w:val="both"/>
        <w:rPr>
          <w:rFonts w:cs="Arial"/>
          <w:szCs w:val="18"/>
        </w:rPr>
      </w:pPr>
    </w:p>
    <w:p w:rsidR="00702821" w:rsidRPr="00EE23FC" w:rsidRDefault="007670F2" w:rsidP="005853A5">
      <w:pPr>
        <w:ind w:left="426" w:hanging="426"/>
        <w:jc w:val="both"/>
        <w:rPr>
          <w:rFonts w:cs="Arial"/>
          <w:szCs w:val="18"/>
          <w:u w:val="single"/>
        </w:rPr>
      </w:pPr>
      <w:r w:rsidRPr="00EE23FC">
        <w:rPr>
          <w:rFonts w:cs="Arial"/>
          <w:szCs w:val="18"/>
        </w:rPr>
        <w:t>3</w:t>
      </w:r>
      <w:r w:rsidR="003B5E07" w:rsidRPr="00EE23FC">
        <w:rPr>
          <w:rFonts w:cs="Arial"/>
          <w:szCs w:val="18"/>
        </w:rPr>
        <w:t xml:space="preserve">. </w:t>
      </w:r>
      <w:r w:rsidR="00702821" w:rsidRPr="00EE23FC">
        <w:rPr>
          <w:rFonts w:cs="Arial"/>
          <w:szCs w:val="18"/>
        </w:rPr>
        <w:tab/>
      </w:r>
      <w:r w:rsidR="002F3D61" w:rsidRPr="00EE23FC">
        <w:rPr>
          <w:rFonts w:cs="Arial"/>
          <w:szCs w:val="18"/>
          <w:u w:val="single"/>
        </w:rPr>
        <w:t>Správa investičních nástrojů</w:t>
      </w:r>
    </w:p>
    <w:p w:rsidR="00470435" w:rsidRPr="00EE23FC" w:rsidRDefault="002F3D61" w:rsidP="005853A5">
      <w:pPr>
        <w:ind w:left="426" w:hanging="426"/>
        <w:jc w:val="both"/>
        <w:rPr>
          <w:rFonts w:cs="Arial"/>
          <w:szCs w:val="18"/>
        </w:rPr>
      </w:pPr>
      <w:r w:rsidRPr="00EE23FC">
        <w:rPr>
          <w:rFonts w:cs="Arial"/>
          <w:szCs w:val="18"/>
        </w:rPr>
        <w:tab/>
      </w:r>
    </w:p>
    <w:p w:rsidR="000B7290" w:rsidRPr="00EE23FC" w:rsidRDefault="00B15C6F" w:rsidP="005853A5">
      <w:pPr>
        <w:ind w:left="426" w:hanging="426"/>
        <w:jc w:val="both"/>
        <w:rPr>
          <w:rFonts w:cs="Arial"/>
          <w:szCs w:val="18"/>
        </w:rPr>
      </w:pPr>
      <w:r w:rsidRPr="00EE23FC">
        <w:rPr>
          <w:rFonts w:cs="Arial"/>
          <w:szCs w:val="18"/>
        </w:rPr>
        <w:t>3</w:t>
      </w:r>
      <w:r w:rsidR="00470435" w:rsidRPr="00EE23FC">
        <w:rPr>
          <w:rFonts w:cs="Arial"/>
          <w:szCs w:val="18"/>
        </w:rPr>
        <w:t>.1</w:t>
      </w:r>
      <w:r w:rsidR="00470435" w:rsidRPr="00EE23FC">
        <w:rPr>
          <w:rFonts w:cs="Arial"/>
          <w:szCs w:val="18"/>
        </w:rPr>
        <w:tab/>
      </w:r>
      <w:r w:rsidR="002F3D61" w:rsidRPr="00EE23FC">
        <w:rPr>
          <w:rFonts w:cs="Arial"/>
          <w:szCs w:val="18"/>
        </w:rPr>
        <w:t>Banka se zavazuje, že bude provádět správu investičních nástrojů Klienta</w:t>
      </w:r>
    </w:p>
    <w:p w:rsidR="000B7290" w:rsidRPr="00EE23FC" w:rsidRDefault="0036082D" w:rsidP="0036082D">
      <w:pPr>
        <w:ind w:left="709" w:hanging="284"/>
        <w:jc w:val="both"/>
        <w:rPr>
          <w:rFonts w:cs="Arial"/>
          <w:szCs w:val="18"/>
        </w:rPr>
      </w:pPr>
      <w:r w:rsidRPr="00EE23FC">
        <w:rPr>
          <w:rFonts w:cs="Arial"/>
          <w:szCs w:val="18"/>
        </w:rPr>
        <w:t>a)</w:t>
      </w:r>
      <w:r w:rsidRPr="00EE23FC">
        <w:rPr>
          <w:rFonts w:cs="Arial"/>
          <w:szCs w:val="18"/>
        </w:rPr>
        <w:tab/>
      </w:r>
      <w:r w:rsidR="00925662" w:rsidRPr="00EE23FC">
        <w:rPr>
          <w:rFonts w:cs="Arial"/>
          <w:szCs w:val="18"/>
        </w:rPr>
        <w:t>evidovaných</w:t>
      </w:r>
      <w:r w:rsidR="00AC0946" w:rsidRPr="00EE23FC">
        <w:rPr>
          <w:rFonts w:cs="Arial"/>
          <w:szCs w:val="18"/>
        </w:rPr>
        <w:t xml:space="preserve"> </w:t>
      </w:r>
      <w:r w:rsidR="002F3D61" w:rsidRPr="00EE23FC">
        <w:rPr>
          <w:rFonts w:cs="Arial"/>
          <w:szCs w:val="18"/>
        </w:rPr>
        <w:t xml:space="preserve">na majetkových účtech </w:t>
      </w:r>
      <w:r w:rsidR="002D6599" w:rsidRPr="00EE23FC">
        <w:rPr>
          <w:rFonts w:cs="Arial"/>
          <w:szCs w:val="18"/>
        </w:rPr>
        <w:t>Klienta vedených Centrálním depozitářem cenných papírů, a.s.</w:t>
      </w:r>
      <w:r w:rsidR="00446521" w:rsidRPr="00EE23FC">
        <w:rPr>
          <w:rFonts w:cs="Arial"/>
          <w:szCs w:val="18"/>
        </w:rPr>
        <w:t>, které jsou</w:t>
      </w:r>
      <w:r w:rsidR="00915DA6" w:rsidRPr="00EE23FC">
        <w:rPr>
          <w:rFonts w:cs="Arial"/>
          <w:szCs w:val="18"/>
        </w:rPr>
        <w:t xml:space="preserve"> </w:t>
      </w:r>
      <w:r w:rsidR="00446521" w:rsidRPr="00EE23FC">
        <w:rPr>
          <w:rFonts w:cs="Arial"/>
          <w:szCs w:val="18"/>
        </w:rPr>
        <w:t>zařazeny pod Banku jako účastníka centrálního depozitáře</w:t>
      </w:r>
      <w:r w:rsidR="00D17DD6" w:rsidRPr="00EE23FC">
        <w:rPr>
          <w:rFonts w:cs="Arial"/>
          <w:szCs w:val="18"/>
        </w:rPr>
        <w:t xml:space="preserve"> (dále jen „</w:t>
      </w:r>
      <w:r w:rsidR="00280692" w:rsidRPr="00EE23FC">
        <w:rPr>
          <w:rFonts w:cs="Arial"/>
          <w:szCs w:val="18"/>
        </w:rPr>
        <w:t>Účty v CDCP</w:t>
      </w:r>
      <w:r w:rsidR="00D17DD6" w:rsidRPr="00EE23FC">
        <w:rPr>
          <w:rFonts w:cs="Arial"/>
          <w:szCs w:val="18"/>
        </w:rPr>
        <w:t>“)</w:t>
      </w:r>
      <w:r w:rsidR="00925662" w:rsidRPr="00EE23FC">
        <w:rPr>
          <w:rFonts w:cs="Arial"/>
          <w:szCs w:val="18"/>
        </w:rPr>
        <w:t xml:space="preserve"> a</w:t>
      </w:r>
    </w:p>
    <w:p w:rsidR="002F3D61" w:rsidRPr="00EE23FC" w:rsidRDefault="0036082D" w:rsidP="0036082D">
      <w:pPr>
        <w:ind w:left="709" w:hanging="284"/>
        <w:jc w:val="both"/>
        <w:rPr>
          <w:rFonts w:cs="Arial"/>
          <w:szCs w:val="18"/>
        </w:rPr>
      </w:pPr>
      <w:r w:rsidRPr="00EE23FC">
        <w:rPr>
          <w:rFonts w:cs="Arial"/>
          <w:szCs w:val="18"/>
        </w:rPr>
        <w:t>b)</w:t>
      </w:r>
      <w:r w:rsidRPr="00EE23FC">
        <w:rPr>
          <w:rFonts w:cs="Arial"/>
          <w:szCs w:val="18"/>
        </w:rPr>
        <w:tab/>
      </w:r>
      <w:r w:rsidR="00925662" w:rsidRPr="00EE23FC">
        <w:rPr>
          <w:rFonts w:cs="Arial"/>
          <w:szCs w:val="18"/>
        </w:rPr>
        <w:t>evidovaných na Majetkových účtech</w:t>
      </w:r>
      <w:r w:rsidR="009A7B5F" w:rsidRPr="00EE23FC">
        <w:rPr>
          <w:rFonts w:cs="Arial"/>
          <w:szCs w:val="18"/>
        </w:rPr>
        <w:t xml:space="preserve"> </w:t>
      </w:r>
    </w:p>
    <w:p w:rsidR="00247956" w:rsidRPr="00EE23FC" w:rsidRDefault="00915DA6" w:rsidP="0036082D">
      <w:pPr>
        <w:ind w:left="426"/>
        <w:jc w:val="both"/>
        <w:rPr>
          <w:rFonts w:cs="Arial"/>
          <w:szCs w:val="18"/>
        </w:rPr>
      </w:pPr>
      <w:r w:rsidRPr="00EE23FC">
        <w:rPr>
          <w:rFonts w:cs="Arial"/>
          <w:szCs w:val="18"/>
        </w:rPr>
        <w:t>(dále společně jen „Spravované nástroje“).</w:t>
      </w:r>
    </w:p>
    <w:p w:rsidR="00915DA6" w:rsidRPr="00EE23FC" w:rsidRDefault="00915DA6" w:rsidP="005853A5">
      <w:pPr>
        <w:ind w:left="426" w:hanging="426"/>
        <w:jc w:val="both"/>
        <w:rPr>
          <w:rFonts w:cs="Arial"/>
          <w:szCs w:val="18"/>
        </w:rPr>
      </w:pPr>
    </w:p>
    <w:p w:rsidR="00247956" w:rsidRPr="00EE23FC" w:rsidRDefault="00247956" w:rsidP="005853A5">
      <w:pPr>
        <w:ind w:left="426" w:hanging="426"/>
        <w:jc w:val="both"/>
        <w:rPr>
          <w:rFonts w:cs="Arial"/>
          <w:szCs w:val="18"/>
        </w:rPr>
      </w:pPr>
      <w:r w:rsidRPr="00EE23FC">
        <w:rPr>
          <w:rFonts w:cs="Arial"/>
          <w:szCs w:val="18"/>
        </w:rPr>
        <w:t>3.2</w:t>
      </w:r>
      <w:r w:rsidRPr="00EE23FC">
        <w:rPr>
          <w:rFonts w:cs="Arial"/>
          <w:szCs w:val="18"/>
        </w:rPr>
        <w:tab/>
      </w:r>
      <w:r w:rsidR="00ED0834" w:rsidRPr="00EE23FC">
        <w:rPr>
          <w:rFonts w:cs="Arial"/>
          <w:szCs w:val="18"/>
        </w:rPr>
        <w:t>V rámci správy podle této Smlouvy je Banka povinna provádět pouze činnosti výslovně uvedené v této Smlouvě</w:t>
      </w:r>
      <w:r w:rsidRPr="00EE23FC">
        <w:rPr>
          <w:rFonts w:cs="Arial"/>
          <w:szCs w:val="18"/>
        </w:rPr>
        <w:t xml:space="preserve">. </w:t>
      </w:r>
      <w:r w:rsidR="00CA609A" w:rsidRPr="00EE23FC">
        <w:rPr>
          <w:rFonts w:cs="Arial"/>
          <w:szCs w:val="18"/>
        </w:rPr>
        <w:t>Banka nejedná podle této Smlouvy jako portfolio manažer, ani investiční poradce Klienta a z</w:t>
      </w:r>
      <w:r w:rsidRPr="00EE23FC">
        <w:rPr>
          <w:rFonts w:cs="Arial"/>
          <w:szCs w:val="18"/>
        </w:rPr>
        <w:t xml:space="preserve">a </w:t>
      </w:r>
      <w:r w:rsidR="00ED0834" w:rsidRPr="00EE23FC">
        <w:rPr>
          <w:rFonts w:cs="Arial"/>
          <w:szCs w:val="18"/>
        </w:rPr>
        <w:t xml:space="preserve">jakékoliv </w:t>
      </w:r>
      <w:r w:rsidRPr="00EE23FC">
        <w:rPr>
          <w:rFonts w:cs="Arial"/>
          <w:szCs w:val="18"/>
        </w:rPr>
        <w:t xml:space="preserve">investiční rozhodnutí týkající se </w:t>
      </w:r>
      <w:r w:rsidR="00225AEE" w:rsidRPr="00EE23FC">
        <w:rPr>
          <w:rFonts w:cs="Arial"/>
          <w:szCs w:val="18"/>
        </w:rPr>
        <w:t>Spravovaných</w:t>
      </w:r>
      <w:r w:rsidRPr="00EE23FC">
        <w:rPr>
          <w:rFonts w:cs="Arial"/>
          <w:szCs w:val="18"/>
        </w:rPr>
        <w:t xml:space="preserve"> nástrojů je odpovědný Klient.</w:t>
      </w:r>
      <w:r w:rsidR="005D1EA2" w:rsidRPr="00EE23FC">
        <w:rPr>
          <w:rFonts w:cs="Arial"/>
          <w:szCs w:val="18"/>
        </w:rPr>
        <w:t xml:space="preserve"> Banka není povinna udržovat žádné pojištění Spravovaných nástrojů.</w:t>
      </w:r>
    </w:p>
    <w:p w:rsidR="00470435" w:rsidRPr="00EE23FC" w:rsidRDefault="002D6599" w:rsidP="005853A5">
      <w:pPr>
        <w:ind w:left="426" w:hanging="426"/>
        <w:jc w:val="both"/>
        <w:rPr>
          <w:rFonts w:cs="Arial"/>
          <w:szCs w:val="18"/>
        </w:rPr>
      </w:pPr>
      <w:r w:rsidRPr="00EE23FC">
        <w:rPr>
          <w:rFonts w:cs="Arial"/>
          <w:szCs w:val="18"/>
        </w:rPr>
        <w:tab/>
      </w:r>
    </w:p>
    <w:p w:rsidR="002D6599" w:rsidRPr="00EE23FC" w:rsidRDefault="00ED0834" w:rsidP="005853A5">
      <w:pPr>
        <w:ind w:left="426" w:hanging="426"/>
        <w:jc w:val="both"/>
        <w:rPr>
          <w:rFonts w:cs="Arial"/>
          <w:szCs w:val="18"/>
        </w:rPr>
      </w:pPr>
      <w:r w:rsidRPr="00EE23FC">
        <w:rPr>
          <w:rFonts w:cs="Arial"/>
          <w:szCs w:val="18"/>
        </w:rPr>
        <w:t>3.3</w:t>
      </w:r>
      <w:r w:rsidR="00470435" w:rsidRPr="00EE23FC">
        <w:rPr>
          <w:rFonts w:cs="Arial"/>
          <w:szCs w:val="18"/>
        </w:rPr>
        <w:tab/>
      </w:r>
      <w:r w:rsidR="00DB2774" w:rsidRPr="00EE23FC">
        <w:rPr>
          <w:rFonts w:cs="Arial"/>
          <w:szCs w:val="18"/>
        </w:rPr>
        <w:t>V rámci s</w:t>
      </w:r>
      <w:r w:rsidR="002D6599" w:rsidRPr="00EE23FC">
        <w:rPr>
          <w:rFonts w:cs="Arial"/>
          <w:szCs w:val="18"/>
        </w:rPr>
        <w:t>práv</w:t>
      </w:r>
      <w:r w:rsidR="00DB2774" w:rsidRPr="00EE23FC">
        <w:rPr>
          <w:rFonts w:cs="Arial"/>
          <w:szCs w:val="18"/>
        </w:rPr>
        <w:t>y</w:t>
      </w:r>
      <w:r w:rsidR="002D6599" w:rsidRPr="00EE23FC">
        <w:rPr>
          <w:rFonts w:cs="Arial"/>
          <w:szCs w:val="18"/>
        </w:rPr>
        <w:t xml:space="preserve"> </w:t>
      </w:r>
      <w:r w:rsidR="00D17DD6" w:rsidRPr="00EE23FC">
        <w:rPr>
          <w:rFonts w:cs="Arial"/>
          <w:szCs w:val="18"/>
        </w:rPr>
        <w:t xml:space="preserve">Spravovaných </w:t>
      </w:r>
      <w:r w:rsidR="002D6599" w:rsidRPr="00EE23FC">
        <w:rPr>
          <w:rFonts w:cs="Arial"/>
          <w:szCs w:val="18"/>
        </w:rPr>
        <w:t xml:space="preserve">nástrojů </w:t>
      </w:r>
      <w:r w:rsidR="00DB2774" w:rsidRPr="00EE23FC">
        <w:rPr>
          <w:rFonts w:cs="Arial"/>
          <w:szCs w:val="18"/>
        </w:rPr>
        <w:t xml:space="preserve">bude Banka </w:t>
      </w:r>
      <w:r w:rsidR="00B83DA3" w:rsidRPr="00EE23FC">
        <w:rPr>
          <w:rFonts w:cs="Arial"/>
          <w:szCs w:val="18"/>
        </w:rPr>
        <w:t xml:space="preserve">provádět </w:t>
      </w:r>
      <w:r w:rsidR="0066462B" w:rsidRPr="00EE23FC">
        <w:rPr>
          <w:rFonts w:cs="Arial"/>
          <w:szCs w:val="18"/>
        </w:rPr>
        <w:t xml:space="preserve">následující činnosti i </w:t>
      </w:r>
      <w:r w:rsidR="00123036" w:rsidRPr="00EE23FC">
        <w:rPr>
          <w:rFonts w:cs="Arial"/>
          <w:szCs w:val="18"/>
        </w:rPr>
        <w:t>bez pokynu Klienta</w:t>
      </w:r>
      <w:r w:rsidR="002D6599" w:rsidRPr="00EE23FC">
        <w:rPr>
          <w:rFonts w:cs="Arial"/>
          <w:szCs w:val="18"/>
        </w:rPr>
        <w:t>:</w:t>
      </w:r>
    </w:p>
    <w:p w:rsidR="002D6599" w:rsidRPr="00EE23FC" w:rsidRDefault="002D6599" w:rsidP="005853A5">
      <w:pPr>
        <w:tabs>
          <w:tab w:val="left" w:pos="-1170"/>
        </w:tabs>
        <w:ind w:left="709" w:hanging="284"/>
        <w:jc w:val="both"/>
        <w:rPr>
          <w:rFonts w:cs="Arial"/>
          <w:szCs w:val="18"/>
        </w:rPr>
      </w:pPr>
      <w:r w:rsidRPr="00EE23FC">
        <w:rPr>
          <w:rFonts w:cs="Arial"/>
          <w:szCs w:val="18"/>
        </w:rPr>
        <w:t>a)</w:t>
      </w:r>
      <w:r w:rsidR="00446521" w:rsidRPr="00EE23FC">
        <w:rPr>
          <w:rFonts w:cs="Arial"/>
          <w:szCs w:val="18"/>
        </w:rPr>
        <w:tab/>
      </w:r>
      <w:r w:rsidRPr="00EE23FC">
        <w:rPr>
          <w:rFonts w:cs="Arial"/>
          <w:szCs w:val="18"/>
        </w:rPr>
        <w:t>inkaso výnos</w:t>
      </w:r>
      <w:r w:rsidR="00123036" w:rsidRPr="00EE23FC">
        <w:rPr>
          <w:rFonts w:cs="Arial"/>
          <w:szCs w:val="18"/>
        </w:rPr>
        <w:t>ů</w:t>
      </w:r>
      <w:r w:rsidRPr="00EE23FC">
        <w:rPr>
          <w:rFonts w:cs="Arial"/>
          <w:szCs w:val="18"/>
        </w:rPr>
        <w:t xml:space="preserve"> z</w:t>
      </w:r>
      <w:r w:rsidR="00D17DD6" w:rsidRPr="00EE23FC">
        <w:rPr>
          <w:rFonts w:cs="Arial"/>
          <w:szCs w:val="18"/>
        </w:rPr>
        <w:t>e</w:t>
      </w:r>
      <w:r w:rsidRPr="00EE23FC">
        <w:rPr>
          <w:rFonts w:cs="Arial"/>
          <w:szCs w:val="18"/>
        </w:rPr>
        <w:t> </w:t>
      </w:r>
      <w:r w:rsidR="00D17DD6" w:rsidRPr="00EE23FC">
        <w:rPr>
          <w:rFonts w:cs="Arial"/>
          <w:szCs w:val="18"/>
        </w:rPr>
        <w:t xml:space="preserve">Spravovaných </w:t>
      </w:r>
      <w:r w:rsidRPr="00EE23FC">
        <w:rPr>
          <w:rFonts w:cs="Arial"/>
          <w:szCs w:val="18"/>
        </w:rPr>
        <w:t>nástrojů vyplácených jejich emitenty (např. dividendy, úroky);</w:t>
      </w:r>
    </w:p>
    <w:p w:rsidR="00DA1ED0" w:rsidRPr="00EE23FC" w:rsidRDefault="00DB2774" w:rsidP="005853A5">
      <w:pPr>
        <w:tabs>
          <w:tab w:val="left" w:pos="-1170"/>
        </w:tabs>
        <w:ind w:left="709" w:hanging="284"/>
        <w:jc w:val="both"/>
        <w:rPr>
          <w:rFonts w:cs="Arial"/>
          <w:szCs w:val="18"/>
        </w:rPr>
      </w:pPr>
      <w:r w:rsidRPr="00EE23FC">
        <w:rPr>
          <w:rFonts w:cs="Arial"/>
          <w:szCs w:val="18"/>
        </w:rPr>
        <w:t>b)</w:t>
      </w:r>
      <w:r w:rsidRPr="00EE23FC">
        <w:rPr>
          <w:rFonts w:cs="Arial"/>
          <w:szCs w:val="18"/>
        </w:rPr>
        <w:tab/>
      </w:r>
      <w:r w:rsidR="005B05F1" w:rsidRPr="00EE23FC">
        <w:rPr>
          <w:rFonts w:cs="Arial"/>
          <w:szCs w:val="18"/>
        </w:rPr>
        <w:t xml:space="preserve">inkaso </w:t>
      </w:r>
      <w:r w:rsidRPr="00EE23FC">
        <w:rPr>
          <w:rFonts w:cs="Arial"/>
          <w:szCs w:val="18"/>
        </w:rPr>
        <w:t>úhrad jmenovité hodnoty, resp. dalších částek v souvislosti s</w:t>
      </w:r>
      <w:r w:rsidR="00D17DD6" w:rsidRPr="00EE23FC">
        <w:rPr>
          <w:rFonts w:cs="Arial"/>
          <w:szCs w:val="18"/>
        </w:rPr>
        <w:t>e</w:t>
      </w:r>
      <w:r w:rsidRPr="00EE23FC">
        <w:rPr>
          <w:rFonts w:cs="Arial"/>
          <w:szCs w:val="18"/>
        </w:rPr>
        <w:t xml:space="preserve"> </w:t>
      </w:r>
      <w:r w:rsidR="00D17DD6" w:rsidRPr="00EE23FC">
        <w:rPr>
          <w:rFonts w:cs="Arial"/>
          <w:szCs w:val="18"/>
        </w:rPr>
        <w:t xml:space="preserve">Spravovanými </w:t>
      </w:r>
      <w:r w:rsidRPr="00EE23FC">
        <w:rPr>
          <w:rFonts w:cs="Arial"/>
          <w:szCs w:val="18"/>
        </w:rPr>
        <w:t xml:space="preserve">nástroji, ať již v důsledku jejich předčasného splacení (s výjimkou předčasného splacení podle volby Klienta jako vlastníka </w:t>
      </w:r>
      <w:r w:rsidR="00D17DD6" w:rsidRPr="00EE23FC">
        <w:rPr>
          <w:rFonts w:cs="Arial"/>
          <w:szCs w:val="18"/>
        </w:rPr>
        <w:t xml:space="preserve">Spravovaného </w:t>
      </w:r>
      <w:r w:rsidRPr="00EE23FC">
        <w:rPr>
          <w:rFonts w:cs="Arial"/>
          <w:szCs w:val="18"/>
        </w:rPr>
        <w:t>nástroje) nebo řádného splacení, odkupu nebo stanou-li se splatnými jinak</w:t>
      </w:r>
      <w:r w:rsidR="007670F2" w:rsidRPr="00EE23FC">
        <w:rPr>
          <w:rFonts w:cs="Arial"/>
          <w:szCs w:val="18"/>
        </w:rPr>
        <w:t>;</w:t>
      </w:r>
    </w:p>
    <w:p w:rsidR="00A81FAE" w:rsidRPr="00EE23FC" w:rsidRDefault="00DA1ED0" w:rsidP="005853A5">
      <w:pPr>
        <w:tabs>
          <w:tab w:val="left" w:pos="-1170"/>
        </w:tabs>
        <w:ind w:left="709" w:hanging="284"/>
        <w:jc w:val="both"/>
        <w:rPr>
          <w:rFonts w:cs="Arial"/>
          <w:szCs w:val="18"/>
        </w:rPr>
      </w:pPr>
      <w:r w:rsidRPr="00EE23FC">
        <w:rPr>
          <w:rFonts w:cs="Arial"/>
          <w:szCs w:val="18"/>
        </w:rPr>
        <w:t>c)</w:t>
      </w:r>
      <w:r w:rsidRPr="00EE23FC">
        <w:rPr>
          <w:rFonts w:cs="Arial"/>
          <w:szCs w:val="18"/>
        </w:rPr>
        <w:tab/>
        <w:t>přebír</w:t>
      </w:r>
      <w:r w:rsidR="00123036" w:rsidRPr="00EE23FC">
        <w:rPr>
          <w:rFonts w:cs="Arial"/>
          <w:szCs w:val="18"/>
        </w:rPr>
        <w:t xml:space="preserve">ání </w:t>
      </w:r>
      <w:r w:rsidRPr="00EE23FC">
        <w:rPr>
          <w:rFonts w:cs="Arial"/>
          <w:szCs w:val="18"/>
        </w:rPr>
        <w:t xml:space="preserve">a </w:t>
      </w:r>
      <w:r w:rsidR="00A81FAE" w:rsidRPr="00EE23FC">
        <w:rPr>
          <w:rFonts w:cs="Arial"/>
          <w:szCs w:val="18"/>
        </w:rPr>
        <w:t>drže</w:t>
      </w:r>
      <w:r w:rsidR="00123036" w:rsidRPr="00EE23FC">
        <w:rPr>
          <w:rFonts w:cs="Arial"/>
          <w:szCs w:val="18"/>
        </w:rPr>
        <w:t>ní</w:t>
      </w:r>
      <w:r w:rsidR="00A81FAE" w:rsidRPr="00EE23FC">
        <w:rPr>
          <w:rFonts w:cs="Arial"/>
          <w:szCs w:val="18"/>
        </w:rPr>
        <w:t xml:space="preserve"> investiční</w:t>
      </w:r>
      <w:r w:rsidR="00123036" w:rsidRPr="00EE23FC">
        <w:rPr>
          <w:rFonts w:cs="Arial"/>
          <w:szCs w:val="18"/>
        </w:rPr>
        <w:t>ch</w:t>
      </w:r>
      <w:r w:rsidR="00A81FAE" w:rsidRPr="00EE23FC">
        <w:rPr>
          <w:rFonts w:cs="Arial"/>
          <w:szCs w:val="18"/>
        </w:rPr>
        <w:t xml:space="preserve"> nástroj</w:t>
      </w:r>
      <w:r w:rsidR="00123036" w:rsidRPr="00EE23FC">
        <w:rPr>
          <w:rFonts w:cs="Arial"/>
          <w:szCs w:val="18"/>
        </w:rPr>
        <w:t>ů</w:t>
      </w:r>
      <w:r w:rsidR="00A81FAE" w:rsidRPr="00EE23FC">
        <w:rPr>
          <w:rFonts w:cs="Arial"/>
          <w:szCs w:val="18"/>
        </w:rPr>
        <w:t xml:space="preserve">, které obdrží v důsledku výměny nebo rozdělení </w:t>
      </w:r>
      <w:r w:rsidR="003B2995" w:rsidRPr="00EE23FC">
        <w:rPr>
          <w:rFonts w:cs="Arial"/>
          <w:szCs w:val="18"/>
        </w:rPr>
        <w:t xml:space="preserve">Spravovaných </w:t>
      </w:r>
      <w:r w:rsidRPr="00EE23FC">
        <w:rPr>
          <w:rFonts w:cs="Arial"/>
          <w:szCs w:val="18"/>
        </w:rPr>
        <w:t>nástrojů</w:t>
      </w:r>
      <w:r w:rsidR="00A81FAE" w:rsidRPr="00EE23FC">
        <w:rPr>
          <w:rFonts w:cs="Arial"/>
          <w:szCs w:val="18"/>
        </w:rPr>
        <w:t xml:space="preserve">, </w:t>
      </w:r>
      <w:r w:rsidR="00E77ECB" w:rsidRPr="00EE23FC">
        <w:rPr>
          <w:rFonts w:cs="Arial"/>
          <w:szCs w:val="18"/>
        </w:rPr>
        <w:t xml:space="preserve">nebo </w:t>
      </w:r>
      <w:r w:rsidR="00A81FAE" w:rsidRPr="00EE23FC">
        <w:rPr>
          <w:rFonts w:cs="Arial"/>
          <w:szCs w:val="18"/>
        </w:rPr>
        <w:t xml:space="preserve">výplaty </w:t>
      </w:r>
      <w:r w:rsidRPr="00EE23FC">
        <w:rPr>
          <w:rFonts w:cs="Arial"/>
          <w:szCs w:val="18"/>
        </w:rPr>
        <w:t>výnosů ve formě investičních nástrojů</w:t>
      </w:r>
      <w:r w:rsidR="00E77ECB" w:rsidRPr="00EE23FC">
        <w:rPr>
          <w:rFonts w:cs="Arial"/>
          <w:szCs w:val="18"/>
        </w:rPr>
        <w:t>,</w:t>
      </w:r>
      <w:r w:rsidRPr="00EE23FC">
        <w:rPr>
          <w:rFonts w:cs="Arial"/>
          <w:szCs w:val="18"/>
        </w:rPr>
        <w:t xml:space="preserve"> </w:t>
      </w:r>
      <w:r w:rsidR="00A81FAE" w:rsidRPr="00EE23FC">
        <w:rPr>
          <w:rFonts w:cs="Arial"/>
          <w:szCs w:val="18"/>
        </w:rPr>
        <w:t>nebo jinak</w:t>
      </w:r>
      <w:r w:rsidR="00B83DA3" w:rsidRPr="00EE23FC">
        <w:rPr>
          <w:rFonts w:cs="Arial"/>
          <w:szCs w:val="18"/>
        </w:rPr>
        <w:t>.</w:t>
      </w:r>
    </w:p>
    <w:p w:rsidR="0036082D" w:rsidRPr="00EE23FC" w:rsidRDefault="0036082D" w:rsidP="00C139C5">
      <w:pPr>
        <w:tabs>
          <w:tab w:val="left" w:pos="-1170"/>
        </w:tabs>
        <w:ind w:left="426" w:hanging="426"/>
        <w:jc w:val="both"/>
        <w:rPr>
          <w:rFonts w:cs="Arial"/>
          <w:szCs w:val="18"/>
        </w:rPr>
      </w:pPr>
    </w:p>
    <w:p w:rsidR="00B15C6F" w:rsidRPr="00EE23FC" w:rsidRDefault="00B83DA3" w:rsidP="005C1F1D">
      <w:pPr>
        <w:tabs>
          <w:tab w:val="left" w:pos="-1170"/>
        </w:tabs>
        <w:ind w:left="426" w:hanging="426"/>
        <w:jc w:val="both"/>
        <w:rPr>
          <w:rFonts w:cs="Arial"/>
          <w:szCs w:val="18"/>
        </w:rPr>
      </w:pPr>
      <w:r w:rsidRPr="00EE23FC">
        <w:rPr>
          <w:rFonts w:cs="Arial"/>
          <w:szCs w:val="18"/>
        </w:rPr>
        <w:t>3.</w:t>
      </w:r>
      <w:r w:rsidR="00426964" w:rsidRPr="00EE23FC">
        <w:rPr>
          <w:rFonts w:cs="Arial"/>
          <w:szCs w:val="18"/>
        </w:rPr>
        <w:t>4</w:t>
      </w:r>
      <w:r w:rsidRPr="00EE23FC">
        <w:rPr>
          <w:rFonts w:cs="Arial"/>
          <w:szCs w:val="18"/>
        </w:rPr>
        <w:tab/>
      </w:r>
      <w:r w:rsidR="0036082D" w:rsidRPr="00EE23FC">
        <w:rPr>
          <w:rFonts w:cs="Arial"/>
          <w:szCs w:val="18"/>
        </w:rPr>
        <w:t>V případech neuvedených v článku 3.3 bude Banka v</w:t>
      </w:r>
      <w:r w:rsidRPr="00EE23FC">
        <w:rPr>
          <w:rFonts w:cs="Arial"/>
          <w:szCs w:val="18"/>
        </w:rPr>
        <w:t xml:space="preserve"> rámci správy </w:t>
      </w:r>
      <w:r w:rsidR="003B2995" w:rsidRPr="00EE23FC">
        <w:rPr>
          <w:rFonts w:cs="Arial"/>
          <w:szCs w:val="18"/>
        </w:rPr>
        <w:t xml:space="preserve">Spravovaných </w:t>
      </w:r>
      <w:r w:rsidRPr="00EE23FC">
        <w:rPr>
          <w:rFonts w:cs="Arial"/>
          <w:szCs w:val="18"/>
        </w:rPr>
        <w:t xml:space="preserve">nástrojů provádět </w:t>
      </w:r>
      <w:r w:rsidR="0066462B" w:rsidRPr="00EE23FC">
        <w:rPr>
          <w:rFonts w:cs="Arial"/>
          <w:szCs w:val="18"/>
        </w:rPr>
        <w:t xml:space="preserve">činnosti pouze </w:t>
      </w:r>
      <w:r w:rsidR="004D3FF8" w:rsidRPr="00EE23FC">
        <w:rPr>
          <w:rFonts w:cs="Arial"/>
          <w:szCs w:val="18"/>
        </w:rPr>
        <w:t>na základě pokyn</w:t>
      </w:r>
      <w:r w:rsidR="009E6E21" w:rsidRPr="00EE23FC">
        <w:rPr>
          <w:rFonts w:cs="Arial"/>
          <w:szCs w:val="18"/>
        </w:rPr>
        <w:t>ů</w:t>
      </w:r>
      <w:r w:rsidR="004D3FF8" w:rsidRPr="00EE23FC">
        <w:rPr>
          <w:rFonts w:cs="Arial"/>
          <w:szCs w:val="18"/>
        </w:rPr>
        <w:t xml:space="preserve"> Klienta</w:t>
      </w:r>
      <w:r w:rsidR="0036082D" w:rsidRPr="00EE23FC">
        <w:rPr>
          <w:rFonts w:cs="Arial"/>
          <w:szCs w:val="18"/>
        </w:rPr>
        <w:t>.</w:t>
      </w:r>
      <w:r w:rsidR="0036082D" w:rsidRPr="00EE23FC" w:rsidDel="0036082D">
        <w:rPr>
          <w:rFonts w:cs="Arial"/>
          <w:szCs w:val="18"/>
        </w:rPr>
        <w:t xml:space="preserve"> </w:t>
      </w:r>
      <w:r w:rsidR="00F235B7" w:rsidRPr="00EE23FC">
        <w:rPr>
          <w:rFonts w:cs="Arial"/>
          <w:szCs w:val="18"/>
        </w:rPr>
        <w:t xml:space="preserve">Provedení </w:t>
      </w:r>
      <w:r w:rsidR="0036082D" w:rsidRPr="00EE23FC">
        <w:rPr>
          <w:rFonts w:cs="Arial"/>
          <w:szCs w:val="18"/>
        </w:rPr>
        <w:t xml:space="preserve">těchto </w:t>
      </w:r>
      <w:r w:rsidR="00F235B7" w:rsidRPr="00EE23FC">
        <w:rPr>
          <w:rFonts w:cs="Arial"/>
          <w:szCs w:val="18"/>
        </w:rPr>
        <w:t xml:space="preserve">pokynů může Banka podmínit </w:t>
      </w:r>
      <w:r w:rsidR="005D76CD" w:rsidRPr="00EE23FC">
        <w:rPr>
          <w:rFonts w:cs="Arial"/>
          <w:szCs w:val="18"/>
        </w:rPr>
        <w:t>obdržením peněžních prostředků od Klienta potřebných k provedení pokynů nebo odmítnout</w:t>
      </w:r>
      <w:r w:rsidR="00B15C6F" w:rsidRPr="00EE23FC">
        <w:rPr>
          <w:rFonts w:cs="Arial"/>
          <w:szCs w:val="18"/>
        </w:rPr>
        <w:t xml:space="preserve">, pokud by jejich </w:t>
      </w:r>
      <w:r w:rsidR="005D76CD" w:rsidRPr="00EE23FC">
        <w:rPr>
          <w:rFonts w:cs="Arial"/>
          <w:szCs w:val="18"/>
        </w:rPr>
        <w:t xml:space="preserve">provedení </w:t>
      </w:r>
      <w:r w:rsidR="00B15C6F" w:rsidRPr="00EE23FC">
        <w:rPr>
          <w:rFonts w:cs="Arial"/>
          <w:szCs w:val="18"/>
        </w:rPr>
        <w:t>vyústilo ve vznik škody nebo nákladů na straně Banky.</w:t>
      </w:r>
      <w:r w:rsidR="005D76CD" w:rsidRPr="00EE23FC">
        <w:rPr>
          <w:rFonts w:cs="Arial"/>
          <w:szCs w:val="18"/>
        </w:rPr>
        <w:t xml:space="preserve"> Pokud Banka neobdrží pokyn Klienta k </w:t>
      </w:r>
      <w:r w:rsidR="00870D8B" w:rsidRPr="00EE23FC">
        <w:rPr>
          <w:rFonts w:cs="Arial"/>
          <w:szCs w:val="18"/>
        </w:rPr>
        <w:t>činnostem ne</w:t>
      </w:r>
      <w:r w:rsidR="005D76CD" w:rsidRPr="00EE23FC">
        <w:rPr>
          <w:rFonts w:cs="Arial"/>
          <w:szCs w:val="18"/>
        </w:rPr>
        <w:t xml:space="preserve">uvedeným </w:t>
      </w:r>
      <w:r w:rsidR="00870D8B" w:rsidRPr="00EE23FC">
        <w:rPr>
          <w:rFonts w:cs="Arial"/>
          <w:szCs w:val="18"/>
        </w:rPr>
        <w:t xml:space="preserve">v </w:t>
      </w:r>
      <w:r w:rsidR="0036082D" w:rsidRPr="00EE23FC">
        <w:rPr>
          <w:rFonts w:cs="Arial"/>
          <w:szCs w:val="18"/>
        </w:rPr>
        <w:t xml:space="preserve">článku </w:t>
      </w:r>
      <w:r w:rsidR="00870D8B" w:rsidRPr="00EE23FC">
        <w:rPr>
          <w:rFonts w:cs="Arial"/>
          <w:szCs w:val="18"/>
        </w:rPr>
        <w:t>3.3</w:t>
      </w:r>
      <w:r w:rsidR="005D76CD" w:rsidRPr="00EE23FC">
        <w:rPr>
          <w:rFonts w:cs="Arial"/>
          <w:szCs w:val="18"/>
        </w:rPr>
        <w:t>, není Banka povinna k žádnému jednání</w:t>
      </w:r>
      <w:r w:rsidR="00EE7F4E" w:rsidRPr="00EE23FC">
        <w:rPr>
          <w:rFonts w:cs="Arial"/>
          <w:szCs w:val="18"/>
        </w:rPr>
        <w:t xml:space="preserve"> </w:t>
      </w:r>
      <w:r w:rsidR="004D3FF8" w:rsidRPr="00EE23FC">
        <w:rPr>
          <w:rFonts w:cs="Arial"/>
          <w:szCs w:val="18"/>
        </w:rPr>
        <w:t>a</w:t>
      </w:r>
      <w:r w:rsidR="005D76CD" w:rsidRPr="00EE23FC">
        <w:rPr>
          <w:rFonts w:cs="Arial"/>
          <w:szCs w:val="18"/>
        </w:rPr>
        <w:t xml:space="preserve"> příslušná práva mohou zaniknout bez jejich uplatnění.</w:t>
      </w:r>
      <w:r w:rsidR="00B01798">
        <w:rPr>
          <w:rFonts w:cs="Arial"/>
          <w:szCs w:val="18"/>
        </w:rPr>
        <w:t xml:space="preserve"> </w:t>
      </w:r>
    </w:p>
    <w:p w:rsidR="00022860" w:rsidRPr="00EE23FC" w:rsidRDefault="00022860" w:rsidP="005853A5">
      <w:pPr>
        <w:tabs>
          <w:tab w:val="left" w:pos="-1170"/>
        </w:tabs>
        <w:ind w:left="426" w:hanging="426"/>
        <w:jc w:val="both"/>
        <w:rPr>
          <w:rFonts w:cs="Arial"/>
          <w:szCs w:val="18"/>
        </w:rPr>
      </w:pPr>
    </w:p>
    <w:p w:rsidR="00022860" w:rsidRDefault="00022860" w:rsidP="005853A5">
      <w:pPr>
        <w:tabs>
          <w:tab w:val="left" w:pos="-1170"/>
        </w:tabs>
        <w:ind w:left="426" w:hanging="426"/>
        <w:jc w:val="both"/>
      </w:pPr>
      <w:r w:rsidRPr="00EE23FC">
        <w:rPr>
          <w:rFonts w:cs="Arial"/>
          <w:szCs w:val="18"/>
        </w:rPr>
        <w:t>3.</w:t>
      </w:r>
      <w:r w:rsidR="00426964" w:rsidRPr="00EE23FC">
        <w:rPr>
          <w:rFonts w:cs="Arial"/>
          <w:szCs w:val="18"/>
        </w:rPr>
        <w:t>5</w:t>
      </w:r>
      <w:r w:rsidRPr="00EE23FC">
        <w:rPr>
          <w:rFonts w:cs="Arial"/>
          <w:szCs w:val="18"/>
        </w:rPr>
        <w:tab/>
        <w:t xml:space="preserve">Po skončení každého kalendářního </w:t>
      </w:r>
      <w:r w:rsidR="00EB6424" w:rsidRPr="00EE23FC">
        <w:rPr>
          <w:rFonts w:cs="Arial"/>
          <w:szCs w:val="18"/>
        </w:rPr>
        <w:t xml:space="preserve">roku </w:t>
      </w:r>
      <w:r w:rsidRPr="00EE23FC">
        <w:rPr>
          <w:rFonts w:cs="Arial"/>
          <w:szCs w:val="18"/>
        </w:rPr>
        <w:t xml:space="preserve">je Banka povinna Klientovi zaslat zprávu o stavu </w:t>
      </w:r>
      <w:r w:rsidR="003B2995" w:rsidRPr="00EE23FC">
        <w:rPr>
          <w:rFonts w:cs="Arial"/>
          <w:szCs w:val="18"/>
        </w:rPr>
        <w:t xml:space="preserve">Spravovaných </w:t>
      </w:r>
      <w:r w:rsidRPr="00EE23FC">
        <w:rPr>
          <w:rFonts w:cs="Arial"/>
          <w:szCs w:val="18"/>
        </w:rPr>
        <w:t xml:space="preserve">nástrojů, spolu </w:t>
      </w:r>
      <w:r w:rsidR="008020DC" w:rsidRPr="00EE23FC">
        <w:rPr>
          <w:rFonts w:cs="Arial"/>
          <w:szCs w:val="18"/>
        </w:rPr>
        <w:t xml:space="preserve">s </w:t>
      </w:r>
      <w:r w:rsidRPr="00EE23FC">
        <w:rPr>
          <w:rFonts w:cs="Arial"/>
          <w:szCs w:val="18"/>
        </w:rPr>
        <w:t>vyúčtováním nákladů spojených s jejich správou.</w:t>
      </w:r>
      <w:r w:rsidR="00D974DA" w:rsidRPr="00EE23FC">
        <w:rPr>
          <w:rFonts w:cs="Arial"/>
          <w:szCs w:val="18"/>
        </w:rPr>
        <w:t xml:space="preserve"> </w:t>
      </w:r>
      <w:r w:rsidR="00ED043F" w:rsidRPr="00EE23FC">
        <w:rPr>
          <w:rFonts w:cs="Arial"/>
          <w:szCs w:val="18"/>
        </w:rPr>
        <w:t xml:space="preserve">Výpisy z </w:t>
      </w:r>
      <w:r w:rsidR="00D974DA" w:rsidRPr="00EE23FC">
        <w:rPr>
          <w:rFonts w:cs="Arial"/>
          <w:szCs w:val="18"/>
        </w:rPr>
        <w:t xml:space="preserve">Majetkových účtů </w:t>
      </w:r>
      <w:r w:rsidR="00ED043F" w:rsidRPr="00EE23FC">
        <w:rPr>
          <w:rFonts w:cs="Arial"/>
          <w:szCs w:val="18"/>
        </w:rPr>
        <w:t xml:space="preserve">Banka vyhotoví </w:t>
      </w:r>
      <w:r w:rsidR="00D974DA" w:rsidRPr="00EE23FC">
        <w:rPr>
          <w:rFonts w:cs="Arial"/>
          <w:szCs w:val="18"/>
        </w:rPr>
        <w:t>na základě žádosti Klienta.</w:t>
      </w:r>
      <w:r w:rsidR="00B01798">
        <w:rPr>
          <w:rFonts w:cs="Arial"/>
          <w:szCs w:val="18"/>
        </w:rPr>
        <w:t xml:space="preserve"> </w:t>
      </w:r>
    </w:p>
    <w:p w:rsidR="00702821" w:rsidRPr="00EE23FC" w:rsidRDefault="00702821" w:rsidP="005853A5">
      <w:pPr>
        <w:pStyle w:val="Zkladntextodsazen3"/>
        <w:spacing w:after="0"/>
        <w:ind w:left="426" w:hanging="426"/>
        <w:jc w:val="both"/>
        <w:rPr>
          <w:rFonts w:cs="Arial"/>
          <w:sz w:val="18"/>
          <w:szCs w:val="18"/>
          <w:lang w:val="cs-CZ"/>
        </w:rPr>
      </w:pPr>
    </w:p>
    <w:p w:rsidR="00ED5A14" w:rsidRPr="00EE23FC" w:rsidRDefault="00B15C6F" w:rsidP="005853A5">
      <w:pPr>
        <w:overflowPunct w:val="0"/>
        <w:autoSpaceDE w:val="0"/>
        <w:autoSpaceDN w:val="0"/>
        <w:adjustRightInd w:val="0"/>
        <w:ind w:left="426" w:hanging="426"/>
        <w:textAlignment w:val="baseline"/>
        <w:rPr>
          <w:rFonts w:cs="Arial"/>
          <w:szCs w:val="18"/>
          <w:u w:val="single"/>
        </w:rPr>
      </w:pPr>
      <w:r w:rsidRPr="00EE23FC">
        <w:rPr>
          <w:rFonts w:cs="Arial"/>
          <w:szCs w:val="18"/>
        </w:rPr>
        <w:t>4</w:t>
      </w:r>
      <w:r w:rsidR="003B5E07" w:rsidRPr="00EE23FC">
        <w:rPr>
          <w:rFonts w:cs="Arial"/>
          <w:szCs w:val="18"/>
        </w:rPr>
        <w:t>.</w:t>
      </w:r>
      <w:r w:rsidR="00702821" w:rsidRPr="00EE23FC">
        <w:rPr>
          <w:rFonts w:cs="Arial"/>
          <w:szCs w:val="18"/>
        </w:rPr>
        <w:tab/>
      </w:r>
      <w:r w:rsidR="0059357E" w:rsidRPr="00EE23FC">
        <w:rPr>
          <w:rFonts w:cs="Arial"/>
          <w:szCs w:val="18"/>
          <w:u w:val="single"/>
        </w:rPr>
        <w:t>Vypořádání obchodů a p</w:t>
      </w:r>
      <w:r w:rsidR="00470435" w:rsidRPr="00EE23FC">
        <w:rPr>
          <w:rFonts w:cs="Arial"/>
          <w:szCs w:val="18"/>
          <w:u w:val="single"/>
        </w:rPr>
        <w:t xml:space="preserve">řevody investičních nástrojů </w:t>
      </w:r>
    </w:p>
    <w:p w:rsidR="00470435" w:rsidRPr="00EE23FC" w:rsidRDefault="00470435" w:rsidP="005853A5">
      <w:pPr>
        <w:overflowPunct w:val="0"/>
        <w:autoSpaceDE w:val="0"/>
        <w:autoSpaceDN w:val="0"/>
        <w:adjustRightInd w:val="0"/>
        <w:ind w:left="426" w:hanging="426"/>
        <w:textAlignment w:val="baseline"/>
        <w:rPr>
          <w:rFonts w:cs="Arial"/>
          <w:szCs w:val="18"/>
        </w:rPr>
      </w:pPr>
    </w:p>
    <w:p w:rsidR="00F62ABD" w:rsidRPr="00EE23FC" w:rsidRDefault="00B15C6F" w:rsidP="0021310B">
      <w:pPr>
        <w:pStyle w:val="Zkladntextodsazen3"/>
        <w:spacing w:after="0"/>
        <w:ind w:left="426" w:hanging="426"/>
        <w:jc w:val="both"/>
        <w:rPr>
          <w:rFonts w:cs="Arial"/>
          <w:sz w:val="18"/>
          <w:szCs w:val="18"/>
          <w:lang w:val="cs-CZ"/>
        </w:rPr>
      </w:pPr>
      <w:r w:rsidRPr="00EE23FC">
        <w:rPr>
          <w:rFonts w:cs="Arial"/>
          <w:sz w:val="18"/>
          <w:szCs w:val="18"/>
          <w:lang w:val="cs-CZ"/>
        </w:rPr>
        <w:t>4</w:t>
      </w:r>
      <w:r w:rsidR="00A178EB" w:rsidRPr="00EE23FC">
        <w:rPr>
          <w:rFonts w:cs="Arial"/>
          <w:sz w:val="18"/>
          <w:szCs w:val="18"/>
          <w:lang w:val="cs-CZ"/>
        </w:rPr>
        <w:t>.1</w:t>
      </w:r>
      <w:r w:rsidR="00A178EB" w:rsidRPr="00EE23FC">
        <w:rPr>
          <w:rFonts w:cs="Arial"/>
          <w:sz w:val="18"/>
          <w:szCs w:val="18"/>
          <w:lang w:val="cs-CZ"/>
        </w:rPr>
        <w:tab/>
      </w:r>
      <w:r w:rsidR="00280692" w:rsidRPr="00EE23FC">
        <w:rPr>
          <w:rFonts w:cs="Arial"/>
          <w:sz w:val="18"/>
          <w:szCs w:val="18"/>
          <w:lang w:val="cs-CZ"/>
        </w:rPr>
        <w:t>Ve vztahu k Majetkovým účtům a Účt</w:t>
      </w:r>
      <w:r w:rsidR="0066462B" w:rsidRPr="00EE23FC">
        <w:rPr>
          <w:rFonts w:cs="Arial"/>
          <w:sz w:val="18"/>
          <w:szCs w:val="18"/>
          <w:lang w:val="cs-CZ"/>
        </w:rPr>
        <w:t>ů</w:t>
      </w:r>
      <w:r w:rsidR="00280692" w:rsidRPr="00EE23FC">
        <w:rPr>
          <w:rFonts w:cs="Arial"/>
          <w:sz w:val="18"/>
          <w:szCs w:val="18"/>
          <w:lang w:val="cs-CZ"/>
        </w:rPr>
        <w:t xml:space="preserve">m v CDCP může </w:t>
      </w:r>
      <w:r w:rsidR="00AD60F0" w:rsidRPr="00EE23FC">
        <w:rPr>
          <w:rFonts w:cs="Arial"/>
          <w:sz w:val="18"/>
          <w:szCs w:val="18"/>
          <w:lang w:val="cs-CZ"/>
        </w:rPr>
        <w:t xml:space="preserve">Klient Bance zadávat </w:t>
      </w:r>
      <w:r w:rsidR="00ED26B1" w:rsidRPr="00EE23FC">
        <w:rPr>
          <w:rFonts w:cs="Arial"/>
          <w:sz w:val="18"/>
          <w:szCs w:val="18"/>
          <w:lang w:val="cs-CZ"/>
        </w:rPr>
        <w:t>instrukce</w:t>
      </w:r>
      <w:r w:rsidR="00F72A21" w:rsidRPr="00EE23FC">
        <w:rPr>
          <w:rFonts w:cs="Arial"/>
          <w:sz w:val="18"/>
          <w:szCs w:val="18"/>
          <w:lang w:val="cs-CZ"/>
        </w:rPr>
        <w:t xml:space="preserve"> </w:t>
      </w:r>
      <w:r w:rsidR="00AD60F0" w:rsidRPr="00EE23FC">
        <w:rPr>
          <w:rFonts w:cs="Arial"/>
          <w:sz w:val="18"/>
          <w:szCs w:val="18"/>
          <w:lang w:val="cs-CZ"/>
        </w:rPr>
        <w:t>k</w:t>
      </w:r>
      <w:r w:rsidR="00F62ABD" w:rsidRPr="00EE23FC">
        <w:rPr>
          <w:rFonts w:cs="Arial"/>
          <w:sz w:val="18"/>
          <w:szCs w:val="18"/>
          <w:lang w:val="cs-CZ"/>
        </w:rPr>
        <w:t>:</w:t>
      </w:r>
    </w:p>
    <w:p w:rsidR="00F62ABD" w:rsidRPr="00EE23FC" w:rsidRDefault="002A7E48" w:rsidP="002A7E48">
      <w:pPr>
        <w:tabs>
          <w:tab w:val="left" w:pos="-1170"/>
        </w:tabs>
        <w:ind w:left="709" w:hanging="284"/>
        <w:jc w:val="both"/>
        <w:rPr>
          <w:rFonts w:cs="Arial"/>
          <w:szCs w:val="18"/>
        </w:rPr>
      </w:pPr>
      <w:r w:rsidRPr="00EE23FC">
        <w:rPr>
          <w:rFonts w:cs="Arial"/>
          <w:szCs w:val="18"/>
        </w:rPr>
        <w:t>a)</w:t>
      </w:r>
      <w:r w:rsidRPr="00EE23FC">
        <w:rPr>
          <w:rFonts w:cs="Arial"/>
          <w:szCs w:val="18"/>
        </w:rPr>
        <w:tab/>
      </w:r>
      <w:r w:rsidR="001F51DB" w:rsidRPr="00EE23FC">
        <w:rPr>
          <w:rFonts w:cs="Arial"/>
          <w:szCs w:val="18"/>
        </w:rPr>
        <w:t>obstaráv</w:t>
      </w:r>
      <w:r w:rsidR="00AD60F0" w:rsidRPr="00EE23FC">
        <w:rPr>
          <w:rFonts w:cs="Arial"/>
          <w:szCs w:val="18"/>
        </w:rPr>
        <w:t>ání</w:t>
      </w:r>
      <w:r w:rsidR="001F51DB" w:rsidRPr="00EE23FC">
        <w:rPr>
          <w:rFonts w:cs="Arial"/>
          <w:szCs w:val="18"/>
        </w:rPr>
        <w:t xml:space="preserve"> </w:t>
      </w:r>
      <w:r w:rsidR="001957B5" w:rsidRPr="00EE23FC">
        <w:rPr>
          <w:rFonts w:cs="Arial"/>
          <w:szCs w:val="18"/>
        </w:rPr>
        <w:t>vypořádávání obchodů Klienta s</w:t>
      </w:r>
      <w:r w:rsidR="00AC0946" w:rsidRPr="00EE23FC">
        <w:rPr>
          <w:rFonts w:cs="Arial"/>
          <w:szCs w:val="18"/>
        </w:rPr>
        <w:t xml:space="preserve"> investičními </w:t>
      </w:r>
      <w:r w:rsidR="001957B5" w:rsidRPr="00EE23FC">
        <w:rPr>
          <w:rFonts w:cs="Arial"/>
          <w:szCs w:val="18"/>
        </w:rPr>
        <w:t>nástroji</w:t>
      </w:r>
      <w:r w:rsidR="00AD60F0" w:rsidRPr="00EE23FC">
        <w:rPr>
          <w:rFonts w:cs="Arial"/>
          <w:szCs w:val="18"/>
        </w:rPr>
        <w:t>,</w:t>
      </w:r>
      <w:r w:rsidR="00BD4C25" w:rsidRPr="00EE23FC">
        <w:rPr>
          <w:rFonts w:cs="Arial"/>
          <w:szCs w:val="18"/>
        </w:rPr>
        <w:t xml:space="preserve"> </w:t>
      </w:r>
      <w:r w:rsidR="00AD60F0" w:rsidRPr="00EE23FC">
        <w:rPr>
          <w:rFonts w:cs="Arial"/>
          <w:szCs w:val="18"/>
        </w:rPr>
        <w:t>nebo</w:t>
      </w:r>
    </w:p>
    <w:p w:rsidR="00CE23B6" w:rsidRPr="00EE23FC" w:rsidRDefault="002A7E48" w:rsidP="002A7E48">
      <w:pPr>
        <w:tabs>
          <w:tab w:val="left" w:pos="-1170"/>
        </w:tabs>
        <w:ind w:left="709" w:hanging="284"/>
        <w:jc w:val="both"/>
        <w:rPr>
          <w:rFonts w:cs="Arial"/>
          <w:szCs w:val="18"/>
        </w:rPr>
      </w:pPr>
      <w:r w:rsidRPr="00EE23FC">
        <w:rPr>
          <w:rFonts w:cs="Arial"/>
          <w:szCs w:val="18"/>
        </w:rPr>
        <w:t>b)</w:t>
      </w:r>
      <w:r w:rsidRPr="00EE23FC">
        <w:rPr>
          <w:rFonts w:cs="Arial"/>
          <w:szCs w:val="18"/>
        </w:rPr>
        <w:tab/>
      </w:r>
      <w:r w:rsidR="00AD60F0" w:rsidRPr="00EE23FC">
        <w:rPr>
          <w:rFonts w:cs="Arial"/>
          <w:szCs w:val="18"/>
        </w:rPr>
        <w:t xml:space="preserve">provádění </w:t>
      </w:r>
      <w:r w:rsidR="00EB5952" w:rsidRPr="00EE23FC">
        <w:rPr>
          <w:rFonts w:cs="Arial"/>
          <w:szCs w:val="18"/>
        </w:rPr>
        <w:t xml:space="preserve">nebo obstarávání </w:t>
      </w:r>
      <w:r w:rsidR="00BD4C25" w:rsidRPr="00EE23FC">
        <w:rPr>
          <w:rFonts w:cs="Arial"/>
          <w:szCs w:val="18"/>
        </w:rPr>
        <w:t>převod</w:t>
      </w:r>
      <w:r w:rsidR="00AD60F0" w:rsidRPr="00EE23FC">
        <w:rPr>
          <w:rFonts w:cs="Arial"/>
          <w:szCs w:val="18"/>
        </w:rPr>
        <w:t>ů</w:t>
      </w:r>
      <w:r w:rsidR="00BD4C25" w:rsidRPr="00EE23FC">
        <w:rPr>
          <w:rFonts w:cs="Arial"/>
          <w:szCs w:val="18"/>
        </w:rPr>
        <w:t xml:space="preserve"> </w:t>
      </w:r>
      <w:r w:rsidR="00AD60F0" w:rsidRPr="00EE23FC">
        <w:rPr>
          <w:rFonts w:cs="Arial"/>
          <w:szCs w:val="18"/>
        </w:rPr>
        <w:t>investičních nástrojů</w:t>
      </w:r>
      <w:r w:rsidR="00E12709" w:rsidRPr="00EE23FC">
        <w:rPr>
          <w:rFonts w:cs="Arial"/>
          <w:szCs w:val="18"/>
        </w:rPr>
        <w:t xml:space="preserve"> </w:t>
      </w:r>
    </w:p>
    <w:p w:rsidR="00F62ABD" w:rsidRPr="00EE23FC" w:rsidRDefault="00E12709" w:rsidP="002A7E48">
      <w:pPr>
        <w:tabs>
          <w:tab w:val="left" w:pos="-1170"/>
        </w:tabs>
        <w:ind w:left="709" w:hanging="284"/>
        <w:jc w:val="both"/>
        <w:rPr>
          <w:rFonts w:cs="Arial"/>
          <w:szCs w:val="18"/>
        </w:rPr>
      </w:pPr>
      <w:r w:rsidRPr="00EE23FC">
        <w:rPr>
          <w:rFonts w:cs="Arial"/>
          <w:szCs w:val="18"/>
        </w:rPr>
        <w:t>(dále jen „Instrukce“).</w:t>
      </w:r>
    </w:p>
    <w:p w:rsidR="001F51DB" w:rsidRPr="00EE23FC" w:rsidRDefault="001957B5" w:rsidP="00F62ABD">
      <w:pPr>
        <w:pStyle w:val="Zkladntextodsazen3"/>
        <w:spacing w:after="0"/>
        <w:ind w:left="426"/>
        <w:jc w:val="both"/>
        <w:rPr>
          <w:rFonts w:cs="Arial"/>
          <w:sz w:val="18"/>
          <w:szCs w:val="18"/>
          <w:lang w:val="cs-CZ"/>
        </w:rPr>
      </w:pPr>
      <w:r w:rsidRPr="00EE23FC">
        <w:rPr>
          <w:rFonts w:cs="Arial"/>
          <w:sz w:val="18"/>
          <w:szCs w:val="18"/>
          <w:lang w:val="cs-CZ"/>
        </w:rPr>
        <w:t>Vypořádáním obchodu se rozumí připsání nebo odepsání investičních nástrojů na nebo z </w:t>
      </w:r>
      <w:r w:rsidR="00147C61" w:rsidRPr="00EE23FC">
        <w:rPr>
          <w:rFonts w:cs="Arial"/>
          <w:sz w:val="18"/>
          <w:szCs w:val="18"/>
          <w:lang w:val="cs-CZ"/>
        </w:rPr>
        <w:t>M</w:t>
      </w:r>
      <w:r w:rsidRPr="00EE23FC">
        <w:rPr>
          <w:rFonts w:cs="Arial"/>
          <w:sz w:val="18"/>
          <w:szCs w:val="18"/>
          <w:lang w:val="cs-CZ"/>
        </w:rPr>
        <w:t xml:space="preserve">ajetkových účtů </w:t>
      </w:r>
      <w:r w:rsidR="008C08C6" w:rsidRPr="00EE23FC">
        <w:rPr>
          <w:rFonts w:cs="Arial"/>
          <w:sz w:val="18"/>
          <w:szCs w:val="18"/>
          <w:lang w:val="cs-CZ"/>
        </w:rPr>
        <w:t xml:space="preserve">nebo Účtů v CDCP </w:t>
      </w:r>
      <w:r w:rsidR="00147C61" w:rsidRPr="00EE23FC">
        <w:rPr>
          <w:rFonts w:cs="Arial"/>
          <w:sz w:val="18"/>
          <w:szCs w:val="18"/>
          <w:lang w:val="cs-CZ"/>
        </w:rPr>
        <w:t xml:space="preserve">a </w:t>
      </w:r>
      <w:r w:rsidR="00A178EB" w:rsidRPr="00EE23FC">
        <w:rPr>
          <w:rFonts w:cs="Arial"/>
          <w:sz w:val="18"/>
          <w:szCs w:val="18"/>
          <w:lang w:val="cs-CZ"/>
        </w:rPr>
        <w:t xml:space="preserve">současné </w:t>
      </w:r>
      <w:r w:rsidR="00147C61" w:rsidRPr="00EE23FC">
        <w:rPr>
          <w:rFonts w:cs="Arial"/>
          <w:sz w:val="18"/>
          <w:szCs w:val="18"/>
          <w:lang w:val="cs-CZ"/>
        </w:rPr>
        <w:t xml:space="preserve">odepsání nebo připsání peněžních prostředků z nebo na </w:t>
      </w:r>
      <w:r w:rsidR="002A7E48" w:rsidRPr="00EE23FC">
        <w:rPr>
          <w:rFonts w:cs="Arial"/>
          <w:sz w:val="18"/>
          <w:szCs w:val="18"/>
          <w:lang w:val="cs-CZ"/>
        </w:rPr>
        <w:t xml:space="preserve">Peněžní </w:t>
      </w:r>
      <w:r w:rsidR="00147C61" w:rsidRPr="00EE23FC">
        <w:rPr>
          <w:rFonts w:cs="Arial"/>
          <w:sz w:val="18"/>
          <w:szCs w:val="18"/>
          <w:lang w:val="cs-CZ"/>
        </w:rPr>
        <w:t>účet.</w:t>
      </w:r>
      <w:r w:rsidR="00DF76E1" w:rsidRPr="00EE23FC">
        <w:rPr>
          <w:rFonts w:cs="Arial"/>
          <w:sz w:val="18"/>
          <w:szCs w:val="18"/>
          <w:lang w:val="cs-CZ"/>
        </w:rPr>
        <w:t xml:space="preserve"> Banka je oprávněna dát osobě vedoucí příslušnou evidenci investičních nástrojů příkaz k registraci pozastavení výkonu práva nakládat s</w:t>
      </w:r>
      <w:r w:rsidR="00FB64EE" w:rsidRPr="00EE23FC">
        <w:rPr>
          <w:rFonts w:cs="Arial"/>
          <w:sz w:val="18"/>
          <w:szCs w:val="18"/>
          <w:lang w:val="cs-CZ"/>
        </w:rPr>
        <w:t xml:space="preserve"> investičními nástroji </w:t>
      </w:r>
      <w:r w:rsidR="00DF76E1" w:rsidRPr="00EE23FC">
        <w:rPr>
          <w:rFonts w:cs="Arial"/>
          <w:sz w:val="18"/>
          <w:szCs w:val="18"/>
          <w:lang w:val="cs-CZ"/>
        </w:rPr>
        <w:t xml:space="preserve">Klienta, které jsou předmětem </w:t>
      </w:r>
      <w:r w:rsidR="00ED26B1" w:rsidRPr="00EE23FC">
        <w:rPr>
          <w:rFonts w:cs="Arial"/>
          <w:sz w:val="18"/>
          <w:szCs w:val="18"/>
          <w:lang w:val="cs-CZ"/>
        </w:rPr>
        <w:t>Instrukce</w:t>
      </w:r>
      <w:r w:rsidR="00DF76E1" w:rsidRPr="00EE23FC">
        <w:rPr>
          <w:rFonts w:cs="Arial"/>
          <w:sz w:val="18"/>
          <w:szCs w:val="18"/>
          <w:lang w:val="cs-CZ"/>
        </w:rPr>
        <w:t>.</w:t>
      </w:r>
    </w:p>
    <w:p w:rsidR="00A178EB" w:rsidRPr="00EE23FC" w:rsidRDefault="00A178EB" w:rsidP="005853A5">
      <w:pPr>
        <w:pStyle w:val="Zkladntextodsazen3"/>
        <w:spacing w:after="0"/>
        <w:ind w:left="426" w:hanging="426"/>
        <w:jc w:val="both"/>
        <w:rPr>
          <w:rFonts w:cs="Arial"/>
          <w:sz w:val="18"/>
          <w:szCs w:val="18"/>
          <w:lang w:val="cs-CZ"/>
        </w:rPr>
      </w:pPr>
    </w:p>
    <w:p w:rsidR="00A178EB" w:rsidRPr="00EE23FC" w:rsidRDefault="00EE7F4E" w:rsidP="005853A5">
      <w:pPr>
        <w:pStyle w:val="Zkladntextodsazen3"/>
        <w:spacing w:after="0"/>
        <w:ind w:left="426" w:hanging="426"/>
        <w:jc w:val="both"/>
        <w:rPr>
          <w:rFonts w:cs="Arial"/>
          <w:sz w:val="18"/>
          <w:szCs w:val="18"/>
          <w:lang w:val="cs-CZ"/>
        </w:rPr>
      </w:pPr>
      <w:r w:rsidRPr="00EE23FC">
        <w:rPr>
          <w:rFonts w:cs="Arial"/>
          <w:sz w:val="18"/>
          <w:szCs w:val="18"/>
          <w:lang w:val="cs-CZ"/>
        </w:rPr>
        <w:t>4</w:t>
      </w:r>
      <w:r w:rsidR="00A178EB" w:rsidRPr="00EE23FC">
        <w:rPr>
          <w:rFonts w:cs="Arial"/>
          <w:sz w:val="18"/>
          <w:szCs w:val="18"/>
          <w:lang w:val="cs-CZ"/>
        </w:rPr>
        <w:t>.2</w:t>
      </w:r>
      <w:r w:rsidR="00A178EB" w:rsidRPr="00EE23FC">
        <w:rPr>
          <w:rFonts w:cs="Arial"/>
          <w:sz w:val="18"/>
          <w:szCs w:val="18"/>
          <w:lang w:val="cs-CZ"/>
        </w:rPr>
        <w:tab/>
      </w:r>
      <w:r w:rsidR="00ED26B1" w:rsidRPr="00EE23FC">
        <w:rPr>
          <w:rFonts w:cs="Arial"/>
          <w:sz w:val="18"/>
          <w:szCs w:val="18"/>
          <w:lang w:val="cs-CZ"/>
        </w:rPr>
        <w:t xml:space="preserve">Instrukci </w:t>
      </w:r>
      <w:r w:rsidR="00A178EB" w:rsidRPr="00EE23FC">
        <w:rPr>
          <w:rFonts w:cs="Arial"/>
          <w:sz w:val="18"/>
          <w:szCs w:val="18"/>
          <w:lang w:val="cs-CZ"/>
        </w:rPr>
        <w:t>může Klient zadat na formulář</w:t>
      </w:r>
      <w:r w:rsidR="00AD60F0" w:rsidRPr="00EE23FC">
        <w:rPr>
          <w:rFonts w:cs="Arial"/>
          <w:sz w:val="18"/>
          <w:szCs w:val="18"/>
          <w:lang w:val="cs-CZ"/>
        </w:rPr>
        <w:t>ích</w:t>
      </w:r>
      <w:r w:rsidR="00A178EB" w:rsidRPr="00EE23FC">
        <w:rPr>
          <w:rFonts w:cs="Arial"/>
          <w:sz w:val="18"/>
          <w:szCs w:val="18"/>
          <w:lang w:val="cs-CZ"/>
        </w:rPr>
        <w:t xml:space="preserve"> Banky. </w:t>
      </w:r>
      <w:r w:rsidR="00ED26B1" w:rsidRPr="00EE23FC">
        <w:rPr>
          <w:rFonts w:cs="Arial"/>
          <w:sz w:val="18"/>
          <w:szCs w:val="18"/>
          <w:lang w:val="cs-CZ"/>
        </w:rPr>
        <w:t xml:space="preserve">Instrukce </w:t>
      </w:r>
      <w:r w:rsidR="00A178EB" w:rsidRPr="00EE23FC">
        <w:rPr>
          <w:rFonts w:cs="Arial"/>
          <w:sz w:val="18"/>
          <w:szCs w:val="18"/>
          <w:lang w:val="cs-CZ"/>
        </w:rPr>
        <w:t>musí být za Klienta podepsán</w:t>
      </w:r>
      <w:r w:rsidR="00E74EB9" w:rsidRPr="00EE23FC">
        <w:rPr>
          <w:rFonts w:cs="Arial"/>
          <w:sz w:val="18"/>
          <w:szCs w:val="18"/>
          <w:lang w:val="cs-CZ"/>
        </w:rPr>
        <w:t>a</w:t>
      </w:r>
      <w:r w:rsidR="00A178EB" w:rsidRPr="00EE23FC">
        <w:rPr>
          <w:rFonts w:cs="Arial"/>
          <w:sz w:val="18"/>
          <w:szCs w:val="18"/>
          <w:lang w:val="cs-CZ"/>
        </w:rPr>
        <w:t xml:space="preserve"> oprávněnou osobou a podpis oprávněné osoby na </w:t>
      </w:r>
      <w:r w:rsidR="00ED26B1" w:rsidRPr="00EE23FC">
        <w:rPr>
          <w:rFonts w:cs="Arial"/>
          <w:sz w:val="18"/>
          <w:szCs w:val="18"/>
          <w:lang w:val="cs-CZ"/>
        </w:rPr>
        <w:t xml:space="preserve">Instrukci </w:t>
      </w:r>
      <w:r w:rsidR="00A178EB" w:rsidRPr="00EE23FC">
        <w:rPr>
          <w:rFonts w:cs="Arial"/>
          <w:sz w:val="18"/>
          <w:szCs w:val="18"/>
          <w:lang w:val="cs-CZ"/>
        </w:rPr>
        <w:t xml:space="preserve">musí odpovídat vzorovému podpisu </w:t>
      </w:r>
      <w:r w:rsidR="00843E19" w:rsidRPr="00EE23FC">
        <w:rPr>
          <w:rFonts w:cs="Arial"/>
          <w:sz w:val="18"/>
          <w:szCs w:val="18"/>
          <w:lang w:val="cs-CZ"/>
        </w:rPr>
        <w:t>oprávněné osoby, který Bance předal Klient</w:t>
      </w:r>
      <w:r w:rsidR="0005370D" w:rsidRPr="00EE23FC">
        <w:rPr>
          <w:rFonts w:cs="Arial"/>
          <w:sz w:val="18"/>
          <w:szCs w:val="18"/>
          <w:lang w:val="cs-CZ"/>
        </w:rPr>
        <w:t xml:space="preserve"> na formuláři Banky</w:t>
      </w:r>
      <w:r w:rsidR="00843E19" w:rsidRPr="00EE23FC">
        <w:rPr>
          <w:rFonts w:cs="Arial"/>
          <w:sz w:val="18"/>
          <w:szCs w:val="18"/>
          <w:lang w:val="cs-CZ"/>
        </w:rPr>
        <w:t xml:space="preserve">. Kontaktní údaje Banky pro přijímání </w:t>
      </w:r>
      <w:r w:rsidR="00ED26B1" w:rsidRPr="00EE23FC">
        <w:rPr>
          <w:rFonts w:cs="Arial"/>
          <w:sz w:val="18"/>
          <w:szCs w:val="18"/>
          <w:lang w:val="cs-CZ"/>
        </w:rPr>
        <w:t xml:space="preserve">Instrukcí </w:t>
      </w:r>
      <w:r w:rsidR="007C6C94" w:rsidRPr="00EE23FC">
        <w:rPr>
          <w:rFonts w:cs="Arial"/>
          <w:sz w:val="18"/>
          <w:szCs w:val="18"/>
          <w:lang w:val="cs-CZ"/>
        </w:rPr>
        <w:t xml:space="preserve">a lhůty pro přijímání a provádění </w:t>
      </w:r>
      <w:r w:rsidR="00ED26B1" w:rsidRPr="00EE23FC">
        <w:rPr>
          <w:rFonts w:cs="Arial"/>
          <w:sz w:val="18"/>
          <w:szCs w:val="18"/>
          <w:lang w:val="cs-CZ"/>
        </w:rPr>
        <w:t xml:space="preserve">Instrukcí </w:t>
      </w:r>
      <w:r w:rsidR="007C6C94" w:rsidRPr="00EE23FC">
        <w:rPr>
          <w:rFonts w:cs="Arial"/>
          <w:sz w:val="18"/>
          <w:szCs w:val="18"/>
          <w:lang w:val="cs-CZ"/>
        </w:rPr>
        <w:t xml:space="preserve">Bankou </w:t>
      </w:r>
      <w:r w:rsidR="00843E19" w:rsidRPr="00EE23FC">
        <w:rPr>
          <w:rFonts w:cs="Arial"/>
          <w:sz w:val="18"/>
          <w:szCs w:val="18"/>
          <w:lang w:val="cs-CZ"/>
        </w:rPr>
        <w:t>jsou uvedeny v informac</w:t>
      </w:r>
      <w:r w:rsidR="00E74EB9" w:rsidRPr="00EE23FC">
        <w:rPr>
          <w:rFonts w:cs="Arial"/>
          <w:sz w:val="18"/>
          <w:szCs w:val="18"/>
          <w:lang w:val="cs-CZ"/>
        </w:rPr>
        <w:t>i</w:t>
      </w:r>
      <w:r w:rsidR="00843E19" w:rsidRPr="00EE23FC">
        <w:rPr>
          <w:rFonts w:cs="Arial"/>
          <w:sz w:val="18"/>
          <w:szCs w:val="18"/>
          <w:lang w:val="cs-CZ"/>
        </w:rPr>
        <w:t xml:space="preserve"> Banky k</w:t>
      </w:r>
      <w:r w:rsidR="00E74EB9" w:rsidRPr="00EE23FC">
        <w:rPr>
          <w:rFonts w:cs="Arial"/>
          <w:sz w:val="18"/>
          <w:szCs w:val="18"/>
          <w:lang w:val="cs-CZ"/>
        </w:rPr>
        <w:t xml:space="preserve"> službám </w:t>
      </w:r>
      <w:r w:rsidR="00843E19" w:rsidRPr="00EE23FC">
        <w:rPr>
          <w:rFonts w:cs="Arial"/>
          <w:sz w:val="18"/>
          <w:szCs w:val="18"/>
          <w:lang w:val="cs-CZ"/>
        </w:rPr>
        <w:t>úschov</w:t>
      </w:r>
      <w:r w:rsidR="00E74EB9" w:rsidRPr="00EE23FC">
        <w:rPr>
          <w:rFonts w:cs="Arial"/>
          <w:sz w:val="18"/>
          <w:szCs w:val="18"/>
          <w:lang w:val="cs-CZ"/>
        </w:rPr>
        <w:t>y</w:t>
      </w:r>
      <w:r w:rsidR="00843E19" w:rsidRPr="00EE23FC">
        <w:rPr>
          <w:rFonts w:cs="Arial"/>
          <w:sz w:val="18"/>
          <w:szCs w:val="18"/>
          <w:lang w:val="cs-CZ"/>
        </w:rPr>
        <w:t xml:space="preserve"> a správ</w:t>
      </w:r>
      <w:r w:rsidR="00E74EB9" w:rsidRPr="00EE23FC">
        <w:rPr>
          <w:rFonts w:cs="Arial"/>
          <w:sz w:val="18"/>
          <w:szCs w:val="18"/>
          <w:lang w:val="cs-CZ"/>
        </w:rPr>
        <w:t>y</w:t>
      </w:r>
      <w:r w:rsidR="00843E19" w:rsidRPr="00EE23FC">
        <w:rPr>
          <w:rFonts w:cs="Arial"/>
          <w:sz w:val="18"/>
          <w:szCs w:val="18"/>
          <w:lang w:val="cs-CZ"/>
        </w:rPr>
        <w:t xml:space="preserve"> investičních nástrojů, které Banka předala Klientovi.</w:t>
      </w:r>
      <w:r w:rsidR="00116806" w:rsidRPr="00EE23FC">
        <w:rPr>
          <w:rFonts w:cs="Arial"/>
          <w:sz w:val="18"/>
          <w:szCs w:val="18"/>
          <w:lang w:val="cs-CZ"/>
        </w:rPr>
        <w:t xml:space="preserve"> </w:t>
      </w:r>
      <w:r w:rsidR="00A178EB" w:rsidRPr="00EE23FC">
        <w:rPr>
          <w:rFonts w:cs="Arial"/>
          <w:sz w:val="18"/>
          <w:szCs w:val="18"/>
          <w:lang w:val="cs-CZ"/>
        </w:rPr>
        <w:t xml:space="preserve">Klient může </w:t>
      </w:r>
      <w:r w:rsidR="00ED26B1" w:rsidRPr="00EE23FC">
        <w:rPr>
          <w:rFonts w:cs="Arial"/>
          <w:sz w:val="18"/>
          <w:szCs w:val="18"/>
          <w:lang w:val="cs-CZ"/>
        </w:rPr>
        <w:t xml:space="preserve">Instrukci </w:t>
      </w:r>
      <w:r w:rsidR="00A178EB" w:rsidRPr="00EE23FC">
        <w:rPr>
          <w:rFonts w:cs="Arial"/>
          <w:sz w:val="18"/>
          <w:szCs w:val="18"/>
          <w:lang w:val="cs-CZ"/>
        </w:rPr>
        <w:t>doručen</w:t>
      </w:r>
      <w:r w:rsidR="00ED26B1" w:rsidRPr="00EE23FC">
        <w:rPr>
          <w:rFonts w:cs="Arial"/>
          <w:sz w:val="18"/>
          <w:szCs w:val="18"/>
          <w:lang w:val="cs-CZ"/>
        </w:rPr>
        <w:t>ou</w:t>
      </w:r>
      <w:r w:rsidR="00A178EB" w:rsidRPr="00EE23FC">
        <w:rPr>
          <w:rFonts w:cs="Arial"/>
          <w:sz w:val="18"/>
          <w:szCs w:val="18"/>
          <w:lang w:val="cs-CZ"/>
        </w:rPr>
        <w:t xml:space="preserve"> Bance zrušit nebo změnit </w:t>
      </w:r>
      <w:r w:rsidR="00116806" w:rsidRPr="00EE23FC">
        <w:rPr>
          <w:rFonts w:cs="Arial"/>
          <w:sz w:val="18"/>
          <w:szCs w:val="18"/>
          <w:lang w:val="cs-CZ"/>
        </w:rPr>
        <w:t>jin</w:t>
      </w:r>
      <w:r w:rsidR="00ED26B1" w:rsidRPr="00EE23FC">
        <w:rPr>
          <w:rFonts w:cs="Arial"/>
          <w:sz w:val="18"/>
          <w:szCs w:val="18"/>
          <w:lang w:val="cs-CZ"/>
        </w:rPr>
        <w:t>ou</w:t>
      </w:r>
      <w:r w:rsidR="00116806" w:rsidRPr="00EE23FC">
        <w:rPr>
          <w:rFonts w:cs="Arial"/>
          <w:sz w:val="18"/>
          <w:szCs w:val="18"/>
          <w:lang w:val="cs-CZ"/>
        </w:rPr>
        <w:t xml:space="preserve"> </w:t>
      </w:r>
      <w:r w:rsidR="00ED26B1" w:rsidRPr="00EE23FC">
        <w:rPr>
          <w:rFonts w:cs="Arial"/>
          <w:sz w:val="18"/>
          <w:szCs w:val="18"/>
          <w:lang w:val="cs-CZ"/>
        </w:rPr>
        <w:t>Instrukcí</w:t>
      </w:r>
      <w:r w:rsidR="00A178EB" w:rsidRPr="00EE23FC">
        <w:rPr>
          <w:rFonts w:cs="Arial"/>
          <w:sz w:val="18"/>
          <w:szCs w:val="18"/>
          <w:lang w:val="cs-CZ"/>
        </w:rPr>
        <w:t xml:space="preserve">, jen pokud je to vzhledem ke stavu realizace rušené nebo měněné </w:t>
      </w:r>
      <w:r w:rsidR="00ED26B1" w:rsidRPr="00EE23FC">
        <w:rPr>
          <w:rFonts w:cs="Arial"/>
          <w:sz w:val="18"/>
          <w:szCs w:val="18"/>
          <w:lang w:val="cs-CZ"/>
        </w:rPr>
        <w:t xml:space="preserve">Instrukci </w:t>
      </w:r>
      <w:r w:rsidR="00A178EB" w:rsidRPr="00EE23FC">
        <w:rPr>
          <w:rFonts w:cs="Arial"/>
          <w:sz w:val="18"/>
          <w:szCs w:val="18"/>
          <w:lang w:val="cs-CZ"/>
        </w:rPr>
        <w:t>možné.</w:t>
      </w:r>
    </w:p>
    <w:p w:rsidR="008B2EAA" w:rsidRPr="00EE23FC" w:rsidRDefault="008B2EAA" w:rsidP="005853A5">
      <w:pPr>
        <w:pStyle w:val="Zkladntextodsazen3"/>
        <w:spacing w:after="0"/>
        <w:ind w:left="426" w:hanging="426"/>
        <w:jc w:val="both"/>
        <w:rPr>
          <w:rFonts w:cs="Arial"/>
          <w:sz w:val="18"/>
          <w:szCs w:val="18"/>
          <w:lang w:val="cs-CZ"/>
        </w:rPr>
      </w:pPr>
    </w:p>
    <w:p w:rsidR="00C96FF5" w:rsidRPr="00EE23FC" w:rsidRDefault="00426964" w:rsidP="005853A5">
      <w:pPr>
        <w:ind w:left="426" w:hanging="426"/>
        <w:rPr>
          <w:rFonts w:cs="Arial"/>
          <w:szCs w:val="18"/>
        </w:rPr>
      </w:pPr>
      <w:r w:rsidRPr="00EE23FC">
        <w:rPr>
          <w:rFonts w:cs="Arial"/>
          <w:szCs w:val="18"/>
        </w:rPr>
        <w:t>5</w:t>
      </w:r>
      <w:r w:rsidR="00C96FF5" w:rsidRPr="00EE23FC">
        <w:rPr>
          <w:rFonts w:cs="Arial"/>
          <w:szCs w:val="18"/>
        </w:rPr>
        <w:t xml:space="preserve">. </w:t>
      </w:r>
      <w:r w:rsidR="00C96FF5" w:rsidRPr="00EE23FC">
        <w:rPr>
          <w:rFonts w:cs="Arial"/>
          <w:szCs w:val="18"/>
        </w:rPr>
        <w:tab/>
      </w:r>
      <w:r w:rsidR="00C96FF5" w:rsidRPr="00EE23FC">
        <w:rPr>
          <w:rFonts w:cs="Arial"/>
          <w:szCs w:val="18"/>
          <w:u w:val="single"/>
        </w:rPr>
        <w:t>Cena a náklady</w:t>
      </w:r>
    </w:p>
    <w:p w:rsidR="00C96FF5" w:rsidRPr="00EE23FC" w:rsidRDefault="00C96FF5" w:rsidP="005853A5">
      <w:pPr>
        <w:ind w:left="426" w:hanging="426"/>
        <w:jc w:val="both"/>
        <w:rPr>
          <w:rFonts w:cs="Arial"/>
          <w:szCs w:val="18"/>
        </w:rPr>
      </w:pPr>
    </w:p>
    <w:p w:rsidR="00C96FF5" w:rsidRPr="00EE23FC" w:rsidRDefault="00C96FF5" w:rsidP="005853A5">
      <w:pPr>
        <w:pStyle w:val="Zkladntext3"/>
        <w:ind w:left="426"/>
        <w:rPr>
          <w:sz w:val="18"/>
          <w:szCs w:val="18"/>
          <w:lang w:val="cs-CZ"/>
        </w:rPr>
      </w:pPr>
      <w:r w:rsidRPr="00EE23FC">
        <w:rPr>
          <w:sz w:val="18"/>
          <w:szCs w:val="18"/>
          <w:lang w:val="cs-CZ"/>
        </w:rPr>
        <w:t>Klient se zavazuje platit Bance cen</w:t>
      </w:r>
      <w:r w:rsidR="005D1EA2" w:rsidRPr="00EE23FC">
        <w:rPr>
          <w:sz w:val="18"/>
          <w:szCs w:val="18"/>
          <w:lang w:val="cs-CZ"/>
        </w:rPr>
        <w:t>y</w:t>
      </w:r>
      <w:r w:rsidRPr="00EE23FC">
        <w:rPr>
          <w:sz w:val="18"/>
          <w:szCs w:val="18"/>
          <w:lang w:val="cs-CZ"/>
        </w:rPr>
        <w:t xml:space="preserve"> za její služby podle této Smlouvy</w:t>
      </w:r>
      <w:r w:rsidR="005D1EA2" w:rsidRPr="00EE23FC">
        <w:rPr>
          <w:sz w:val="18"/>
          <w:szCs w:val="18"/>
          <w:lang w:val="cs-CZ"/>
        </w:rPr>
        <w:t>, a to</w:t>
      </w:r>
      <w:r w:rsidRPr="00EE23FC">
        <w:rPr>
          <w:sz w:val="18"/>
          <w:szCs w:val="18"/>
          <w:lang w:val="cs-CZ"/>
        </w:rPr>
        <w:t xml:space="preserve"> ve výši </w:t>
      </w:r>
      <w:r w:rsidR="00426964" w:rsidRPr="00EE23FC">
        <w:rPr>
          <w:sz w:val="18"/>
          <w:szCs w:val="18"/>
          <w:lang w:val="cs-CZ"/>
        </w:rPr>
        <w:t xml:space="preserve">a lhůtách uvedených </w:t>
      </w:r>
      <w:r w:rsidRPr="00EE23FC">
        <w:rPr>
          <w:sz w:val="18"/>
          <w:szCs w:val="18"/>
          <w:lang w:val="cs-CZ"/>
        </w:rPr>
        <w:t xml:space="preserve">v Ceníku v Příloze č. 1 této Smlouvy, jakož i uhradit náklady Banky vzniklé v souvislosti s touto Smlouvou, a nahradit Bance veškerou škodu a náklady vyplývající z jakýchkoli daní nebo poplatků a výdajů, které mohou být předepsány nebo vyměřeny v souvislosti s kterýmkoli </w:t>
      </w:r>
      <w:r w:rsidR="00D242A9" w:rsidRPr="00EE23FC">
        <w:rPr>
          <w:sz w:val="18"/>
          <w:szCs w:val="18"/>
          <w:lang w:val="cs-CZ"/>
        </w:rPr>
        <w:t xml:space="preserve">Spravovaným nástrojem </w:t>
      </w:r>
      <w:r w:rsidRPr="00EE23FC">
        <w:rPr>
          <w:sz w:val="18"/>
          <w:szCs w:val="18"/>
          <w:lang w:val="cs-CZ"/>
        </w:rPr>
        <w:t xml:space="preserve">nebo </w:t>
      </w:r>
      <w:r w:rsidR="009E6E21" w:rsidRPr="00EE23FC">
        <w:rPr>
          <w:sz w:val="18"/>
          <w:szCs w:val="18"/>
          <w:lang w:val="cs-CZ"/>
        </w:rPr>
        <w:t xml:space="preserve">Peněžním </w:t>
      </w:r>
      <w:r w:rsidRPr="00EE23FC">
        <w:rPr>
          <w:sz w:val="18"/>
          <w:szCs w:val="18"/>
          <w:lang w:val="cs-CZ"/>
        </w:rPr>
        <w:t xml:space="preserve">účtem. Banka má právo započíst kteroukoli částku dlužnou Bance podle této </w:t>
      </w:r>
      <w:r w:rsidR="00FD41B3" w:rsidRPr="00EE23FC">
        <w:rPr>
          <w:sz w:val="18"/>
          <w:szCs w:val="18"/>
          <w:lang w:val="cs-CZ"/>
        </w:rPr>
        <w:t>S</w:t>
      </w:r>
      <w:r w:rsidRPr="00EE23FC">
        <w:rPr>
          <w:sz w:val="18"/>
          <w:szCs w:val="18"/>
          <w:lang w:val="cs-CZ"/>
        </w:rPr>
        <w:t xml:space="preserve">mlouvy Klientem k tíži kteréhokoli účtu Klienta u Banky, zejména k tíži </w:t>
      </w:r>
      <w:r w:rsidR="009E6E21" w:rsidRPr="00EE23FC">
        <w:rPr>
          <w:sz w:val="18"/>
          <w:szCs w:val="18"/>
          <w:lang w:val="cs-CZ"/>
        </w:rPr>
        <w:t xml:space="preserve">Peněžního </w:t>
      </w:r>
      <w:r w:rsidRPr="00EE23FC">
        <w:rPr>
          <w:sz w:val="18"/>
          <w:szCs w:val="18"/>
          <w:lang w:val="cs-CZ"/>
        </w:rPr>
        <w:t xml:space="preserve">účtu. Ustanovení tohoto článku zůstanou v účinnosti i po ukončení této </w:t>
      </w:r>
      <w:r w:rsidR="003909F6" w:rsidRPr="00EE23FC">
        <w:rPr>
          <w:sz w:val="18"/>
          <w:szCs w:val="18"/>
          <w:lang w:val="cs-CZ"/>
        </w:rPr>
        <w:t>S</w:t>
      </w:r>
      <w:r w:rsidRPr="00EE23FC">
        <w:rPr>
          <w:sz w:val="18"/>
          <w:szCs w:val="18"/>
          <w:lang w:val="cs-CZ"/>
        </w:rPr>
        <w:t>mlouvy.</w:t>
      </w:r>
      <w:r w:rsidR="007956CB">
        <w:rPr>
          <w:sz w:val="18"/>
          <w:szCs w:val="18"/>
          <w:lang w:val="cs-CZ"/>
        </w:rPr>
        <w:t xml:space="preserve"> </w:t>
      </w:r>
    </w:p>
    <w:p w:rsidR="00C96FF5" w:rsidRPr="00EE23FC" w:rsidRDefault="00C96FF5" w:rsidP="005853A5">
      <w:pPr>
        <w:tabs>
          <w:tab w:val="left" w:pos="540"/>
        </w:tabs>
        <w:ind w:left="426" w:hanging="426"/>
        <w:rPr>
          <w:rFonts w:cs="Arial"/>
          <w:szCs w:val="18"/>
        </w:rPr>
      </w:pPr>
    </w:p>
    <w:p w:rsidR="00ED5A14" w:rsidRPr="00EE23FC" w:rsidRDefault="00426964" w:rsidP="005853A5">
      <w:pPr>
        <w:tabs>
          <w:tab w:val="left" w:pos="540"/>
        </w:tabs>
        <w:ind w:left="426" w:hanging="426"/>
        <w:rPr>
          <w:rFonts w:cs="Arial"/>
          <w:szCs w:val="18"/>
        </w:rPr>
      </w:pPr>
      <w:r w:rsidRPr="00EE23FC">
        <w:rPr>
          <w:rFonts w:cs="Arial"/>
          <w:szCs w:val="18"/>
        </w:rPr>
        <w:t>6</w:t>
      </w:r>
      <w:r w:rsidR="003B5E07" w:rsidRPr="00EE23FC">
        <w:rPr>
          <w:rFonts w:cs="Arial"/>
          <w:szCs w:val="18"/>
        </w:rPr>
        <w:t xml:space="preserve">. </w:t>
      </w:r>
      <w:r w:rsidR="00702821" w:rsidRPr="00EE23FC">
        <w:rPr>
          <w:rFonts w:cs="Arial"/>
          <w:szCs w:val="18"/>
        </w:rPr>
        <w:tab/>
      </w:r>
      <w:r w:rsidR="00EE7F4E" w:rsidRPr="00EE23FC">
        <w:rPr>
          <w:rFonts w:cs="Arial"/>
          <w:szCs w:val="18"/>
          <w:u w:val="single"/>
        </w:rPr>
        <w:t>Odpovědnost</w:t>
      </w:r>
    </w:p>
    <w:p w:rsidR="00ED5A14" w:rsidRPr="00EE23FC" w:rsidRDefault="00ED5A14" w:rsidP="005853A5">
      <w:pPr>
        <w:ind w:left="426" w:hanging="426"/>
        <w:jc w:val="both"/>
        <w:rPr>
          <w:rFonts w:cs="Arial"/>
          <w:szCs w:val="18"/>
        </w:rPr>
      </w:pPr>
    </w:p>
    <w:p w:rsidR="00C96FF5" w:rsidRPr="00EE23FC" w:rsidRDefault="00426964" w:rsidP="005853A5">
      <w:pPr>
        <w:pStyle w:val="Odstavecseseznamem"/>
        <w:ind w:left="426" w:hanging="426"/>
        <w:jc w:val="both"/>
        <w:rPr>
          <w:rFonts w:cs="Arial"/>
          <w:szCs w:val="18"/>
        </w:rPr>
      </w:pPr>
      <w:r w:rsidRPr="00EE23FC">
        <w:rPr>
          <w:rFonts w:cs="Arial"/>
          <w:szCs w:val="18"/>
        </w:rPr>
        <w:t>6</w:t>
      </w:r>
      <w:r w:rsidR="00EE7F4E" w:rsidRPr="00EE23FC">
        <w:rPr>
          <w:rFonts w:cs="Arial"/>
          <w:szCs w:val="18"/>
        </w:rPr>
        <w:t>.1</w:t>
      </w:r>
      <w:r w:rsidR="00EE7F4E" w:rsidRPr="00EE23FC">
        <w:rPr>
          <w:rFonts w:cs="Arial"/>
          <w:szCs w:val="18"/>
        </w:rPr>
        <w:tab/>
        <w:t xml:space="preserve">Povinnost Banky </w:t>
      </w:r>
      <w:r w:rsidR="00702821" w:rsidRPr="00EE23FC">
        <w:rPr>
          <w:rFonts w:cs="Arial"/>
          <w:szCs w:val="18"/>
        </w:rPr>
        <w:t xml:space="preserve">k náhradě škody vzniklé v důsledku porušení povinností </w:t>
      </w:r>
      <w:r w:rsidR="005F671F" w:rsidRPr="00EE23FC">
        <w:rPr>
          <w:rFonts w:cs="Arial"/>
          <w:szCs w:val="18"/>
        </w:rPr>
        <w:t>Bank</w:t>
      </w:r>
      <w:r w:rsidR="00702821" w:rsidRPr="00EE23FC">
        <w:rPr>
          <w:rFonts w:cs="Arial"/>
          <w:szCs w:val="18"/>
        </w:rPr>
        <w:t xml:space="preserve">y v souvislosti s činností podle této </w:t>
      </w:r>
      <w:r w:rsidR="00EE7F4E" w:rsidRPr="00EE23FC">
        <w:rPr>
          <w:rFonts w:cs="Arial"/>
          <w:szCs w:val="18"/>
        </w:rPr>
        <w:t>S</w:t>
      </w:r>
      <w:r w:rsidR="00702821" w:rsidRPr="00EE23FC">
        <w:rPr>
          <w:rFonts w:cs="Arial"/>
          <w:szCs w:val="18"/>
        </w:rPr>
        <w:t xml:space="preserve">mlouvy je co do výše omezena tržní hodnotou </w:t>
      </w:r>
      <w:r w:rsidR="00F8661A" w:rsidRPr="00EE23FC">
        <w:rPr>
          <w:rFonts w:cs="Arial"/>
          <w:szCs w:val="18"/>
        </w:rPr>
        <w:t xml:space="preserve">Spravovaných </w:t>
      </w:r>
      <w:r w:rsidR="00702821" w:rsidRPr="00EE23FC">
        <w:rPr>
          <w:rFonts w:cs="Arial"/>
          <w:szCs w:val="18"/>
        </w:rPr>
        <w:t xml:space="preserve">nástrojů v době porušení povinnosti. </w:t>
      </w:r>
      <w:r w:rsidR="003B5E07" w:rsidRPr="00EE23FC">
        <w:rPr>
          <w:rFonts w:cs="Arial"/>
          <w:szCs w:val="18"/>
        </w:rPr>
        <w:t xml:space="preserve">Banka neodpovídá za škodu představující ušlý zisk </w:t>
      </w:r>
      <w:r w:rsidR="005F671F" w:rsidRPr="00EE23FC">
        <w:rPr>
          <w:rFonts w:cs="Arial"/>
          <w:szCs w:val="18"/>
        </w:rPr>
        <w:t>Klien</w:t>
      </w:r>
      <w:r w:rsidR="003B5E07" w:rsidRPr="00EE23FC">
        <w:rPr>
          <w:rFonts w:cs="Arial"/>
          <w:szCs w:val="18"/>
        </w:rPr>
        <w:t>ta, nebo za škodu, která nevznikne v bezprostředním důsledku</w:t>
      </w:r>
      <w:r w:rsidR="00702821" w:rsidRPr="00EE23FC">
        <w:rPr>
          <w:rFonts w:cs="Arial"/>
          <w:szCs w:val="18"/>
        </w:rPr>
        <w:t xml:space="preserve"> porušení právní povinnosti </w:t>
      </w:r>
      <w:r w:rsidR="005F671F" w:rsidRPr="00EE23FC">
        <w:rPr>
          <w:rFonts w:cs="Arial"/>
          <w:szCs w:val="18"/>
        </w:rPr>
        <w:t>Bank</w:t>
      </w:r>
      <w:r w:rsidR="00702821" w:rsidRPr="00EE23FC">
        <w:rPr>
          <w:rFonts w:cs="Arial"/>
          <w:szCs w:val="18"/>
        </w:rPr>
        <w:t xml:space="preserve">y (následná škoda), pokud </w:t>
      </w:r>
      <w:r w:rsidR="005F671F" w:rsidRPr="00EE23FC">
        <w:rPr>
          <w:rFonts w:cs="Arial"/>
          <w:szCs w:val="18"/>
        </w:rPr>
        <w:t>Klien</w:t>
      </w:r>
      <w:r w:rsidR="00702821" w:rsidRPr="00EE23FC">
        <w:rPr>
          <w:rFonts w:cs="Arial"/>
          <w:szCs w:val="18"/>
        </w:rPr>
        <w:t xml:space="preserve">t </w:t>
      </w:r>
      <w:r w:rsidR="005F671F" w:rsidRPr="00EE23FC">
        <w:rPr>
          <w:rFonts w:cs="Arial"/>
          <w:szCs w:val="18"/>
        </w:rPr>
        <w:t>Bank</w:t>
      </w:r>
      <w:r w:rsidR="00702821" w:rsidRPr="00EE23FC">
        <w:rPr>
          <w:rFonts w:cs="Arial"/>
          <w:szCs w:val="18"/>
        </w:rPr>
        <w:t xml:space="preserve">u na nebezpečí vzniku takové škody výslovně neupozorní. </w:t>
      </w:r>
      <w:r w:rsidR="003909F6" w:rsidRPr="00EE23FC">
        <w:rPr>
          <w:rFonts w:cs="Arial"/>
          <w:szCs w:val="18"/>
        </w:rPr>
        <w:t xml:space="preserve"> </w:t>
      </w:r>
      <w:r w:rsidR="00702821" w:rsidRPr="00EE23FC">
        <w:rPr>
          <w:rFonts w:cs="Arial"/>
          <w:szCs w:val="18"/>
        </w:rPr>
        <w:t xml:space="preserve">Omezení výše náhrady škody </w:t>
      </w:r>
      <w:r w:rsidR="003909F6" w:rsidRPr="00EE23FC">
        <w:rPr>
          <w:rFonts w:cs="Arial"/>
          <w:szCs w:val="18"/>
        </w:rPr>
        <w:t>po</w:t>
      </w:r>
      <w:r w:rsidR="00702821" w:rsidRPr="00EE23FC">
        <w:rPr>
          <w:rFonts w:cs="Arial"/>
          <w:szCs w:val="18"/>
        </w:rPr>
        <w:t xml:space="preserve">dle </w:t>
      </w:r>
      <w:r w:rsidR="003909F6" w:rsidRPr="00EE23FC">
        <w:rPr>
          <w:rFonts w:cs="Arial"/>
          <w:szCs w:val="18"/>
        </w:rPr>
        <w:t xml:space="preserve">tohoto ustanovení </w:t>
      </w:r>
      <w:r w:rsidR="00702821" w:rsidRPr="00EE23FC">
        <w:rPr>
          <w:rFonts w:cs="Arial"/>
          <w:szCs w:val="18"/>
        </w:rPr>
        <w:t xml:space="preserve">se neuplatní, jde-li o povinnost k náhradě škody způsobené </w:t>
      </w:r>
      <w:r w:rsidR="005F671F" w:rsidRPr="00EE23FC">
        <w:rPr>
          <w:rFonts w:cs="Arial"/>
          <w:szCs w:val="18"/>
        </w:rPr>
        <w:t>Bank</w:t>
      </w:r>
      <w:r w:rsidR="00702821" w:rsidRPr="00EE23FC">
        <w:rPr>
          <w:rFonts w:cs="Arial"/>
          <w:szCs w:val="18"/>
        </w:rPr>
        <w:t>ou úmyslně nebo z hrubé nedbalosti.</w:t>
      </w:r>
    </w:p>
    <w:p w:rsidR="00C96FF5" w:rsidRPr="00EE23FC" w:rsidRDefault="00C96FF5" w:rsidP="005853A5">
      <w:pPr>
        <w:pStyle w:val="Odstavecseseznamem"/>
        <w:ind w:left="426" w:hanging="426"/>
        <w:jc w:val="both"/>
        <w:rPr>
          <w:rFonts w:cs="Arial"/>
          <w:szCs w:val="18"/>
        </w:rPr>
      </w:pPr>
    </w:p>
    <w:p w:rsidR="00FD41B3" w:rsidRPr="00EE23FC" w:rsidRDefault="00426964" w:rsidP="005853A5">
      <w:pPr>
        <w:pStyle w:val="Odstavecseseznamem"/>
        <w:ind w:left="426" w:hanging="426"/>
        <w:jc w:val="both"/>
        <w:rPr>
          <w:rFonts w:cs="Arial"/>
          <w:szCs w:val="18"/>
        </w:rPr>
      </w:pPr>
      <w:r w:rsidRPr="00EE23FC">
        <w:rPr>
          <w:rFonts w:cs="Arial"/>
          <w:szCs w:val="18"/>
        </w:rPr>
        <w:t>6</w:t>
      </w:r>
      <w:r w:rsidR="00C96FF5" w:rsidRPr="00EE23FC">
        <w:rPr>
          <w:rFonts w:cs="Arial"/>
          <w:szCs w:val="18"/>
        </w:rPr>
        <w:t>.</w:t>
      </w:r>
      <w:r w:rsidR="003909F6" w:rsidRPr="00EE23FC">
        <w:rPr>
          <w:rFonts w:cs="Arial"/>
          <w:szCs w:val="18"/>
        </w:rPr>
        <w:t>2</w:t>
      </w:r>
      <w:r w:rsidR="00C96FF5" w:rsidRPr="00EE23FC">
        <w:rPr>
          <w:rFonts w:cs="Arial"/>
          <w:szCs w:val="18"/>
        </w:rPr>
        <w:tab/>
      </w:r>
      <w:r w:rsidR="00702821" w:rsidRPr="00EE23FC">
        <w:rPr>
          <w:rFonts w:cs="Arial"/>
          <w:szCs w:val="18"/>
        </w:rPr>
        <w:t xml:space="preserve">Banka neodpovídá též za škodu, vzniklou v důsledku neočekávaného vývoje na finančních trzích, vady prostředku komunikace na dálku (např. vada internetového spojení či software) a selhání jakýchkoli jiných technických prostředků, pokud je </w:t>
      </w:r>
      <w:r w:rsidR="005F671F" w:rsidRPr="00EE23FC">
        <w:rPr>
          <w:rFonts w:cs="Arial"/>
          <w:szCs w:val="18"/>
        </w:rPr>
        <w:t>Bank</w:t>
      </w:r>
      <w:r w:rsidR="00702821" w:rsidRPr="00EE23FC">
        <w:rPr>
          <w:rFonts w:cs="Arial"/>
          <w:szCs w:val="18"/>
        </w:rPr>
        <w:t xml:space="preserve">a nezavinila. Banka dále neodpovídá za újmu, která </w:t>
      </w:r>
      <w:r w:rsidR="005F671F" w:rsidRPr="00EE23FC">
        <w:rPr>
          <w:rFonts w:cs="Arial"/>
          <w:szCs w:val="18"/>
        </w:rPr>
        <w:t>Klien</w:t>
      </w:r>
      <w:r w:rsidR="00702821" w:rsidRPr="00EE23FC">
        <w:rPr>
          <w:rFonts w:cs="Arial"/>
          <w:szCs w:val="18"/>
        </w:rPr>
        <w:t>tovi vznikne v důsledku provedení pokynu</w:t>
      </w:r>
      <w:r w:rsidR="005D1EA2" w:rsidRPr="00EE23FC">
        <w:rPr>
          <w:rFonts w:cs="Arial"/>
          <w:szCs w:val="18"/>
        </w:rPr>
        <w:t xml:space="preserve"> nebo Instrukce</w:t>
      </w:r>
      <w:r w:rsidR="00702821" w:rsidRPr="00EE23FC">
        <w:rPr>
          <w:rFonts w:cs="Arial"/>
          <w:szCs w:val="18"/>
        </w:rPr>
        <w:t>, kter</w:t>
      </w:r>
      <w:r w:rsidR="005D1EA2" w:rsidRPr="00EE23FC">
        <w:rPr>
          <w:rFonts w:cs="Arial"/>
          <w:szCs w:val="18"/>
        </w:rPr>
        <w:t>ou</w:t>
      </w:r>
      <w:r w:rsidR="00702821" w:rsidRPr="00EE23FC">
        <w:rPr>
          <w:rFonts w:cs="Arial"/>
          <w:szCs w:val="18"/>
        </w:rPr>
        <w:t xml:space="preserve"> dal </w:t>
      </w:r>
      <w:r w:rsidR="005F671F" w:rsidRPr="00EE23FC">
        <w:rPr>
          <w:rFonts w:cs="Arial"/>
          <w:szCs w:val="18"/>
        </w:rPr>
        <w:t>Bance</w:t>
      </w:r>
      <w:r w:rsidR="00702821" w:rsidRPr="00EE23FC">
        <w:rPr>
          <w:rFonts w:cs="Arial"/>
          <w:szCs w:val="18"/>
        </w:rPr>
        <w:t>, nebo v souvislosti s jednáním v důvěře v </w:t>
      </w:r>
      <w:r w:rsidR="00740B15" w:rsidRPr="00EE23FC">
        <w:rPr>
          <w:rFonts w:cs="Arial"/>
          <w:szCs w:val="18"/>
        </w:rPr>
        <w:t xml:space="preserve">jakékoliv </w:t>
      </w:r>
      <w:r w:rsidR="005F671F" w:rsidRPr="00EE23FC">
        <w:rPr>
          <w:rFonts w:cs="Arial"/>
          <w:szCs w:val="18"/>
        </w:rPr>
        <w:t>Klien</w:t>
      </w:r>
      <w:r w:rsidR="00702821" w:rsidRPr="00EE23FC">
        <w:rPr>
          <w:rFonts w:cs="Arial"/>
          <w:szCs w:val="18"/>
        </w:rPr>
        <w:t xml:space="preserve">tovo sdělení. </w:t>
      </w:r>
    </w:p>
    <w:p w:rsidR="00FD41B3" w:rsidRPr="00EE23FC" w:rsidRDefault="00FD41B3" w:rsidP="005853A5">
      <w:pPr>
        <w:pStyle w:val="Odstavecseseznamem"/>
        <w:ind w:left="426" w:hanging="426"/>
        <w:jc w:val="both"/>
        <w:rPr>
          <w:rFonts w:cs="Arial"/>
          <w:szCs w:val="18"/>
        </w:rPr>
      </w:pPr>
    </w:p>
    <w:p w:rsidR="00DC54CD" w:rsidRPr="00EE23FC" w:rsidRDefault="00426964" w:rsidP="005853A5">
      <w:pPr>
        <w:pStyle w:val="Odstavecseseznamem"/>
        <w:ind w:left="426" w:hanging="426"/>
        <w:jc w:val="both"/>
        <w:rPr>
          <w:rFonts w:cs="Arial"/>
          <w:szCs w:val="18"/>
        </w:rPr>
      </w:pPr>
      <w:r w:rsidRPr="00EE23FC">
        <w:rPr>
          <w:rFonts w:cs="Arial"/>
          <w:szCs w:val="18"/>
        </w:rPr>
        <w:t>6</w:t>
      </w:r>
      <w:r w:rsidR="00FD41B3" w:rsidRPr="00EE23FC">
        <w:rPr>
          <w:rFonts w:cs="Arial"/>
          <w:szCs w:val="18"/>
        </w:rPr>
        <w:t>.3</w:t>
      </w:r>
      <w:r w:rsidR="00FD41B3" w:rsidRPr="00EE23FC">
        <w:rPr>
          <w:rFonts w:cs="Arial"/>
          <w:szCs w:val="18"/>
        </w:rPr>
        <w:tab/>
      </w:r>
      <w:r w:rsidR="00702821" w:rsidRPr="00EE23FC">
        <w:rPr>
          <w:rFonts w:cs="Arial"/>
          <w:szCs w:val="18"/>
        </w:rPr>
        <w:t xml:space="preserve">Klient odškodní </w:t>
      </w:r>
      <w:r w:rsidR="005F671F" w:rsidRPr="00EE23FC">
        <w:rPr>
          <w:rFonts w:cs="Arial"/>
          <w:szCs w:val="18"/>
        </w:rPr>
        <w:t>Bank</w:t>
      </w:r>
      <w:r w:rsidR="00702821" w:rsidRPr="00EE23FC">
        <w:rPr>
          <w:rFonts w:cs="Arial"/>
          <w:szCs w:val="18"/>
        </w:rPr>
        <w:t xml:space="preserve">u za jakoukoli újmu, odpovědnost, vznesený nárok nebo náklady (včetně nákladů za právní pomoc), které </w:t>
      </w:r>
      <w:r w:rsidR="005F671F" w:rsidRPr="00EE23FC">
        <w:rPr>
          <w:rFonts w:cs="Arial"/>
          <w:szCs w:val="18"/>
        </w:rPr>
        <w:t>Bank</w:t>
      </w:r>
      <w:r w:rsidR="00702821" w:rsidRPr="00EE23FC">
        <w:rPr>
          <w:rFonts w:cs="Arial"/>
          <w:szCs w:val="18"/>
        </w:rPr>
        <w:t xml:space="preserve">a utrpí v souvislosti se svým řádným jednáním na základě pokynu </w:t>
      </w:r>
      <w:r w:rsidR="00DC54CD" w:rsidRPr="00EE23FC">
        <w:rPr>
          <w:rFonts w:cs="Arial"/>
          <w:szCs w:val="18"/>
        </w:rPr>
        <w:t xml:space="preserve">nebo Instrukce </w:t>
      </w:r>
      <w:r w:rsidR="005F671F" w:rsidRPr="00EE23FC">
        <w:rPr>
          <w:rFonts w:cs="Arial"/>
          <w:szCs w:val="18"/>
        </w:rPr>
        <w:t>Klien</w:t>
      </w:r>
      <w:r w:rsidR="00702821" w:rsidRPr="00EE23FC">
        <w:rPr>
          <w:rFonts w:cs="Arial"/>
          <w:szCs w:val="18"/>
        </w:rPr>
        <w:t xml:space="preserve">ta. </w:t>
      </w:r>
      <w:r w:rsidR="00DC54CD" w:rsidRPr="00EE23FC">
        <w:rPr>
          <w:rFonts w:cs="Arial"/>
          <w:szCs w:val="18"/>
        </w:rPr>
        <w:t xml:space="preserve">Banka neodpovídá za správnost či zákonnost pokynů nebo Instrukcí Klienta. </w:t>
      </w:r>
    </w:p>
    <w:p w:rsidR="00DC54CD" w:rsidRPr="00EE23FC" w:rsidRDefault="00DC54CD" w:rsidP="005853A5">
      <w:pPr>
        <w:pStyle w:val="Odstavecseseznamem"/>
        <w:ind w:left="426" w:hanging="426"/>
        <w:jc w:val="both"/>
        <w:rPr>
          <w:rFonts w:cs="Arial"/>
          <w:szCs w:val="18"/>
        </w:rPr>
      </w:pPr>
    </w:p>
    <w:p w:rsidR="00ED5A14" w:rsidRPr="00EE23FC" w:rsidRDefault="00426964" w:rsidP="005853A5">
      <w:pPr>
        <w:pStyle w:val="Odstavecseseznamem"/>
        <w:ind w:left="426" w:hanging="426"/>
        <w:jc w:val="both"/>
        <w:rPr>
          <w:rFonts w:cs="Arial"/>
          <w:szCs w:val="18"/>
        </w:rPr>
      </w:pPr>
      <w:r w:rsidRPr="00EE23FC">
        <w:rPr>
          <w:rFonts w:cs="Arial"/>
          <w:szCs w:val="18"/>
        </w:rPr>
        <w:t>6</w:t>
      </w:r>
      <w:r w:rsidR="00DC54CD" w:rsidRPr="00EE23FC">
        <w:rPr>
          <w:rFonts w:cs="Arial"/>
          <w:szCs w:val="18"/>
        </w:rPr>
        <w:t>.4</w:t>
      </w:r>
      <w:r w:rsidR="00DC54CD" w:rsidRPr="00EE23FC">
        <w:rPr>
          <w:rFonts w:cs="Arial"/>
          <w:szCs w:val="18"/>
        </w:rPr>
        <w:tab/>
      </w:r>
      <w:r w:rsidR="00702821" w:rsidRPr="00EE23FC">
        <w:rPr>
          <w:rFonts w:cs="Arial"/>
          <w:szCs w:val="18"/>
        </w:rPr>
        <w:t xml:space="preserve">Bance bude poskytována k provedení pokynů </w:t>
      </w:r>
      <w:r w:rsidR="00826D32" w:rsidRPr="00EE23FC">
        <w:rPr>
          <w:rFonts w:cs="Arial"/>
          <w:szCs w:val="18"/>
        </w:rPr>
        <w:t xml:space="preserve">a Instrukcí </w:t>
      </w:r>
      <w:r w:rsidR="00702821" w:rsidRPr="00EE23FC">
        <w:rPr>
          <w:rFonts w:cs="Arial"/>
          <w:szCs w:val="18"/>
        </w:rPr>
        <w:t xml:space="preserve">podle této </w:t>
      </w:r>
      <w:r w:rsidR="00826D32" w:rsidRPr="00EE23FC">
        <w:rPr>
          <w:rFonts w:cs="Arial"/>
          <w:szCs w:val="18"/>
        </w:rPr>
        <w:t>S</w:t>
      </w:r>
      <w:r w:rsidR="00702821" w:rsidRPr="00EE23FC">
        <w:rPr>
          <w:rFonts w:cs="Arial"/>
          <w:szCs w:val="18"/>
        </w:rPr>
        <w:t xml:space="preserve">mlouvy přiměřená lhůta. Banka nenese odpovědnost za případnou škodu, která může </w:t>
      </w:r>
      <w:r w:rsidR="005F671F" w:rsidRPr="00EE23FC">
        <w:rPr>
          <w:rFonts w:cs="Arial"/>
          <w:szCs w:val="18"/>
        </w:rPr>
        <w:t>Klien</w:t>
      </w:r>
      <w:r w:rsidR="00702821" w:rsidRPr="00EE23FC">
        <w:rPr>
          <w:rFonts w:cs="Arial"/>
          <w:szCs w:val="18"/>
        </w:rPr>
        <w:t xml:space="preserve">tovi vzniknout v důsledku </w:t>
      </w:r>
      <w:r w:rsidR="00807EE0" w:rsidRPr="00EE23FC">
        <w:rPr>
          <w:rFonts w:cs="Arial"/>
          <w:szCs w:val="18"/>
        </w:rPr>
        <w:t xml:space="preserve">toho, že </w:t>
      </w:r>
      <w:r w:rsidR="00702821" w:rsidRPr="00EE23FC">
        <w:rPr>
          <w:rFonts w:cs="Arial"/>
          <w:szCs w:val="18"/>
        </w:rPr>
        <w:t xml:space="preserve">pokyn </w:t>
      </w:r>
      <w:r w:rsidR="00826D32" w:rsidRPr="00EE23FC">
        <w:rPr>
          <w:rFonts w:cs="Arial"/>
          <w:szCs w:val="18"/>
        </w:rPr>
        <w:t xml:space="preserve">nebo Instrukce </w:t>
      </w:r>
      <w:r w:rsidR="00702821" w:rsidRPr="00EE23FC">
        <w:rPr>
          <w:rFonts w:cs="Arial"/>
          <w:szCs w:val="18"/>
        </w:rPr>
        <w:t>nebyl</w:t>
      </w:r>
      <w:r w:rsidR="00826D32" w:rsidRPr="00EE23FC">
        <w:rPr>
          <w:rFonts w:cs="Arial"/>
          <w:szCs w:val="18"/>
        </w:rPr>
        <w:t>a</w:t>
      </w:r>
      <w:r w:rsidR="00702821" w:rsidRPr="00EE23FC">
        <w:rPr>
          <w:rFonts w:cs="Arial"/>
          <w:szCs w:val="18"/>
        </w:rPr>
        <w:t xml:space="preserve"> doručen</w:t>
      </w:r>
      <w:r w:rsidR="00826D32" w:rsidRPr="00EE23FC">
        <w:rPr>
          <w:rFonts w:cs="Arial"/>
          <w:szCs w:val="18"/>
        </w:rPr>
        <w:t>a</w:t>
      </w:r>
      <w:r w:rsidR="00702821" w:rsidRPr="00EE23FC">
        <w:rPr>
          <w:rFonts w:cs="Arial"/>
          <w:szCs w:val="18"/>
        </w:rPr>
        <w:t xml:space="preserve"> </w:t>
      </w:r>
      <w:r w:rsidR="005F671F" w:rsidRPr="00EE23FC">
        <w:rPr>
          <w:rFonts w:cs="Arial"/>
          <w:szCs w:val="18"/>
        </w:rPr>
        <w:t>Klien</w:t>
      </w:r>
      <w:r w:rsidR="00702821" w:rsidRPr="00EE23FC">
        <w:rPr>
          <w:rFonts w:cs="Arial"/>
          <w:szCs w:val="18"/>
        </w:rPr>
        <w:t xml:space="preserve">tem </w:t>
      </w:r>
      <w:r w:rsidR="00807EE0" w:rsidRPr="00EE23FC">
        <w:rPr>
          <w:rFonts w:cs="Arial"/>
          <w:szCs w:val="18"/>
        </w:rPr>
        <w:t xml:space="preserve">Bance </w:t>
      </w:r>
      <w:r w:rsidR="00702821" w:rsidRPr="00EE23FC">
        <w:rPr>
          <w:rFonts w:cs="Arial"/>
          <w:szCs w:val="18"/>
        </w:rPr>
        <w:t>v dostatečném předstihu.</w:t>
      </w:r>
    </w:p>
    <w:p w:rsidR="00702821" w:rsidRPr="00EE23FC" w:rsidRDefault="00702821" w:rsidP="005853A5">
      <w:pPr>
        <w:ind w:left="426" w:hanging="426"/>
        <w:jc w:val="both"/>
        <w:rPr>
          <w:rFonts w:cs="Arial"/>
          <w:szCs w:val="18"/>
        </w:rPr>
      </w:pPr>
    </w:p>
    <w:p w:rsidR="00ED5A14" w:rsidRPr="00EE23FC" w:rsidRDefault="00426964" w:rsidP="005853A5">
      <w:pPr>
        <w:keepNext/>
        <w:tabs>
          <w:tab w:val="left" w:pos="540"/>
        </w:tabs>
        <w:ind w:left="426" w:hanging="426"/>
        <w:rPr>
          <w:rFonts w:cs="Arial"/>
          <w:szCs w:val="18"/>
        </w:rPr>
      </w:pPr>
      <w:r w:rsidRPr="00EE23FC">
        <w:rPr>
          <w:rFonts w:cs="Arial"/>
          <w:szCs w:val="18"/>
        </w:rPr>
        <w:t>7</w:t>
      </w:r>
      <w:r w:rsidR="003B5E07" w:rsidRPr="00EE23FC">
        <w:rPr>
          <w:rFonts w:cs="Arial"/>
          <w:szCs w:val="18"/>
        </w:rPr>
        <w:t xml:space="preserve">. </w:t>
      </w:r>
      <w:r w:rsidR="00702821" w:rsidRPr="00EE23FC">
        <w:rPr>
          <w:rFonts w:cs="Arial"/>
          <w:szCs w:val="18"/>
        </w:rPr>
        <w:tab/>
      </w:r>
      <w:r w:rsidR="003B5E07" w:rsidRPr="00EE23FC">
        <w:rPr>
          <w:rFonts w:cs="Arial"/>
          <w:szCs w:val="18"/>
          <w:u w:val="single"/>
        </w:rPr>
        <w:t>Zadržovací právo</w:t>
      </w:r>
    </w:p>
    <w:p w:rsidR="00702821" w:rsidRPr="00EE23FC" w:rsidRDefault="00702821" w:rsidP="005853A5">
      <w:pPr>
        <w:keepNext/>
        <w:ind w:left="426" w:hanging="426"/>
        <w:jc w:val="both"/>
        <w:rPr>
          <w:rFonts w:cs="Arial"/>
          <w:szCs w:val="18"/>
        </w:rPr>
      </w:pPr>
    </w:p>
    <w:p w:rsidR="00702821" w:rsidRPr="00EE23FC" w:rsidRDefault="00702821" w:rsidP="005853A5">
      <w:pPr>
        <w:pStyle w:val="Zkladntextodsazen3"/>
        <w:spacing w:after="0"/>
        <w:ind w:left="426"/>
        <w:jc w:val="both"/>
        <w:rPr>
          <w:rFonts w:cs="Arial"/>
          <w:sz w:val="18"/>
          <w:szCs w:val="18"/>
          <w:lang w:val="cs-CZ"/>
        </w:rPr>
      </w:pPr>
      <w:r w:rsidRPr="00EE23FC">
        <w:rPr>
          <w:rFonts w:cs="Arial"/>
          <w:sz w:val="18"/>
          <w:szCs w:val="18"/>
          <w:lang w:val="cs-CZ"/>
        </w:rPr>
        <w:t>Banka má zadržovací právo k</w:t>
      </w:r>
      <w:r w:rsidR="00D242A9" w:rsidRPr="00EE23FC">
        <w:rPr>
          <w:rFonts w:cs="Arial"/>
          <w:sz w:val="18"/>
          <w:szCs w:val="18"/>
          <w:lang w:val="cs-CZ"/>
        </w:rPr>
        <w:t xml:space="preserve"> investičním </w:t>
      </w:r>
      <w:r w:rsidRPr="00EE23FC">
        <w:rPr>
          <w:rFonts w:cs="Arial"/>
          <w:sz w:val="18"/>
          <w:szCs w:val="18"/>
          <w:lang w:val="cs-CZ"/>
        </w:rPr>
        <w:t xml:space="preserve">nástrojům </w:t>
      </w:r>
      <w:r w:rsidR="00826D32" w:rsidRPr="00EE23FC">
        <w:rPr>
          <w:rFonts w:cs="Arial"/>
          <w:sz w:val="18"/>
          <w:szCs w:val="18"/>
          <w:lang w:val="cs-CZ"/>
        </w:rPr>
        <w:t>evidovaným na Majetkových účtech</w:t>
      </w:r>
      <w:r w:rsidRPr="00EE23FC">
        <w:rPr>
          <w:rFonts w:cs="Arial"/>
          <w:sz w:val="18"/>
          <w:szCs w:val="18"/>
          <w:lang w:val="cs-CZ"/>
        </w:rPr>
        <w:t xml:space="preserve">. Banka je oprávněna je zadržet k zajištění všech splatných dluhů </w:t>
      </w:r>
      <w:r w:rsidR="005F671F" w:rsidRPr="00EE23FC">
        <w:rPr>
          <w:rFonts w:cs="Arial"/>
          <w:sz w:val="18"/>
          <w:szCs w:val="18"/>
          <w:lang w:val="cs-CZ"/>
        </w:rPr>
        <w:t>Klien</w:t>
      </w:r>
      <w:r w:rsidRPr="00EE23FC">
        <w:rPr>
          <w:rFonts w:cs="Arial"/>
          <w:sz w:val="18"/>
          <w:szCs w:val="18"/>
          <w:lang w:val="cs-CZ"/>
        </w:rPr>
        <w:t xml:space="preserve">ta podle této </w:t>
      </w:r>
      <w:r w:rsidR="00826D32" w:rsidRPr="00EE23FC">
        <w:rPr>
          <w:rFonts w:cs="Arial"/>
          <w:sz w:val="18"/>
          <w:szCs w:val="18"/>
          <w:lang w:val="cs-CZ"/>
        </w:rPr>
        <w:t>S</w:t>
      </w:r>
      <w:r w:rsidRPr="00EE23FC">
        <w:rPr>
          <w:rFonts w:cs="Arial"/>
          <w:sz w:val="18"/>
          <w:szCs w:val="18"/>
          <w:lang w:val="cs-CZ"/>
        </w:rPr>
        <w:t xml:space="preserve">mlouvy. Pokud </w:t>
      </w:r>
      <w:r w:rsidR="005F671F" w:rsidRPr="00EE23FC">
        <w:rPr>
          <w:rFonts w:cs="Arial"/>
          <w:sz w:val="18"/>
          <w:szCs w:val="18"/>
          <w:lang w:val="cs-CZ"/>
        </w:rPr>
        <w:t>Klien</w:t>
      </w:r>
      <w:r w:rsidRPr="00EE23FC">
        <w:rPr>
          <w:rFonts w:cs="Arial"/>
          <w:sz w:val="18"/>
          <w:szCs w:val="18"/>
          <w:lang w:val="cs-CZ"/>
        </w:rPr>
        <w:t xml:space="preserve">t nevyrovná při splatnosti kterýkoli dluh podle této </w:t>
      </w:r>
      <w:r w:rsidR="00826D32" w:rsidRPr="00EE23FC">
        <w:rPr>
          <w:rFonts w:cs="Arial"/>
          <w:sz w:val="18"/>
          <w:szCs w:val="18"/>
          <w:lang w:val="cs-CZ"/>
        </w:rPr>
        <w:t>S</w:t>
      </w:r>
      <w:r w:rsidRPr="00EE23FC">
        <w:rPr>
          <w:rFonts w:cs="Arial"/>
          <w:sz w:val="18"/>
          <w:szCs w:val="18"/>
          <w:lang w:val="cs-CZ"/>
        </w:rPr>
        <w:t xml:space="preserve">mlouvy, má </w:t>
      </w:r>
      <w:r w:rsidR="005F671F" w:rsidRPr="00EE23FC">
        <w:rPr>
          <w:rFonts w:cs="Arial"/>
          <w:sz w:val="18"/>
          <w:szCs w:val="18"/>
          <w:lang w:val="cs-CZ"/>
        </w:rPr>
        <w:t>Bank</w:t>
      </w:r>
      <w:r w:rsidRPr="00EE23FC">
        <w:rPr>
          <w:rFonts w:cs="Arial"/>
          <w:sz w:val="18"/>
          <w:szCs w:val="18"/>
          <w:lang w:val="cs-CZ"/>
        </w:rPr>
        <w:t xml:space="preserve">a právo zpeněžit zadržené </w:t>
      </w:r>
      <w:r w:rsidR="00D242A9" w:rsidRPr="00EE23FC">
        <w:rPr>
          <w:rFonts w:cs="Arial"/>
          <w:sz w:val="18"/>
          <w:szCs w:val="18"/>
          <w:lang w:val="cs-CZ"/>
        </w:rPr>
        <w:t xml:space="preserve">investiční </w:t>
      </w:r>
      <w:r w:rsidRPr="00EE23FC">
        <w:rPr>
          <w:rFonts w:cs="Arial"/>
          <w:sz w:val="18"/>
          <w:szCs w:val="18"/>
          <w:lang w:val="cs-CZ"/>
        </w:rPr>
        <w:t xml:space="preserve">nástroje, které vybere podle své úvahy (bez odpovědnosti vůči </w:t>
      </w:r>
      <w:r w:rsidR="005F671F" w:rsidRPr="00EE23FC">
        <w:rPr>
          <w:rFonts w:cs="Arial"/>
          <w:sz w:val="18"/>
          <w:szCs w:val="18"/>
          <w:lang w:val="cs-CZ"/>
        </w:rPr>
        <w:t>Klien</w:t>
      </w:r>
      <w:r w:rsidRPr="00EE23FC">
        <w:rPr>
          <w:rFonts w:cs="Arial"/>
          <w:sz w:val="18"/>
          <w:szCs w:val="18"/>
          <w:lang w:val="cs-CZ"/>
        </w:rPr>
        <w:t xml:space="preserve">tovi za tento výběr) a použít výnos z prodeje na uhrazení příslušného dluhu. Banka je v souvislosti s tím dále oprávněna nakoupit jakoukoli jednu nebo více měn, ve kterých jsou takové dluhy vyjádřeny, za měnu nebo měny, ve kterých je veden jakýkoli účet </w:t>
      </w:r>
      <w:r w:rsidR="005F671F" w:rsidRPr="00EE23FC">
        <w:rPr>
          <w:rFonts w:cs="Arial"/>
          <w:sz w:val="18"/>
          <w:szCs w:val="18"/>
          <w:lang w:val="cs-CZ"/>
        </w:rPr>
        <w:t>Klien</w:t>
      </w:r>
      <w:r w:rsidRPr="00EE23FC">
        <w:rPr>
          <w:rFonts w:cs="Arial"/>
          <w:sz w:val="18"/>
          <w:szCs w:val="18"/>
          <w:lang w:val="cs-CZ"/>
        </w:rPr>
        <w:t xml:space="preserve">ta u </w:t>
      </w:r>
      <w:r w:rsidR="005F671F" w:rsidRPr="00EE23FC">
        <w:rPr>
          <w:rFonts w:cs="Arial"/>
          <w:sz w:val="18"/>
          <w:szCs w:val="18"/>
          <w:lang w:val="cs-CZ"/>
        </w:rPr>
        <w:t>Bank</w:t>
      </w:r>
      <w:r w:rsidRPr="00EE23FC">
        <w:rPr>
          <w:rFonts w:cs="Arial"/>
          <w:sz w:val="18"/>
          <w:szCs w:val="18"/>
          <w:lang w:val="cs-CZ"/>
        </w:rPr>
        <w:t xml:space="preserve">y, a to za směnný kurs, který bude pro </w:t>
      </w:r>
      <w:r w:rsidR="005F671F" w:rsidRPr="00EE23FC">
        <w:rPr>
          <w:rFonts w:cs="Arial"/>
          <w:sz w:val="18"/>
          <w:szCs w:val="18"/>
          <w:lang w:val="cs-CZ"/>
        </w:rPr>
        <w:t>Bank</w:t>
      </w:r>
      <w:r w:rsidRPr="00EE23FC">
        <w:rPr>
          <w:rFonts w:cs="Arial"/>
          <w:sz w:val="18"/>
          <w:szCs w:val="18"/>
          <w:lang w:val="cs-CZ"/>
        </w:rPr>
        <w:t>u dosažitelný. Podobné právo mají obvykle také vypořádací systémy k</w:t>
      </w:r>
      <w:r w:rsidR="00826D32" w:rsidRPr="00EE23FC">
        <w:rPr>
          <w:rFonts w:cs="Arial"/>
          <w:sz w:val="18"/>
          <w:szCs w:val="18"/>
          <w:lang w:val="cs-CZ"/>
        </w:rPr>
        <w:t> investičním nástrojům</w:t>
      </w:r>
      <w:r w:rsidRPr="00EE23FC">
        <w:rPr>
          <w:rFonts w:cs="Arial"/>
          <w:sz w:val="18"/>
          <w:szCs w:val="18"/>
          <w:lang w:val="cs-CZ"/>
        </w:rPr>
        <w:t>, které jsou jim svěřeny.</w:t>
      </w:r>
    </w:p>
    <w:p w:rsidR="00AC5662" w:rsidRPr="00EE23FC" w:rsidRDefault="00AC5662" w:rsidP="005853A5">
      <w:pPr>
        <w:tabs>
          <w:tab w:val="left" w:pos="540"/>
        </w:tabs>
        <w:ind w:left="426" w:hanging="426"/>
        <w:rPr>
          <w:rFonts w:cs="Arial"/>
          <w:szCs w:val="18"/>
        </w:rPr>
      </w:pPr>
    </w:p>
    <w:p w:rsidR="00ED5A14" w:rsidRPr="00EE23FC" w:rsidRDefault="00426964" w:rsidP="005853A5">
      <w:pPr>
        <w:tabs>
          <w:tab w:val="left" w:pos="540"/>
        </w:tabs>
        <w:ind w:left="426" w:hanging="426"/>
        <w:rPr>
          <w:rFonts w:cs="Arial"/>
          <w:szCs w:val="18"/>
        </w:rPr>
      </w:pPr>
      <w:r w:rsidRPr="00EE23FC">
        <w:rPr>
          <w:rFonts w:cs="Arial"/>
          <w:szCs w:val="18"/>
        </w:rPr>
        <w:t>8</w:t>
      </w:r>
      <w:r w:rsidR="003B5E07" w:rsidRPr="00EE23FC">
        <w:rPr>
          <w:rFonts w:cs="Arial"/>
          <w:szCs w:val="18"/>
        </w:rPr>
        <w:t xml:space="preserve">. </w:t>
      </w:r>
      <w:r w:rsidR="00702821" w:rsidRPr="00EE23FC">
        <w:rPr>
          <w:rFonts w:cs="Arial"/>
          <w:szCs w:val="18"/>
        </w:rPr>
        <w:tab/>
      </w:r>
      <w:r w:rsidR="003B5E07" w:rsidRPr="00EE23FC">
        <w:rPr>
          <w:rFonts w:cs="Arial"/>
          <w:szCs w:val="18"/>
          <w:u w:val="single"/>
        </w:rPr>
        <w:t xml:space="preserve">Výpověď </w:t>
      </w:r>
      <w:r w:rsidR="00702821" w:rsidRPr="00EE23FC">
        <w:rPr>
          <w:rFonts w:cs="Arial"/>
          <w:szCs w:val="18"/>
          <w:u w:val="single"/>
        </w:rPr>
        <w:t>smlouvy</w:t>
      </w:r>
    </w:p>
    <w:p w:rsidR="00702821" w:rsidRPr="00EE23FC" w:rsidRDefault="00702821" w:rsidP="005853A5">
      <w:pPr>
        <w:ind w:left="426" w:hanging="426"/>
        <w:jc w:val="both"/>
        <w:rPr>
          <w:rFonts w:cs="Arial"/>
          <w:szCs w:val="18"/>
        </w:rPr>
      </w:pPr>
    </w:p>
    <w:p w:rsidR="00ED5A14" w:rsidRPr="00EE23FC" w:rsidRDefault="00702821" w:rsidP="00AD003A">
      <w:pPr>
        <w:ind w:left="426"/>
        <w:jc w:val="both"/>
        <w:rPr>
          <w:rFonts w:cs="Arial"/>
          <w:szCs w:val="18"/>
        </w:rPr>
      </w:pPr>
      <w:r w:rsidRPr="00EE23FC">
        <w:rPr>
          <w:rFonts w:cs="Arial"/>
          <w:szCs w:val="18"/>
        </w:rPr>
        <w:t xml:space="preserve">Tato </w:t>
      </w:r>
      <w:r w:rsidR="00826D32" w:rsidRPr="00EE23FC">
        <w:rPr>
          <w:rFonts w:cs="Arial"/>
          <w:szCs w:val="18"/>
        </w:rPr>
        <w:t>S</w:t>
      </w:r>
      <w:r w:rsidRPr="00EE23FC">
        <w:rPr>
          <w:rFonts w:cs="Arial"/>
          <w:szCs w:val="18"/>
        </w:rPr>
        <w:t xml:space="preserve">mlouva byla uzavřena na dobu neurčitou. </w:t>
      </w:r>
      <w:r w:rsidR="00807EE0" w:rsidRPr="00EE23FC">
        <w:rPr>
          <w:rFonts w:cs="Arial"/>
          <w:szCs w:val="18"/>
        </w:rPr>
        <w:t>Každá</w:t>
      </w:r>
      <w:r w:rsidRPr="00EE23FC">
        <w:rPr>
          <w:rFonts w:cs="Arial"/>
          <w:szCs w:val="18"/>
        </w:rPr>
        <w:t xml:space="preserve"> smluvní strana může tuto </w:t>
      </w:r>
      <w:r w:rsidR="00807EE0" w:rsidRPr="00EE23FC">
        <w:rPr>
          <w:rFonts w:cs="Arial"/>
          <w:szCs w:val="18"/>
        </w:rPr>
        <w:t>S</w:t>
      </w:r>
      <w:r w:rsidRPr="00EE23FC">
        <w:rPr>
          <w:rFonts w:cs="Arial"/>
          <w:szCs w:val="18"/>
        </w:rPr>
        <w:t xml:space="preserve">mlouvu kdykoli vypovědět i bez </w:t>
      </w:r>
      <w:r w:rsidR="00D8402C" w:rsidRPr="00EE23FC">
        <w:rPr>
          <w:rFonts w:cs="Arial"/>
          <w:szCs w:val="18"/>
        </w:rPr>
        <w:t xml:space="preserve">uvedení </w:t>
      </w:r>
      <w:r w:rsidRPr="00EE23FC">
        <w:rPr>
          <w:rFonts w:cs="Arial"/>
          <w:szCs w:val="18"/>
        </w:rPr>
        <w:t xml:space="preserve">důvodů písemnou výpovědí s třicetidenní výpovědní </w:t>
      </w:r>
      <w:r w:rsidR="00826D32" w:rsidRPr="00EE23FC">
        <w:rPr>
          <w:rFonts w:cs="Arial"/>
          <w:szCs w:val="18"/>
        </w:rPr>
        <w:t>dobou</w:t>
      </w:r>
      <w:r w:rsidRPr="00EE23FC">
        <w:rPr>
          <w:rFonts w:cs="Arial"/>
          <w:szCs w:val="18"/>
        </w:rPr>
        <w:t xml:space="preserve">. </w:t>
      </w:r>
      <w:r w:rsidR="00F448D4" w:rsidRPr="00EE23FC">
        <w:rPr>
          <w:rFonts w:cs="Arial"/>
          <w:szCs w:val="18"/>
        </w:rPr>
        <w:t xml:space="preserve">Klient je povinen před uplynutím výpovědní </w:t>
      </w:r>
      <w:r w:rsidR="00D8402C" w:rsidRPr="00EE23FC">
        <w:rPr>
          <w:rFonts w:cs="Arial"/>
          <w:szCs w:val="18"/>
        </w:rPr>
        <w:t xml:space="preserve">doby uhradit Bance všechny dlužné částky vyplývající z této Smlouvy, </w:t>
      </w:r>
      <w:r w:rsidR="00F448D4" w:rsidRPr="00EE23FC">
        <w:rPr>
          <w:rFonts w:cs="Arial"/>
          <w:szCs w:val="18"/>
        </w:rPr>
        <w:t xml:space="preserve">vyzvednout všechny listinné investiční nástroje z úschovy u </w:t>
      </w:r>
      <w:r w:rsidR="00F448D4" w:rsidRPr="00EE23FC">
        <w:rPr>
          <w:rFonts w:cs="Arial"/>
          <w:szCs w:val="18"/>
        </w:rPr>
        <w:lastRenderedPageBreak/>
        <w:t xml:space="preserve">Banky a dát </w:t>
      </w:r>
      <w:r w:rsidR="00D8402C" w:rsidRPr="00EE23FC">
        <w:rPr>
          <w:rFonts w:cs="Arial"/>
          <w:szCs w:val="18"/>
        </w:rPr>
        <w:t>B</w:t>
      </w:r>
      <w:r w:rsidR="00F448D4" w:rsidRPr="00EE23FC">
        <w:rPr>
          <w:rFonts w:cs="Arial"/>
          <w:szCs w:val="18"/>
        </w:rPr>
        <w:t xml:space="preserve">ance Instrukci k převodu </w:t>
      </w:r>
      <w:r w:rsidR="00D4789E" w:rsidRPr="00EE23FC">
        <w:rPr>
          <w:rFonts w:cs="Arial"/>
          <w:szCs w:val="18"/>
        </w:rPr>
        <w:t xml:space="preserve">ostatních </w:t>
      </w:r>
      <w:r w:rsidR="00F448D4" w:rsidRPr="00EE23FC">
        <w:rPr>
          <w:rFonts w:cs="Arial"/>
          <w:szCs w:val="18"/>
        </w:rPr>
        <w:t xml:space="preserve">investičních nástrojů z Majetkových účtů na majetkové účty vedené jinými osobami. </w:t>
      </w:r>
      <w:r w:rsidR="00C94B80" w:rsidRPr="00EE23FC">
        <w:rPr>
          <w:rFonts w:cs="Arial"/>
          <w:szCs w:val="18"/>
        </w:rPr>
        <w:t xml:space="preserve">Pokud si Klient investiční nástroje před koncem výpovědní doby nevyzvedne z úschovy nebo nedá Instrukci k jejich převodu z Majetkových účtů, Banka </w:t>
      </w:r>
      <w:r w:rsidR="00807EE0" w:rsidRPr="00EE23FC">
        <w:rPr>
          <w:rFonts w:cs="Arial"/>
          <w:szCs w:val="18"/>
        </w:rPr>
        <w:t xml:space="preserve">je </w:t>
      </w:r>
      <w:r w:rsidR="00C94B80" w:rsidRPr="00EE23FC">
        <w:rPr>
          <w:rFonts w:cs="Arial"/>
          <w:szCs w:val="18"/>
        </w:rPr>
        <w:t>oprávněna investiční nástroje Klienta zpeněžit a výtěžek předat Klientovi po odečtení účelně vynaložených nákladů spojených s jejich prodejem.</w:t>
      </w:r>
    </w:p>
    <w:p w:rsidR="005D590A" w:rsidRDefault="005D590A" w:rsidP="005853A5">
      <w:pPr>
        <w:tabs>
          <w:tab w:val="left" w:pos="540"/>
        </w:tabs>
        <w:ind w:left="426" w:hanging="426"/>
        <w:rPr>
          <w:rFonts w:cs="Arial"/>
          <w:szCs w:val="18"/>
        </w:rPr>
      </w:pPr>
    </w:p>
    <w:p w:rsidR="009D4EA6" w:rsidRDefault="00667079" w:rsidP="005C19C0">
      <w:pPr>
        <w:tabs>
          <w:tab w:val="left" w:pos="540"/>
        </w:tabs>
        <w:ind w:left="426" w:hanging="426"/>
        <w:jc w:val="both"/>
        <w:rPr>
          <w:rFonts w:cs="Arial"/>
          <w:b/>
          <w:u w:val="single"/>
        </w:rPr>
      </w:pPr>
      <w:r>
        <w:rPr>
          <w:rFonts w:cs="Arial"/>
          <w:szCs w:val="18"/>
        </w:rPr>
        <w:t>9</w:t>
      </w:r>
      <w:r w:rsidR="005D590A" w:rsidRPr="003C0CBE">
        <w:rPr>
          <w:rFonts w:cs="Arial"/>
          <w:szCs w:val="18"/>
        </w:rPr>
        <w:t>.</w:t>
      </w:r>
      <w:r w:rsidR="009D4EA6">
        <w:rPr>
          <w:rFonts w:cs="Arial"/>
          <w:szCs w:val="18"/>
        </w:rPr>
        <w:t xml:space="preserve"> </w:t>
      </w:r>
      <w:r w:rsidR="00AA1E80">
        <w:rPr>
          <w:rFonts w:cs="Arial"/>
          <w:szCs w:val="18"/>
        </w:rPr>
        <w:tab/>
      </w:r>
      <w:r w:rsidR="009D4EA6" w:rsidRPr="003C0CBE">
        <w:rPr>
          <w:rFonts w:cs="Arial"/>
          <w:u w:val="single"/>
        </w:rPr>
        <w:t>Komunikace stran</w:t>
      </w:r>
    </w:p>
    <w:p w:rsidR="009D4EA6" w:rsidRDefault="009D4EA6" w:rsidP="005C19C0">
      <w:pPr>
        <w:ind w:left="567" w:hanging="567"/>
        <w:jc w:val="both"/>
        <w:rPr>
          <w:rFonts w:cs="Arial"/>
          <w:b/>
          <w:u w:val="single"/>
        </w:rPr>
      </w:pPr>
    </w:p>
    <w:p w:rsidR="009D4EA6" w:rsidRDefault="00667079" w:rsidP="005C19C0">
      <w:pPr>
        <w:tabs>
          <w:tab w:val="left" w:pos="540"/>
        </w:tabs>
        <w:ind w:left="426" w:hanging="426"/>
        <w:jc w:val="both"/>
        <w:rPr>
          <w:rFonts w:cs="Arial"/>
        </w:rPr>
      </w:pPr>
      <w:r>
        <w:rPr>
          <w:rFonts w:cs="Arial"/>
        </w:rPr>
        <w:t>9</w:t>
      </w:r>
      <w:r w:rsidR="0039626F">
        <w:rPr>
          <w:rFonts w:cs="Arial"/>
        </w:rPr>
        <w:t>.1</w:t>
      </w:r>
      <w:r w:rsidR="009D4EA6" w:rsidRPr="00AC2A65">
        <w:rPr>
          <w:rFonts w:cs="Arial"/>
        </w:rPr>
        <w:tab/>
        <w:t>Informační a propagační materiály týkající se služeb bude Banka</w:t>
      </w:r>
      <w:r w:rsidR="009D4EA6">
        <w:rPr>
          <w:rFonts w:cs="Arial"/>
        </w:rPr>
        <w:t xml:space="preserve"> </w:t>
      </w:r>
      <w:r w:rsidR="009D4EA6" w:rsidRPr="00AC2A65">
        <w:rPr>
          <w:rFonts w:cs="Arial"/>
        </w:rPr>
        <w:t>poskytovat Klientovi v českém jazyce, příp. v jazyce anglickém nebo slovenském, týká-li se informační nebo propagační</w:t>
      </w:r>
      <w:r w:rsidR="009D4EA6">
        <w:rPr>
          <w:rFonts w:cs="Arial"/>
        </w:rPr>
        <w:t xml:space="preserve"> </w:t>
      </w:r>
      <w:r w:rsidR="009D4EA6" w:rsidRPr="00AC2A65">
        <w:rPr>
          <w:rFonts w:cs="Arial"/>
        </w:rPr>
        <w:t>materiál investičních nástrojů</w:t>
      </w:r>
      <w:r w:rsidR="009D4EA6">
        <w:rPr>
          <w:rFonts w:cs="Arial"/>
        </w:rPr>
        <w:t xml:space="preserve"> </w:t>
      </w:r>
      <w:r w:rsidR="009D4EA6" w:rsidRPr="00AC2A65">
        <w:rPr>
          <w:rFonts w:cs="Arial"/>
        </w:rPr>
        <w:t>emitovaných v zahraničí.</w:t>
      </w:r>
    </w:p>
    <w:p w:rsidR="0039626F" w:rsidRDefault="0039626F" w:rsidP="005C19C0">
      <w:pPr>
        <w:tabs>
          <w:tab w:val="left" w:pos="540"/>
        </w:tabs>
        <w:ind w:left="426" w:hanging="426"/>
        <w:jc w:val="both"/>
        <w:rPr>
          <w:rFonts w:cs="Arial"/>
        </w:rPr>
      </w:pPr>
    </w:p>
    <w:p w:rsidR="0039626F" w:rsidRPr="00AC2A65" w:rsidRDefault="00667079" w:rsidP="005C19C0">
      <w:pPr>
        <w:tabs>
          <w:tab w:val="left" w:pos="540"/>
        </w:tabs>
        <w:ind w:left="426" w:hanging="426"/>
        <w:jc w:val="both"/>
        <w:rPr>
          <w:rFonts w:cs="Arial"/>
        </w:rPr>
      </w:pPr>
      <w:r>
        <w:rPr>
          <w:rFonts w:cs="Arial"/>
        </w:rPr>
        <w:t>9</w:t>
      </w:r>
      <w:r w:rsidR="0039626F">
        <w:rPr>
          <w:rFonts w:cs="Arial"/>
        </w:rPr>
        <w:t>.2</w:t>
      </w:r>
      <w:r w:rsidR="0039626F">
        <w:rPr>
          <w:rFonts w:cs="Arial"/>
        </w:rPr>
        <w:tab/>
        <w:t xml:space="preserve">Klient souhlasí s tím, že právními předpisy požadované informace o </w:t>
      </w:r>
      <w:r w:rsidR="00C52D21">
        <w:rPr>
          <w:rFonts w:cs="Arial"/>
        </w:rPr>
        <w:t>B</w:t>
      </w:r>
      <w:r w:rsidR="0039626F">
        <w:rPr>
          <w:rFonts w:cs="Arial"/>
        </w:rPr>
        <w:t>ance a poskytovaných investičních službách mu Banka poskytne na internetových stránkách www.csas.cz.</w:t>
      </w:r>
    </w:p>
    <w:p w:rsidR="009D4EA6" w:rsidRDefault="009D4EA6" w:rsidP="005853A5">
      <w:pPr>
        <w:tabs>
          <w:tab w:val="left" w:pos="540"/>
        </w:tabs>
        <w:ind w:left="426" w:hanging="426"/>
        <w:rPr>
          <w:rFonts w:cs="Arial"/>
          <w:szCs w:val="18"/>
        </w:rPr>
      </w:pPr>
    </w:p>
    <w:p w:rsidR="00ED5A14" w:rsidRPr="00EE23FC" w:rsidRDefault="00667079" w:rsidP="005853A5">
      <w:pPr>
        <w:tabs>
          <w:tab w:val="left" w:pos="540"/>
        </w:tabs>
        <w:ind w:left="426" w:hanging="426"/>
        <w:rPr>
          <w:rFonts w:cs="Arial"/>
          <w:szCs w:val="18"/>
        </w:rPr>
      </w:pPr>
      <w:r>
        <w:rPr>
          <w:rFonts w:cs="Arial"/>
          <w:szCs w:val="18"/>
        </w:rPr>
        <w:t>10</w:t>
      </w:r>
      <w:r w:rsidR="009D4EA6">
        <w:rPr>
          <w:rFonts w:cs="Arial"/>
          <w:szCs w:val="18"/>
        </w:rPr>
        <w:t xml:space="preserve">. </w:t>
      </w:r>
      <w:r w:rsidR="00AA1E80">
        <w:rPr>
          <w:rFonts w:cs="Arial"/>
          <w:szCs w:val="18"/>
        </w:rPr>
        <w:tab/>
      </w:r>
      <w:r w:rsidR="003B5E07" w:rsidRPr="00EE23FC">
        <w:rPr>
          <w:rFonts w:cs="Arial"/>
          <w:szCs w:val="18"/>
          <w:u w:val="single"/>
        </w:rPr>
        <w:t>Závěrečná ustanovení</w:t>
      </w:r>
    </w:p>
    <w:p w:rsidR="00702821" w:rsidRDefault="00702821" w:rsidP="005853A5">
      <w:pPr>
        <w:ind w:left="426" w:hanging="426"/>
        <w:jc w:val="both"/>
        <w:rPr>
          <w:rFonts w:cs="Arial"/>
          <w:szCs w:val="18"/>
        </w:rPr>
      </w:pPr>
    </w:p>
    <w:p w:rsidR="001960E8" w:rsidRPr="00336649" w:rsidRDefault="001960E8" w:rsidP="001960E8">
      <w:pPr>
        <w:pStyle w:val="Zkladntextodsazen3"/>
        <w:spacing w:after="0"/>
        <w:ind w:left="426" w:hanging="426"/>
        <w:jc w:val="both"/>
        <w:rPr>
          <w:rFonts w:cs="Arial"/>
          <w:sz w:val="18"/>
          <w:szCs w:val="18"/>
        </w:rPr>
      </w:pPr>
      <w:r>
        <w:rPr>
          <w:rFonts w:cs="Arial"/>
          <w:sz w:val="18"/>
          <w:szCs w:val="18"/>
          <w:lang w:val="cs-CZ"/>
        </w:rPr>
        <w:t xml:space="preserve">10. 1 </w:t>
      </w:r>
      <w:r w:rsidRPr="00336649">
        <w:rPr>
          <w:rFonts w:cs="Arial"/>
          <w:sz w:val="18"/>
          <w:szCs w:val="18"/>
        </w:rPr>
        <w:t>Smluvní strany prohlašují, že se na tuto Smlouvu vztahuje povinnost uveřejnění v Registru smluv a souhlasí s uveřejněním celého jejího obsahu. Smluvní strany se dohodly, že Banka je oprávněna uveřejnit Smlouvu v Registru smluv.</w:t>
      </w:r>
      <w:r w:rsidRPr="00652F60">
        <w:t xml:space="preserve"> </w:t>
      </w:r>
      <w:r w:rsidRPr="00652F60">
        <w:rPr>
          <w:rFonts w:cs="Arial"/>
          <w:sz w:val="18"/>
          <w:szCs w:val="18"/>
        </w:rPr>
        <w:t>Smlouva nabývá účinnosti uveřejněním v Registru smluv Bankou.</w:t>
      </w:r>
    </w:p>
    <w:p w:rsidR="001960E8" w:rsidRDefault="001960E8" w:rsidP="001960E8">
      <w:pPr>
        <w:pStyle w:val="Zkladntextodsazen3"/>
        <w:spacing w:after="0"/>
        <w:ind w:left="426"/>
        <w:jc w:val="both"/>
        <w:rPr>
          <w:rFonts w:cs="Arial"/>
          <w:sz w:val="18"/>
          <w:szCs w:val="18"/>
          <w:lang w:val="cs-CZ"/>
        </w:rPr>
      </w:pPr>
    </w:p>
    <w:p w:rsidR="001960E8" w:rsidRDefault="001960E8" w:rsidP="001960E8">
      <w:pPr>
        <w:pStyle w:val="Zkladntextodsazen3"/>
        <w:spacing w:after="0"/>
        <w:ind w:left="426"/>
        <w:jc w:val="both"/>
        <w:rPr>
          <w:rFonts w:cs="Arial"/>
          <w:sz w:val="18"/>
          <w:szCs w:val="18"/>
          <w:lang w:val="cs-CZ"/>
        </w:rPr>
      </w:pPr>
      <w:r w:rsidRPr="00336649">
        <w:rPr>
          <w:rFonts w:cs="Arial"/>
          <w:sz w:val="18"/>
          <w:szCs w:val="18"/>
          <w:lang w:val="cs-CZ"/>
        </w:rPr>
        <w:t>„</w:t>
      </w:r>
      <w:r w:rsidRPr="00B0040D">
        <w:rPr>
          <w:rFonts w:cs="Arial"/>
          <w:sz w:val="18"/>
          <w:szCs w:val="18"/>
          <w:lang w:val="cs-CZ"/>
        </w:rPr>
        <w:t>Registr smluv</w:t>
      </w:r>
      <w:r w:rsidRPr="00203AAB">
        <w:rPr>
          <w:rFonts w:cs="Arial"/>
          <w:sz w:val="18"/>
          <w:szCs w:val="18"/>
          <w:lang w:val="cs-CZ"/>
        </w:rPr>
        <w:t>“</w:t>
      </w:r>
      <w:r w:rsidRPr="00336649">
        <w:rPr>
          <w:rFonts w:cs="Arial"/>
          <w:sz w:val="18"/>
          <w:szCs w:val="18"/>
          <w:lang w:val="cs-CZ"/>
        </w:rPr>
        <w:t xml:space="preserve"> znamená informační systém veřejné správy podle zákona č. 340/2015 Sb., o zvláštních podmínkách účinnosti některých smluv, uveřejňování těchto smluv a o registru smluv (zákon o registru smluv).</w:t>
      </w:r>
    </w:p>
    <w:p w:rsidR="001960E8" w:rsidRDefault="001960E8" w:rsidP="005853A5">
      <w:pPr>
        <w:pStyle w:val="Zkladntextodsazen3"/>
        <w:spacing w:after="0"/>
        <w:ind w:left="426" w:hanging="426"/>
        <w:jc w:val="both"/>
        <w:rPr>
          <w:rFonts w:cs="Arial"/>
          <w:sz w:val="18"/>
          <w:szCs w:val="18"/>
          <w:lang w:val="cs-CZ"/>
        </w:rPr>
      </w:pPr>
    </w:p>
    <w:p w:rsidR="00340925" w:rsidRPr="00EE23FC" w:rsidRDefault="00667079" w:rsidP="005853A5">
      <w:pPr>
        <w:pStyle w:val="Zkladntextodsazen3"/>
        <w:spacing w:after="0"/>
        <w:ind w:left="426" w:hanging="426"/>
        <w:jc w:val="both"/>
        <w:rPr>
          <w:rFonts w:cs="Arial"/>
          <w:sz w:val="18"/>
          <w:szCs w:val="18"/>
          <w:lang w:val="cs-CZ"/>
        </w:rPr>
      </w:pPr>
      <w:r>
        <w:rPr>
          <w:rFonts w:cs="Arial"/>
          <w:sz w:val="18"/>
          <w:szCs w:val="18"/>
          <w:lang w:val="cs-CZ"/>
        </w:rPr>
        <w:t>10</w:t>
      </w:r>
      <w:r w:rsidR="00426964" w:rsidRPr="00EE23FC">
        <w:rPr>
          <w:rFonts w:cs="Arial"/>
          <w:sz w:val="18"/>
          <w:szCs w:val="18"/>
          <w:lang w:val="cs-CZ"/>
        </w:rPr>
        <w:t>.</w:t>
      </w:r>
      <w:r w:rsidR="001960E8">
        <w:rPr>
          <w:rFonts w:cs="Arial"/>
          <w:sz w:val="18"/>
          <w:szCs w:val="18"/>
          <w:lang w:val="cs-CZ"/>
        </w:rPr>
        <w:t>2</w:t>
      </w:r>
      <w:r w:rsidR="00426964" w:rsidRPr="00EE23FC">
        <w:rPr>
          <w:rFonts w:cs="Arial"/>
          <w:sz w:val="18"/>
          <w:szCs w:val="18"/>
          <w:lang w:val="cs-CZ"/>
        </w:rPr>
        <w:tab/>
      </w:r>
      <w:r w:rsidR="00340925" w:rsidRPr="00EE23FC">
        <w:rPr>
          <w:rFonts w:cs="Arial"/>
          <w:sz w:val="18"/>
          <w:szCs w:val="18"/>
          <w:lang w:val="cs-CZ"/>
        </w:rPr>
        <w:t xml:space="preserve">Klient zmocňuje Banku ke všem jednáním jménem Klienta, která jsou nutná na základě této Smlouvy. V případě potřeby se Klient zavazuje na základě požadavku Banky vystavit plnou moc potvrzující zmocnění Banky </w:t>
      </w:r>
      <w:r w:rsidR="00BE5F01" w:rsidRPr="00EE23FC">
        <w:rPr>
          <w:rFonts w:cs="Arial"/>
          <w:sz w:val="18"/>
          <w:szCs w:val="18"/>
          <w:lang w:val="cs-CZ"/>
        </w:rPr>
        <w:t>po</w:t>
      </w:r>
      <w:r w:rsidR="00340925" w:rsidRPr="00EE23FC">
        <w:rPr>
          <w:rFonts w:cs="Arial"/>
          <w:sz w:val="18"/>
          <w:szCs w:val="18"/>
          <w:lang w:val="cs-CZ"/>
        </w:rPr>
        <w:t>dle této Smlouvy.</w:t>
      </w:r>
    </w:p>
    <w:p w:rsidR="00340925" w:rsidRPr="00EE23FC" w:rsidRDefault="00340925" w:rsidP="005853A5">
      <w:pPr>
        <w:pStyle w:val="Zkladntextodsazen3"/>
        <w:spacing w:after="0"/>
        <w:ind w:left="426" w:hanging="426"/>
        <w:jc w:val="both"/>
        <w:rPr>
          <w:rFonts w:cs="Arial"/>
          <w:sz w:val="18"/>
          <w:szCs w:val="18"/>
          <w:lang w:val="cs-CZ"/>
        </w:rPr>
      </w:pPr>
    </w:p>
    <w:p w:rsidR="00702821" w:rsidRPr="00EE23FC" w:rsidRDefault="00667079" w:rsidP="005853A5">
      <w:pPr>
        <w:pStyle w:val="Zkladntextodsazen3"/>
        <w:spacing w:after="0"/>
        <w:ind w:left="426" w:hanging="426"/>
        <w:jc w:val="both"/>
        <w:rPr>
          <w:rFonts w:cs="Arial"/>
          <w:sz w:val="18"/>
          <w:szCs w:val="18"/>
          <w:lang w:val="cs-CZ"/>
        </w:rPr>
      </w:pPr>
      <w:r>
        <w:rPr>
          <w:rFonts w:cs="Arial"/>
          <w:sz w:val="18"/>
          <w:szCs w:val="18"/>
          <w:lang w:val="cs-CZ"/>
        </w:rPr>
        <w:t>10</w:t>
      </w:r>
      <w:r w:rsidR="00426964" w:rsidRPr="00EE23FC">
        <w:rPr>
          <w:rFonts w:cs="Arial"/>
          <w:sz w:val="18"/>
          <w:szCs w:val="18"/>
          <w:lang w:val="cs-CZ"/>
        </w:rPr>
        <w:t>.</w:t>
      </w:r>
      <w:r w:rsidR="001960E8">
        <w:rPr>
          <w:rFonts w:cs="Arial"/>
          <w:sz w:val="18"/>
          <w:szCs w:val="18"/>
          <w:lang w:val="cs-CZ"/>
        </w:rPr>
        <w:t>3</w:t>
      </w:r>
      <w:r w:rsidR="00702821" w:rsidRPr="00EE23FC">
        <w:rPr>
          <w:rFonts w:cs="Arial"/>
          <w:sz w:val="18"/>
          <w:szCs w:val="18"/>
          <w:lang w:val="cs-CZ"/>
        </w:rPr>
        <w:tab/>
        <w:t xml:space="preserve">Klient bere na vědomí a souhlasí s tím, že </w:t>
      </w:r>
      <w:r w:rsidR="005F671F" w:rsidRPr="00EE23FC">
        <w:rPr>
          <w:rFonts w:cs="Arial"/>
          <w:sz w:val="18"/>
          <w:szCs w:val="18"/>
          <w:lang w:val="cs-CZ"/>
        </w:rPr>
        <w:t>Bank</w:t>
      </w:r>
      <w:r w:rsidR="00702821" w:rsidRPr="00EE23FC">
        <w:rPr>
          <w:rFonts w:cs="Arial"/>
          <w:sz w:val="18"/>
          <w:szCs w:val="18"/>
          <w:lang w:val="cs-CZ"/>
        </w:rPr>
        <w:t xml:space="preserve">a může sdělit informace o kterémkoli </w:t>
      </w:r>
      <w:r w:rsidR="00C94B80" w:rsidRPr="00EE23FC">
        <w:rPr>
          <w:rFonts w:cs="Arial"/>
          <w:sz w:val="18"/>
          <w:szCs w:val="18"/>
          <w:lang w:val="cs-CZ"/>
        </w:rPr>
        <w:t>M</w:t>
      </w:r>
      <w:r w:rsidR="00702821" w:rsidRPr="00EE23FC">
        <w:rPr>
          <w:rFonts w:cs="Arial"/>
          <w:sz w:val="18"/>
          <w:szCs w:val="18"/>
          <w:lang w:val="cs-CZ"/>
        </w:rPr>
        <w:t>ajetkovém účtu</w:t>
      </w:r>
      <w:r w:rsidR="003853EA" w:rsidRPr="00EE23FC">
        <w:rPr>
          <w:rFonts w:cs="Arial"/>
          <w:sz w:val="18"/>
          <w:szCs w:val="18"/>
          <w:lang w:val="cs-CZ"/>
        </w:rPr>
        <w:t>, Účtu v CDCP</w:t>
      </w:r>
      <w:r w:rsidR="00ED043F" w:rsidRPr="00EE23FC">
        <w:rPr>
          <w:rFonts w:cs="Arial"/>
          <w:sz w:val="18"/>
          <w:szCs w:val="18"/>
          <w:lang w:val="cs-CZ"/>
        </w:rPr>
        <w:t xml:space="preserve"> a </w:t>
      </w:r>
      <w:r w:rsidR="009E6E21" w:rsidRPr="00EE23FC">
        <w:rPr>
          <w:rFonts w:cs="Arial"/>
          <w:sz w:val="18"/>
          <w:szCs w:val="18"/>
          <w:lang w:val="cs-CZ"/>
        </w:rPr>
        <w:t xml:space="preserve">Peněžním </w:t>
      </w:r>
      <w:r w:rsidR="00702821" w:rsidRPr="00EE23FC">
        <w:rPr>
          <w:rFonts w:cs="Arial"/>
          <w:sz w:val="18"/>
          <w:szCs w:val="18"/>
          <w:lang w:val="cs-CZ"/>
        </w:rPr>
        <w:t>účtu třetím osobám, pokud to bude vyžadováno právními předpisy nebo předpisy, pravidly či řády některého vypořádacího systému.</w:t>
      </w:r>
    </w:p>
    <w:p w:rsidR="00702821" w:rsidRPr="00EE23FC" w:rsidRDefault="00702821" w:rsidP="005853A5">
      <w:pPr>
        <w:ind w:left="426" w:hanging="426"/>
        <w:jc w:val="both"/>
        <w:rPr>
          <w:rFonts w:cs="Arial"/>
          <w:szCs w:val="18"/>
        </w:rPr>
      </w:pPr>
    </w:p>
    <w:p w:rsidR="00702821" w:rsidRPr="00EE23FC" w:rsidRDefault="00667079" w:rsidP="005853A5">
      <w:pPr>
        <w:pStyle w:val="Zkladntextodsazen3"/>
        <w:spacing w:after="0"/>
        <w:ind w:left="426" w:hanging="426"/>
        <w:jc w:val="both"/>
        <w:rPr>
          <w:rFonts w:cs="Arial"/>
          <w:sz w:val="18"/>
          <w:szCs w:val="18"/>
          <w:lang w:val="cs-CZ"/>
        </w:rPr>
      </w:pPr>
      <w:r>
        <w:rPr>
          <w:rFonts w:cs="Arial"/>
          <w:sz w:val="18"/>
          <w:szCs w:val="18"/>
          <w:lang w:val="cs-CZ"/>
        </w:rPr>
        <w:t>10</w:t>
      </w:r>
      <w:r w:rsidR="00426964" w:rsidRPr="00EE23FC">
        <w:rPr>
          <w:rFonts w:cs="Arial"/>
          <w:sz w:val="18"/>
          <w:szCs w:val="18"/>
          <w:lang w:val="cs-CZ"/>
        </w:rPr>
        <w:t>.</w:t>
      </w:r>
      <w:r w:rsidR="001960E8">
        <w:rPr>
          <w:rFonts w:cs="Arial"/>
          <w:sz w:val="18"/>
          <w:szCs w:val="18"/>
          <w:lang w:val="cs-CZ"/>
        </w:rPr>
        <w:t>4</w:t>
      </w:r>
      <w:r w:rsidR="00702821" w:rsidRPr="00EE23FC">
        <w:rPr>
          <w:rFonts w:cs="Arial"/>
          <w:sz w:val="18"/>
          <w:szCs w:val="18"/>
          <w:lang w:val="cs-CZ"/>
        </w:rPr>
        <w:tab/>
        <w:t xml:space="preserve">Není-li v této </w:t>
      </w:r>
      <w:r w:rsidR="0026456C" w:rsidRPr="00EE23FC">
        <w:rPr>
          <w:rFonts w:cs="Arial"/>
          <w:sz w:val="18"/>
          <w:szCs w:val="18"/>
          <w:lang w:val="cs-CZ"/>
        </w:rPr>
        <w:t>S</w:t>
      </w:r>
      <w:r w:rsidR="00702821" w:rsidRPr="00EE23FC">
        <w:rPr>
          <w:rFonts w:cs="Arial"/>
          <w:sz w:val="18"/>
          <w:szCs w:val="18"/>
          <w:lang w:val="cs-CZ"/>
        </w:rPr>
        <w:t xml:space="preserve">mlouvě stanoveno jinak, tato </w:t>
      </w:r>
      <w:r w:rsidR="0026456C" w:rsidRPr="00EE23FC">
        <w:rPr>
          <w:rFonts w:cs="Arial"/>
          <w:sz w:val="18"/>
          <w:szCs w:val="18"/>
          <w:lang w:val="cs-CZ"/>
        </w:rPr>
        <w:t>S</w:t>
      </w:r>
      <w:r w:rsidR="00702821" w:rsidRPr="00EE23FC">
        <w:rPr>
          <w:rFonts w:cs="Arial"/>
          <w:sz w:val="18"/>
          <w:szCs w:val="18"/>
          <w:lang w:val="cs-CZ"/>
        </w:rPr>
        <w:t xml:space="preserve">mlouva může být měněna pouze formou písemných dodatků. Banka může jednostranným písemným oznámením doručeným </w:t>
      </w:r>
      <w:r w:rsidR="005F671F" w:rsidRPr="00EE23FC">
        <w:rPr>
          <w:rFonts w:cs="Arial"/>
          <w:sz w:val="18"/>
          <w:szCs w:val="18"/>
          <w:lang w:val="cs-CZ"/>
        </w:rPr>
        <w:t>Klien</w:t>
      </w:r>
      <w:r w:rsidR="00702821" w:rsidRPr="00EE23FC">
        <w:rPr>
          <w:rFonts w:cs="Arial"/>
          <w:sz w:val="18"/>
          <w:szCs w:val="18"/>
          <w:lang w:val="cs-CZ"/>
        </w:rPr>
        <w:t>tovi měnit přílohy smlouvy</w:t>
      </w:r>
      <w:r w:rsidR="00ED043F" w:rsidRPr="00EE23FC">
        <w:rPr>
          <w:rFonts w:cs="Arial"/>
          <w:sz w:val="18"/>
          <w:szCs w:val="18"/>
          <w:lang w:val="cs-CZ"/>
        </w:rPr>
        <w:t>.</w:t>
      </w:r>
      <w:r w:rsidR="00702821" w:rsidRPr="00EE23FC">
        <w:rPr>
          <w:rFonts w:cs="Arial"/>
          <w:sz w:val="18"/>
          <w:szCs w:val="18"/>
          <w:lang w:val="cs-CZ"/>
        </w:rPr>
        <w:t xml:space="preserve"> Změny </w:t>
      </w:r>
      <w:r w:rsidR="003853EA" w:rsidRPr="00EE23FC">
        <w:rPr>
          <w:rFonts w:cs="Arial"/>
          <w:sz w:val="18"/>
          <w:szCs w:val="18"/>
          <w:lang w:val="cs-CZ"/>
        </w:rPr>
        <w:t xml:space="preserve">příloh </w:t>
      </w:r>
      <w:r w:rsidR="00702821" w:rsidRPr="00EE23FC">
        <w:rPr>
          <w:rFonts w:cs="Arial"/>
          <w:sz w:val="18"/>
          <w:szCs w:val="18"/>
          <w:lang w:val="cs-CZ"/>
        </w:rPr>
        <w:t xml:space="preserve">jsou účinné dnem určeným </w:t>
      </w:r>
      <w:r w:rsidR="005F671F" w:rsidRPr="00EE23FC">
        <w:rPr>
          <w:rFonts w:cs="Arial"/>
          <w:sz w:val="18"/>
          <w:szCs w:val="18"/>
          <w:lang w:val="cs-CZ"/>
        </w:rPr>
        <w:t>Bank</w:t>
      </w:r>
      <w:r w:rsidR="00702821" w:rsidRPr="00EE23FC">
        <w:rPr>
          <w:rFonts w:cs="Arial"/>
          <w:sz w:val="18"/>
          <w:szCs w:val="18"/>
          <w:lang w:val="cs-CZ"/>
        </w:rPr>
        <w:t>ou</w:t>
      </w:r>
      <w:r w:rsidR="00BE5F01" w:rsidRPr="00EE23FC">
        <w:rPr>
          <w:rFonts w:cs="Arial"/>
          <w:sz w:val="18"/>
          <w:szCs w:val="18"/>
          <w:lang w:val="cs-CZ"/>
        </w:rPr>
        <w:t>, který nesmí předcházet datu doručení změny Klientovi</w:t>
      </w:r>
      <w:r w:rsidR="003853EA" w:rsidRPr="00EE23FC">
        <w:rPr>
          <w:rFonts w:cs="Arial"/>
          <w:sz w:val="18"/>
          <w:szCs w:val="18"/>
          <w:lang w:val="cs-CZ"/>
        </w:rPr>
        <w:t>.</w:t>
      </w:r>
      <w:r w:rsidR="00702821" w:rsidRPr="00EE23FC">
        <w:rPr>
          <w:rFonts w:cs="Arial"/>
          <w:sz w:val="18"/>
          <w:szCs w:val="18"/>
          <w:lang w:val="cs-CZ"/>
        </w:rPr>
        <w:t xml:space="preserve"> </w:t>
      </w:r>
      <w:r w:rsidR="009E6E21" w:rsidRPr="00EE23FC">
        <w:rPr>
          <w:rFonts w:cs="Arial"/>
          <w:sz w:val="18"/>
          <w:szCs w:val="18"/>
          <w:lang w:val="cs-CZ"/>
        </w:rPr>
        <w:t xml:space="preserve">Změny Ceníku, které jsou ve prospěch Klienta, se stávají účinnými jejich doručením Klientovi. Ostatní změny Ceníku je </w:t>
      </w:r>
      <w:r w:rsidR="005F671F" w:rsidRPr="00EE23FC">
        <w:rPr>
          <w:rFonts w:cs="Arial"/>
          <w:sz w:val="18"/>
          <w:szCs w:val="18"/>
          <w:lang w:val="cs-CZ"/>
        </w:rPr>
        <w:t>Bank</w:t>
      </w:r>
      <w:r w:rsidR="00702821" w:rsidRPr="00EE23FC">
        <w:rPr>
          <w:rFonts w:cs="Arial"/>
          <w:sz w:val="18"/>
          <w:szCs w:val="18"/>
          <w:lang w:val="cs-CZ"/>
        </w:rPr>
        <w:t xml:space="preserve">a povinna zaslat </w:t>
      </w:r>
      <w:r w:rsidR="005F671F" w:rsidRPr="00EE23FC">
        <w:rPr>
          <w:rFonts w:cs="Arial"/>
          <w:sz w:val="18"/>
          <w:szCs w:val="18"/>
          <w:lang w:val="cs-CZ"/>
        </w:rPr>
        <w:t>Klien</w:t>
      </w:r>
      <w:r w:rsidR="00702821" w:rsidRPr="00EE23FC">
        <w:rPr>
          <w:rFonts w:cs="Arial"/>
          <w:sz w:val="18"/>
          <w:szCs w:val="18"/>
          <w:lang w:val="cs-CZ"/>
        </w:rPr>
        <w:t>tovi vždy alespoň 30 dnů před nabytím jeho účinnosti.</w:t>
      </w:r>
      <w:r w:rsidR="005C1F1D" w:rsidRPr="00EE23FC">
        <w:rPr>
          <w:rFonts w:cs="Arial"/>
          <w:sz w:val="18"/>
          <w:szCs w:val="18"/>
          <w:lang w:val="cs-CZ"/>
        </w:rPr>
        <w:t xml:space="preserve"> </w:t>
      </w:r>
    </w:p>
    <w:p w:rsidR="00702821" w:rsidRPr="00EE23FC" w:rsidRDefault="00702821" w:rsidP="005853A5">
      <w:pPr>
        <w:ind w:left="426" w:hanging="426"/>
        <w:jc w:val="both"/>
        <w:rPr>
          <w:rFonts w:cs="Arial"/>
          <w:szCs w:val="18"/>
        </w:rPr>
      </w:pPr>
    </w:p>
    <w:p w:rsidR="00702821" w:rsidRPr="00EE23FC" w:rsidRDefault="00667079" w:rsidP="005853A5">
      <w:pPr>
        <w:pStyle w:val="Zkladntextodsazen3"/>
        <w:spacing w:after="0"/>
        <w:ind w:left="426" w:hanging="426"/>
        <w:jc w:val="both"/>
        <w:rPr>
          <w:rFonts w:cs="Arial"/>
          <w:sz w:val="18"/>
          <w:szCs w:val="18"/>
          <w:lang w:val="cs-CZ"/>
        </w:rPr>
      </w:pPr>
      <w:r>
        <w:rPr>
          <w:rFonts w:cs="Arial"/>
          <w:sz w:val="18"/>
          <w:szCs w:val="18"/>
          <w:lang w:val="cs-CZ"/>
        </w:rPr>
        <w:t>10</w:t>
      </w:r>
      <w:r w:rsidR="00AC4123" w:rsidRPr="00EE23FC">
        <w:rPr>
          <w:rFonts w:cs="Arial"/>
          <w:sz w:val="18"/>
          <w:szCs w:val="18"/>
          <w:lang w:val="cs-CZ"/>
        </w:rPr>
        <w:t>.</w:t>
      </w:r>
      <w:r w:rsidR="001960E8">
        <w:rPr>
          <w:rFonts w:cs="Arial"/>
          <w:sz w:val="18"/>
          <w:szCs w:val="18"/>
          <w:lang w:val="cs-CZ"/>
        </w:rPr>
        <w:t>5</w:t>
      </w:r>
      <w:r w:rsidR="00702821" w:rsidRPr="00EE23FC">
        <w:rPr>
          <w:rFonts w:cs="Arial"/>
          <w:sz w:val="18"/>
          <w:szCs w:val="18"/>
          <w:lang w:val="cs-CZ"/>
        </w:rPr>
        <w:tab/>
        <w:t xml:space="preserve">Kterékoli ustanovení této </w:t>
      </w:r>
      <w:r w:rsidR="003853EA" w:rsidRPr="00EE23FC">
        <w:rPr>
          <w:rFonts w:cs="Arial"/>
          <w:sz w:val="18"/>
          <w:szCs w:val="18"/>
          <w:lang w:val="cs-CZ"/>
        </w:rPr>
        <w:t>S</w:t>
      </w:r>
      <w:r w:rsidR="00702821" w:rsidRPr="00EE23FC">
        <w:rPr>
          <w:rFonts w:cs="Arial"/>
          <w:sz w:val="18"/>
          <w:szCs w:val="18"/>
          <w:lang w:val="cs-CZ"/>
        </w:rPr>
        <w:t xml:space="preserve">mlouvy, které je nedovolené nebo nevymahatelné, je neúčinné, avšak pouze v rozsahu uvedeného zákazu nebo nevymahatelnosti a aniž by tím ztratila platnost nebo účinnost ostatní ustanovení této </w:t>
      </w:r>
      <w:r w:rsidR="003853EA" w:rsidRPr="00EE23FC">
        <w:rPr>
          <w:rFonts w:cs="Arial"/>
          <w:sz w:val="18"/>
          <w:szCs w:val="18"/>
          <w:lang w:val="cs-CZ"/>
        </w:rPr>
        <w:t>S</w:t>
      </w:r>
      <w:r w:rsidR="00702821" w:rsidRPr="00EE23FC">
        <w:rPr>
          <w:rFonts w:cs="Arial"/>
          <w:sz w:val="18"/>
          <w:szCs w:val="18"/>
          <w:lang w:val="cs-CZ"/>
        </w:rPr>
        <w:t>mlouvy.</w:t>
      </w:r>
    </w:p>
    <w:p w:rsidR="00702821" w:rsidRPr="00EE23FC" w:rsidRDefault="00702821" w:rsidP="005853A5">
      <w:pPr>
        <w:pStyle w:val="Zkladntextodsazen3"/>
        <w:spacing w:after="0"/>
        <w:ind w:left="426" w:hanging="426"/>
        <w:jc w:val="both"/>
        <w:rPr>
          <w:rFonts w:cs="Arial"/>
          <w:sz w:val="18"/>
          <w:szCs w:val="18"/>
          <w:lang w:val="cs-CZ"/>
        </w:rPr>
      </w:pPr>
    </w:p>
    <w:p w:rsidR="005E63E3" w:rsidRPr="00EE23FC" w:rsidRDefault="00667079" w:rsidP="005853A5">
      <w:pPr>
        <w:pStyle w:val="Zkladntextodsazen3"/>
        <w:spacing w:after="0"/>
        <w:ind w:left="426" w:hanging="426"/>
        <w:jc w:val="both"/>
        <w:rPr>
          <w:rFonts w:cs="Arial"/>
          <w:sz w:val="18"/>
          <w:szCs w:val="18"/>
          <w:lang w:val="cs-CZ"/>
        </w:rPr>
      </w:pPr>
      <w:r>
        <w:rPr>
          <w:rFonts w:cs="Arial"/>
          <w:sz w:val="18"/>
          <w:szCs w:val="18"/>
          <w:lang w:val="cs-CZ"/>
        </w:rPr>
        <w:t>10</w:t>
      </w:r>
      <w:r w:rsidR="00AC4123" w:rsidRPr="00EE23FC">
        <w:rPr>
          <w:rFonts w:cs="Arial"/>
          <w:sz w:val="18"/>
          <w:szCs w:val="18"/>
          <w:lang w:val="cs-CZ"/>
        </w:rPr>
        <w:t>.</w:t>
      </w:r>
      <w:r w:rsidR="001960E8">
        <w:rPr>
          <w:rFonts w:cs="Arial"/>
          <w:sz w:val="18"/>
          <w:szCs w:val="18"/>
          <w:lang w:val="cs-CZ"/>
        </w:rPr>
        <w:t>6</w:t>
      </w:r>
      <w:r w:rsidR="00702821" w:rsidRPr="00EE23FC">
        <w:rPr>
          <w:rFonts w:cs="Arial"/>
          <w:sz w:val="18"/>
          <w:szCs w:val="18"/>
          <w:lang w:val="cs-CZ"/>
        </w:rPr>
        <w:tab/>
        <w:t xml:space="preserve">Tato </w:t>
      </w:r>
      <w:r w:rsidR="0026456C" w:rsidRPr="00EE23FC">
        <w:rPr>
          <w:rFonts w:cs="Arial"/>
          <w:sz w:val="18"/>
          <w:szCs w:val="18"/>
          <w:lang w:val="cs-CZ"/>
        </w:rPr>
        <w:t>S</w:t>
      </w:r>
      <w:r w:rsidR="00702821" w:rsidRPr="00EE23FC">
        <w:rPr>
          <w:rFonts w:cs="Arial"/>
          <w:sz w:val="18"/>
          <w:szCs w:val="18"/>
          <w:lang w:val="cs-CZ"/>
        </w:rPr>
        <w:t xml:space="preserve">mlouva se řídí právními předpisy České republiky. Smluvní strany sjednaly, že na jejich vzájemná práva a povinnosti ze </w:t>
      </w:r>
      <w:r w:rsidR="003853EA" w:rsidRPr="00EE23FC">
        <w:rPr>
          <w:rFonts w:cs="Arial"/>
          <w:sz w:val="18"/>
          <w:szCs w:val="18"/>
          <w:lang w:val="cs-CZ"/>
        </w:rPr>
        <w:t>S</w:t>
      </w:r>
      <w:r w:rsidR="00702821" w:rsidRPr="00EE23FC">
        <w:rPr>
          <w:rFonts w:cs="Arial"/>
          <w:sz w:val="18"/>
          <w:szCs w:val="18"/>
          <w:lang w:val="cs-CZ"/>
        </w:rPr>
        <w:t>mlouvy se neuplatní § 1799 a 1800</w:t>
      </w:r>
      <w:r w:rsidR="003853EA" w:rsidRPr="00EE23FC">
        <w:rPr>
          <w:rFonts w:cs="Arial"/>
          <w:sz w:val="18"/>
          <w:szCs w:val="18"/>
          <w:lang w:val="cs-CZ"/>
        </w:rPr>
        <w:t>,</w:t>
      </w:r>
      <w:r w:rsidR="00702821" w:rsidRPr="00EE23FC">
        <w:rPr>
          <w:rFonts w:cs="Arial"/>
          <w:sz w:val="18"/>
          <w:szCs w:val="18"/>
          <w:lang w:val="cs-CZ"/>
        </w:rPr>
        <w:t xml:space="preserve"> ani úprava správy cizího majetku v § 1400 až 1447 zákona č. 89/2012 Sb., občanský zákoník. Veškeré spory, ke kterým dojde na základě této smlouvy nebo v souvislosti s ní, budou předloženy věcně příslušnému soudu v Praze, v České republice.</w:t>
      </w:r>
      <w:r w:rsidR="005E63E3" w:rsidRPr="00EE23FC">
        <w:rPr>
          <w:rFonts w:cs="Arial"/>
          <w:sz w:val="18"/>
          <w:szCs w:val="18"/>
          <w:lang w:val="cs-CZ"/>
        </w:rPr>
        <w:t xml:space="preserve"> </w:t>
      </w:r>
    </w:p>
    <w:p w:rsidR="005E63E3" w:rsidRPr="00EE23FC" w:rsidRDefault="005E63E3" w:rsidP="005853A5">
      <w:pPr>
        <w:pStyle w:val="Zkladntextodsazen3"/>
        <w:spacing w:after="0"/>
        <w:ind w:left="426" w:hanging="426"/>
        <w:jc w:val="both"/>
        <w:rPr>
          <w:rFonts w:cs="Arial"/>
          <w:sz w:val="18"/>
          <w:szCs w:val="18"/>
          <w:lang w:val="cs-CZ"/>
        </w:rPr>
      </w:pPr>
    </w:p>
    <w:p w:rsidR="00702821" w:rsidRPr="00EE23FC" w:rsidRDefault="00667079" w:rsidP="005853A5">
      <w:pPr>
        <w:pStyle w:val="Zkladntextodsazen3"/>
        <w:spacing w:after="0"/>
        <w:ind w:left="426" w:hanging="426"/>
        <w:jc w:val="both"/>
        <w:rPr>
          <w:rFonts w:cs="Arial"/>
          <w:sz w:val="18"/>
          <w:szCs w:val="18"/>
          <w:lang w:val="cs-CZ"/>
        </w:rPr>
      </w:pPr>
      <w:r>
        <w:rPr>
          <w:rFonts w:cs="Arial"/>
          <w:sz w:val="18"/>
          <w:szCs w:val="18"/>
          <w:lang w:val="cs-CZ"/>
        </w:rPr>
        <w:t>10</w:t>
      </w:r>
      <w:r w:rsidR="005E63E3" w:rsidRPr="00EE23FC">
        <w:rPr>
          <w:rFonts w:cs="Arial"/>
          <w:sz w:val="18"/>
          <w:szCs w:val="18"/>
          <w:lang w:val="cs-CZ"/>
        </w:rPr>
        <w:t>.</w:t>
      </w:r>
      <w:r w:rsidR="001960E8">
        <w:rPr>
          <w:rFonts w:cs="Arial"/>
          <w:sz w:val="18"/>
          <w:szCs w:val="18"/>
          <w:lang w:val="cs-CZ"/>
        </w:rPr>
        <w:t>7</w:t>
      </w:r>
      <w:r w:rsidR="005E63E3" w:rsidRPr="00EE23FC">
        <w:rPr>
          <w:rFonts w:cs="Arial"/>
          <w:sz w:val="18"/>
          <w:szCs w:val="18"/>
          <w:lang w:val="cs-CZ"/>
        </w:rPr>
        <w:tab/>
        <w:t>Ostatní práva a povinnosti smluvních stran touto Smlouvou výslovně neupravené se řídí Všeobecnými obchodními podmínkami České spořitelny, a.s. (dále jen „VOP“). Klient prohlašuje, že obdržel VOP, že je mu znám obsah VOP a že s nimi bez výhrad souhlasí.</w:t>
      </w:r>
    </w:p>
    <w:p w:rsidR="00702821" w:rsidRPr="00EE23FC" w:rsidRDefault="00702821" w:rsidP="005853A5">
      <w:pPr>
        <w:pStyle w:val="Zkladntextodsazen3"/>
        <w:spacing w:after="0"/>
        <w:ind w:left="426" w:hanging="426"/>
        <w:jc w:val="both"/>
        <w:rPr>
          <w:rFonts w:cs="Arial"/>
          <w:sz w:val="18"/>
          <w:szCs w:val="18"/>
          <w:lang w:val="cs-CZ"/>
        </w:rPr>
      </w:pPr>
    </w:p>
    <w:p w:rsidR="00702821" w:rsidRPr="00EE23FC" w:rsidRDefault="00667079" w:rsidP="005853A5">
      <w:pPr>
        <w:pStyle w:val="Zkladntextodsazen3"/>
        <w:spacing w:after="0"/>
        <w:ind w:left="426" w:hanging="426"/>
        <w:jc w:val="both"/>
        <w:rPr>
          <w:rFonts w:cs="Arial"/>
          <w:sz w:val="18"/>
          <w:szCs w:val="18"/>
          <w:lang w:val="cs-CZ"/>
        </w:rPr>
      </w:pPr>
      <w:r>
        <w:rPr>
          <w:rFonts w:cs="Arial"/>
          <w:sz w:val="18"/>
          <w:szCs w:val="18"/>
          <w:lang w:val="cs-CZ"/>
        </w:rPr>
        <w:t>10</w:t>
      </w:r>
      <w:r w:rsidR="00AC4123" w:rsidRPr="00EE23FC">
        <w:rPr>
          <w:rFonts w:cs="Arial"/>
          <w:sz w:val="18"/>
          <w:szCs w:val="18"/>
          <w:lang w:val="cs-CZ"/>
        </w:rPr>
        <w:t>.</w:t>
      </w:r>
      <w:r w:rsidR="001960E8">
        <w:rPr>
          <w:rFonts w:cs="Arial"/>
          <w:sz w:val="18"/>
          <w:szCs w:val="18"/>
          <w:lang w:val="cs-CZ"/>
        </w:rPr>
        <w:t>8</w:t>
      </w:r>
      <w:r w:rsidR="00702821" w:rsidRPr="00EE23FC">
        <w:rPr>
          <w:rFonts w:cs="Arial"/>
          <w:sz w:val="18"/>
          <w:szCs w:val="18"/>
          <w:lang w:val="cs-CZ"/>
        </w:rPr>
        <w:tab/>
        <w:t xml:space="preserve">Tato </w:t>
      </w:r>
      <w:r w:rsidR="0026456C" w:rsidRPr="00EE23FC">
        <w:rPr>
          <w:rFonts w:cs="Arial"/>
          <w:sz w:val="18"/>
          <w:szCs w:val="18"/>
          <w:lang w:val="cs-CZ"/>
        </w:rPr>
        <w:t>S</w:t>
      </w:r>
      <w:r w:rsidR="00702821" w:rsidRPr="00EE23FC">
        <w:rPr>
          <w:rFonts w:cs="Arial"/>
          <w:sz w:val="18"/>
          <w:szCs w:val="18"/>
          <w:lang w:val="cs-CZ"/>
        </w:rPr>
        <w:t>mlouva byla vyhotovena ve dvou originálních výtiscích v českém jazyce a má tyto přílohy:</w:t>
      </w:r>
    </w:p>
    <w:p w:rsidR="00702821" w:rsidRPr="00EE23FC" w:rsidRDefault="00702821" w:rsidP="005853A5">
      <w:pPr>
        <w:ind w:left="426"/>
        <w:jc w:val="both"/>
        <w:rPr>
          <w:rFonts w:cs="Arial"/>
          <w:szCs w:val="18"/>
        </w:rPr>
      </w:pPr>
      <w:r w:rsidRPr="00EE23FC">
        <w:rPr>
          <w:rFonts w:cs="Arial"/>
          <w:szCs w:val="18"/>
        </w:rPr>
        <w:t xml:space="preserve">Příloha č. 1 - </w:t>
      </w:r>
      <w:r w:rsidR="00E8253F" w:rsidRPr="00EE23FC">
        <w:rPr>
          <w:rFonts w:cs="Arial"/>
          <w:szCs w:val="18"/>
        </w:rPr>
        <w:t>Cení</w:t>
      </w:r>
      <w:r w:rsidR="00E232D3" w:rsidRPr="00EE23FC">
        <w:rPr>
          <w:rFonts w:cs="Arial"/>
          <w:szCs w:val="18"/>
        </w:rPr>
        <w:t>k</w:t>
      </w:r>
    </w:p>
    <w:p w:rsidR="00ED5A14" w:rsidRPr="00EE23FC" w:rsidRDefault="00702821" w:rsidP="005853A5">
      <w:pPr>
        <w:ind w:left="426"/>
        <w:jc w:val="both"/>
        <w:rPr>
          <w:rFonts w:cs="Arial"/>
          <w:szCs w:val="18"/>
        </w:rPr>
      </w:pPr>
      <w:r w:rsidRPr="00EE23FC">
        <w:rPr>
          <w:rFonts w:cs="Arial"/>
          <w:szCs w:val="18"/>
        </w:rPr>
        <w:t xml:space="preserve">Příloha č. </w:t>
      </w:r>
      <w:r w:rsidR="003909F6" w:rsidRPr="00EE23FC">
        <w:rPr>
          <w:rFonts w:cs="Arial"/>
          <w:szCs w:val="18"/>
        </w:rPr>
        <w:t>2</w:t>
      </w:r>
      <w:r w:rsidRPr="00EE23FC">
        <w:rPr>
          <w:rFonts w:cs="Arial"/>
          <w:szCs w:val="18"/>
        </w:rPr>
        <w:t xml:space="preserve"> - Informace o základních pravidlech poskytování investičních služeb Českou spořitelnou, a.s.</w:t>
      </w:r>
    </w:p>
    <w:p w:rsidR="00702821" w:rsidRPr="00EE23FC" w:rsidRDefault="00660473" w:rsidP="00401E04">
      <w:pPr>
        <w:jc w:val="both"/>
        <w:rPr>
          <w:rFonts w:cs="Arial"/>
          <w:bCs/>
          <w:szCs w:val="18"/>
          <w:u w:val="single"/>
        </w:rPr>
      </w:pPr>
      <w:r>
        <w:rPr>
          <w:rFonts w:cs="Arial"/>
          <w:bCs/>
          <w:szCs w:val="18"/>
          <w:u w:val="single"/>
        </w:rPr>
        <w:br w:type="page"/>
      </w:r>
    </w:p>
    <w:p w:rsidR="00702821" w:rsidRPr="00EE23FC" w:rsidRDefault="00702821" w:rsidP="00401E04">
      <w:pPr>
        <w:jc w:val="both"/>
        <w:rPr>
          <w:rFonts w:cs="Arial"/>
          <w:bCs/>
          <w:szCs w:val="18"/>
          <w:u w:val="single"/>
        </w:rPr>
      </w:pPr>
      <w:r w:rsidRPr="00EE23FC">
        <w:rPr>
          <w:rFonts w:cs="Arial"/>
          <w:bCs/>
          <w:szCs w:val="18"/>
          <w:u w:val="single"/>
        </w:rPr>
        <w:lastRenderedPageBreak/>
        <w:t xml:space="preserve">Kategorizace </w:t>
      </w:r>
      <w:r w:rsidR="005F671F" w:rsidRPr="00EE23FC">
        <w:rPr>
          <w:rFonts w:cs="Arial"/>
          <w:bCs/>
          <w:szCs w:val="18"/>
          <w:u w:val="single"/>
        </w:rPr>
        <w:t>Klien</w:t>
      </w:r>
      <w:r w:rsidRPr="00EE23FC">
        <w:rPr>
          <w:rFonts w:cs="Arial"/>
          <w:bCs/>
          <w:szCs w:val="18"/>
          <w:u w:val="single"/>
        </w:rPr>
        <w:t xml:space="preserve">ta: </w:t>
      </w:r>
    </w:p>
    <w:p w:rsidR="00702821" w:rsidRDefault="00702821" w:rsidP="00401E04">
      <w:pPr>
        <w:jc w:val="both"/>
        <w:rPr>
          <w:rFonts w:cs="Arial"/>
          <w:bCs/>
          <w:szCs w:val="18"/>
        </w:rPr>
      </w:pPr>
      <w:r w:rsidRPr="00EE23FC">
        <w:rPr>
          <w:rFonts w:cs="Arial"/>
          <w:bCs/>
          <w:szCs w:val="18"/>
        </w:rPr>
        <w:t xml:space="preserve">Na základě informací, které má </w:t>
      </w:r>
      <w:r w:rsidR="005F671F" w:rsidRPr="00EE23FC">
        <w:rPr>
          <w:rFonts w:cs="Arial"/>
          <w:bCs/>
          <w:szCs w:val="18"/>
        </w:rPr>
        <w:t>Bank</w:t>
      </w:r>
      <w:r w:rsidRPr="00EE23FC">
        <w:rPr>
          <w:rFonts w:cs="Arial"/>
          <w:bCs/>
          <w:szCs w:val="18"/>
        </w:rPr>
        <w:t xml:space="preserve">a k dispozici, </w:t>
      </w:r>
      <w:r w:rsidR="005F671F" w:rsidRPr="00EE23FC">
        <w:rPr>
          <w:rFonts w:cs="Arial"/>
          <w:bCs/>
          <w:szCs w:val="18"/>
        </w:rPr>
        <w:t>Bank</w:t>
      </w:r>
      <w:r w:rsidRPr="00EE23FC">
        <w:rPr>
          <w:rFonts w:cs="Arial"/>
          <w:bCs/>
          <w:szCs w:val="18"/>
        </w:rPr>
        <w:t xml:space="preserve">a zařadila </w:t>
      </w:r>
      <w:r w:rsidR="005F671F" w:rsidRPr="00EE23FC">
        <w:rPr>
          <w:rFonts w:cs="Arial"/>
          <w:bCs/>
          <w:szCs w:val="18"/>
        </w:rPr>
        <w:t>Klien</w:t>
      </w:r>
      <w:r w:rsidRPr="00EE23FC">
        <w:rPr>
          <w:rFonts w:cs="Arial"/>
          <w:bCs/>
          <w:szCs w:val="18"/>
        </w:rPr>
        <w:t xml:space="preserve">ta do kategorie: </w:t>
      </w:r>
    </w:p>
    <w:p w:rsidR="00320088" w:rsidRPr="00320088" w:rsidRDefault="00320088" w:rsidP="00401E04">
      <w:pPr>
        <w:jc w:val="both"/>
        <w:rPr>
          <w:rFonts w:cs="Arial"/>
          <w:bCs/>
          <w:sz w:val="10"/>
          <w:szCs w:val="18"/>
        </w:rPr>
      </w:pPr>
    </w:p>
    <w:tbl>
      <w:tblPr>
        <w:tblW w:w="10203" w:type="dxa"/>
        <w:tblInd w:w="108" w:type="dxa"/>
        <w:tblLook w:val="01E0"/>
      </w:tblPr>
      <w:tblGrid>
        <w:gridCol w:w="3544"/>
        <w:gridCol w:w="3260"/>
        <w:gridCol w:w="3399"/>
      </w:tblGrid>
      <w:tr w:rsidR="00320088" w:rsidRPr="00EE23FC" w:rsidTr="00320088">
        <w:trPr>
          <w:trHeight w:val="169"/>
        </w:trPr>
        <w:tc>
          <w:tcPr>
            <w:tcW w:w="3544" w:type="dxa"/>
            <w:vAlign w:val="center"/>
          </w:tcPr>
          <w:p w:rsidR="00320088" w:rsidRPr="00EE23FC" w:rsidRDefault="00125A29" w:rsidP="003C693D">
            <w:pPr>
              <w:rPr>
                <w:rFonts w:cs="Arial"/>
                <w:bCs/>
                <w:szCs w:val="18"/>
              </w:rPr>
            </w:pPr>
            <w:r>
              <w:rPr>
                <w:rFonts w:cs="Arial"/>
                <w:bCs/>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2.6pt;height:14.85pt" o:ole="">
                  <v:imagedata r:id="rId8" o:title=""/>
                </v:shape>
                <w:control r:id="rId9" w:name="Kategorie1" w:shapeid="_x0000_i1031"/>
              </w:object>
            </w:r>
          </w:p>
        </w:tc>
        <w:tc>
          <w:tcPr>
            <w:tcW w:w="3260" w:type="dxa"/>
            <w:vAlign w:val="center"/>
          </w:tcPr>
          <w:p w:rsidR="00320088" w:rsidRPr="00EE23FC" w:rsidRDefault="00125A29" w:rsidP="003C693D">
            <w:pPr>
              <w:rPr>
                <w:rFonts w:cs="Arial"/>
                <w:bCs/>
                <w:color w:val="000000"/>
                <w:szCs w:val="18"/>
              </w:rPr>
            </w:pPr>
            <w:r>
              <w:rPr>
                <w:rFonts w:cs="Arial"/>
                <w:bCs/>
                <w:szCs w:val="18"/>
              </w:rPr>
              <w:object w:dxaOrig="225" w:dyaOrig="225">
                <v:shape id="_x0000_i1033" type="#_x0000_t75" style="width:118.95pt;height:14.85pt" o:ole="">
                  <v:imagedata r:id="rId10" o:title=""/>
                </v:shape>
                <w:control r:id="rId11" w:name="Kategorie2" w:shapeid="_x0000_i1033"/>
              </w:object>
            </w:r>
          </w:p>
        </w:tc>
        <w:tc>
          <w:tcPr>
            <w:tcW w:w="3399" w:type="dxa"/>
            <w:vAlign w:val="center"/>
          </w:tcPr>
          <w:p w:rsidR="00320088" w:rsidRPr="00EE23FC" w:rsidRDefault="00125A29" w:rsidP="003C693D">
            <w:pPr>
              <w:rPr>
                <w:rFonts w:cs="Arial"/>
                <w:bCs/>
                <w:color w:val="000000"/>
                <w:szCs w:val="18"/>
              </w:rPr>
            </w:pPr>
            <w:r>
              <w:rPr>
                <w:rFonts w:cs="Arial"/>
                <w:bCs/>
                <w:szCs w:val="18"/>
              </w:rPr>
              <w:object w:dxaOrig="225" w:dyaOrig="225">
                <v:shape id="_x0000_i1035" type="#_x0000_t75" style="width:117.4pt;height:14.85pt" o:ole="">
                  <v:imagedata r:id="rId12" o:title=""/>
                </v:shape>
                <w:control r:id="rId13" w:name="Kategorie3" w:shapeid="_x0000_i1035"/>
              </w:object>
            </w:r>
          </w:p>
        </w:tc>
      </w:tr>
    </w:tbl>
    <w:p w:rsidR="00320088" w:rsidRPr="00320088" w:rsidRDefault="00320088" w:rsidP="00401E04">
      <w:pPr>
        <w:jc w:val="both"/>
        <w:rPr>
          <w:rFonts w:cs="Arial"/>
          <w:bCs/>
          <w:sz w:val="10"/>
          <w:szCs w:val="18"/>
        </w:rPr>
      </w:pPr>
    </w:p>
    <w:p w:rsidR="00702821" w:rsidRPr="00EE23FC" w:rsidRDefault="00702821" w:rsidP="00401E04">
      <w:pPr>
        <w:jc w:val="both"/>
        <w:rPr>
          <w:rFonts w:cs="Arial"/>
          <w:bCs/>
          <w:szCs w:val="18"/>
        </w:rPr>
      </w:pPr>
      <w:r w:rsidRPr="00EE23FC">
        <w:rPr>
          <w:rFonts w:cs="Arial"/>
          <w:bCs/>
          <w:szCs w:val="18"/>
        </w:rPr>
        <w:t xml:space="preserve">Klient se zařazením do uvedené kategorie souhlasí. Další informace o kategorizaci </w:t>
      </w:r>
      <w:r w:rsidR="005F671F" w:rsidRPr="00EE23FC">
        <w:rPr>
          <w:rFonts w:cs="Arial"/>
          <w:bCs/>
          <w:szCs w:val="18"/>
        </w:rPr>
        <w:t>Klien</w:t>
      </w:r>
      <w:r w:rsidRPr="00EE23FC">
        <w:rPr>
          <w:rFonts w:cs="Arial"/>
          <w:bCs/>
          <w:szCs w:val="18"/>
        </w:rPr>
        <w:t xml:space="preserve">tů jsou uvedeny v přiložené </w:t>
      </w:r>
      <w:r w:rsidRPr="00EE23FC">
        <w:rPr>
          <w:rFonts w:cs="Arial"/>
          <w:iCs/>
          <w:szCs w:val="18"/>
        </w:rPr>
        <w:t>Informaci o základních pravidlech poskytování investičních služeb Českou spořitelnou, a.s.</w:t>
      </w:r>
    </w:p>
    <w:p w:rsidR="00702821" w:rsidRPr="00EE23FC" w:rsidRDefault="00702821" w:rsidP="00401E04">
      <w:pPr>
        <w:jc w:val="both"/>
        <w:rPr>
          <w:rFonts w:cs="Arial"/>
          <w:szCs w:val="18"/>
        </w:rPr>
      </w:pPr>
    </w:p>
    <w:p w:rsidR="00702821" w:rsidRPr="00EE23FC" w:rsidRDefault="00702821" w:rsidP="00401E04">
      <w:pPr>
        <w:ind w:left="426" w:hanging="426"/>
        <w:jc w:val="both"/>
        <w:rPr>
          <w:rFonts w:cs="Arial"/>
          <w:szCs w:val="18"/>
        </w:rPr>
      </w:pPr>
    </w:p>
    <w:tbl>
      <w:tblPr>
        <w:tblW w:w="10277" w:type="dxa"/>
        <w:tblLayout w:type="fixed"/>
        <w:tblCellMar>
          <w:left w:w="71" w:type="dxa"/>
          <w:right w:w="71" w:type="dxa"/>
        </w:tblCellMar>
        <w:tblLook w:val="0000"/>
      </w:tblPr>
      <w:tblGrid>
        <w:gridCol w:w="6592"/>
        <w:gridCol w:w="509"/>
        <w:gridCol w:w="3176"/>
      </w:tblGrid>
      <w:tr w:rsidR="00702821" w:rsidRPr="00EE23FC" w:rsidTr="00385F95">
        <w:tc>
          <w:tcPr>
            <w:tcW w:w="6592" w:type="dxa"/>
            <w:tcBorders>
              <w:top w:val="nil"/>
              <w:left w:val="nil"/>
              <w:bottom w:val="dotted" w:sz="6" w:space="0" w:color="auto"/>
              <w:right w:val="nil"/>
            </w:tcBorders>
          </w:tcPr>
          <w:p w:rsidR="00702821" w:rsidRPr="00EE23FC" w:rsidRDefault="00702821" w:rsidP="00C93D0B">
            <w:pPr>
              <w:jc w:val="both"/>
              <w:rPr>
                <w:rFonts w:cs="Arial"/>
                <w:szCs w:val="18"/>
              </w:rPr>
            </w:pPr>
            <w:r w:rsidRPr="00EE23FC">
              <w:rPr>
                <w:rFonts w:cs="Arial"/>
                <w:szCs w:val="18"/>
              </w:rPr>
              <w:t xml:space="preserve">V </w:t>
            </w:r>
            <w:r w:rsidR="00125A29" w:rsidRPr="00EE23FC">
              <w:rPr>
                <w:rFonts w:cs="Arial"/>
                <w:szCs w:val="18"/>
                <w:highlight w:val="lightGray"/>
              </w:rPr>
              <w:fldChar w:fldCharType="begin">
                <w:ffData>
                  <w:name w:val="Text150"/>
                  <w:enabled/>
                  <w:calcOnExit w:val="0"/>
                  <w:textInput/>
                </w:ffData>
              </w:fldChar>
            </w:r>
            <w:r w:rsidRPr="00EE23FC">
              <w:rPr>
                <w:rFonts w:cs="Arial"/>
                <w:szCs w:val="18"/>
                <w:highlight w:val="lightGray"/>
              </w:rPr>
              <w:instrText xml:space="preserve"> FORMTEXT </w:instrText>
            </w:r>
            <w:r w:rsidR="00125A29" w:rsidRPr="00EE23FC">
              <w:rPr>
                <w:rFonts w:cs="Arial"/>
                <w:szCs w:val="18"/>
                <w:highlight w:val="lightGray"/>
              </w:rPr>
            </w:r>
            <w:r w:rsidR="00125A29" w:rsidRPr="00EE23FC">
              <w:rPr>
                <w:rFonts w:cs="Arial"/>
                <w:szCs w:val="18"/>
                <w:highlight w:val="lightGray"/>
              </w:rPr>
              <w:fldChar w:fldCharType="separate"/>
            </w:r>
            <w:r w:rsidRPr="00EE23FC">
              <w:rPr>
                <w:rFonts w:cs="Arial"/>
                <w:szCs w:val="18"/>
              </w:rPr>
              <w:t> </w:t>
            </w:r>
            <w:r w:rsidRPr="00EE23FC">
              <w:rPr>
                <w:rFonts w:cs="Arial"/>
                <w:szCs w:val="18"/>
              </w:rPr>
              <w:t> </w:t>
            </w:r>
            <w:r w:rsidRPr="00EE23FC">
              <w:rPr>
                <w:rFonts w:cs="Arial"/>
                <w:szCs w:val="18"/>
              </w:rPr>
              <w:t> </w:t>
            </w:r>
            <w:r w:rsidRPr="00EE23FC">
              <w:rPr>
                <w:rFonts w:cs="Arial"/>
                <w:szCs w:val="18"/>
              </w:rPr>
              <w:t> </w:t>
            </w:r>
            <w:r w:rsidRPr="00EE23FC">
              <w:rPr>
                <w:rFonts w:cs="Arial"/>
                <w:szCs w:val="18"/>
              </w:rPr>
              <w:t> </w:t>
            </w:r>
            <w:r w:rsidR="00125A29" w:rsidRPr="00EE23FC">
              <w:rPr>
                <w:rFonts w:cs="Arial"/>
                <w:szCs w:val="18"/>
                <w:highlight w:val="lightGray"/>
              </w:rPr>
              <w:fldChar w:fldCharType="end"/>
            </w:r>
          </w:p>
        </w:tc>
        <w:tc>
          <w:tcPr>
            <w:tcW w:w="509" w:type="dxa"/>
            <w:tcBorders>
              <w:top w:val="nil"/>
              <w:left w:val="nil"/>
              <w:bottom w:val="nil"/>
              <w:right w:val="nil"/>
            </w:tcBorders>
          </w:tcPr>
          <w:p w:rsidR="00702821" w:rsidRPr="00EE23FC" w:rsidRDefault="00702821" w:rsidP="00C93D0B">
            <w:pPr>
              <w:jc w:val="both"/>
              <w:rPr>
                <w:rFonts w:cs="Arial"/>
                <w:szCs w:val="18"/>
              </w:rPr>
            </w:pPr>
            <w:r w:rsidRPr="00EE23FC">
              <w:rPr>
                <w:rFonts w:cs="Arial"/>
                <w:szCs w:val="18"/>
              </w:rPr>
              <w:t>dne</w:t>
            </w:r>
          </w:p>
        </w:tc>
        <w:tc>
          <w:tcPr>
            <w:tcW w:w="3176" w:type="dxa"/>
            <w:tcBorders>
              <w:top w:val="nil"/>
              <w:left w:val="nil"/>
              <w:bottom w:val="dotted" w:sz="6" w:space="0" w:color="auto"/>
              <w:right w:val="nil"/>
            </w:tcBorders>
          </w:tcPr>
          <w:p w:rsidR="00702821" w:rsidRPr="00EE23FC" w:rsidRDefault="00702821" w:rsidP="00C93D0B">
            <w:pPr>
              <w:jc w:val="both"/>
              <w:rPr>
                <w:rFonts w:cs="Arial"/>
                <w:b/>
                <w:bCs/>
                <w:szCs w:val="18"/>
              </w:rPr>
            </w:pPr>
            <w:r w:rsidRPr="00EE23FC">
              <w:rPr>
                <w:rFonts w:cs="Arial"/>
                <w:szCs w:val="18"/>
              </w:rPr>
              <w:t xml:space="preserve">    </w:t>
            </w:r>
            <w:bookmarkStart w:id="0" w:name="Text21"/>
            <w:r w:rsidR="00125A29" w:rsidRPr="00EE23FC">
              <w:rPr>
                <w:rFonts w:cs="Arial"/>
                <w:szCs w:val="18"/>
              </w:rPr>
              <w:fldChar w:fldCharType="begin">
                <w:ffData>
                  <w:name w:val="Text21"/>
                  <w:enabled/>
                  <w:calcOnExit w:val="0"/>
                  <w:textInput/>
                </w:ffData>
              </w:fldChar>
            </w:r>
            <w:r w:rsidRPr="00EE23FC">
              <w:rPr>
                <w:rFonts w:cs="Arial"/>
                <w:szCs w:val="18"/>
              </w:rPr>
              <w:instrText xml:space="preserve"> FORMTEXT </w:instrText>
            </w:r>
            <w:r w:rsidR="00125A29" w:rsidRPr="00EE23FC">
              <w:rPr>
                <w:rFonts w:cs="Arial"/>
                <w:szCs w:val="18"/>
              </w:rPr>
            </w:r>
            <w:r w:rsidR="00125A29" w:rsidRPr="00EE23FC">
              <w:rPr>
                <w:rFonts w:cs="Arial"/>
                <w:szCs w:val="18"/>
              </w:rPr>
              <w:fldChar w:fldCharType="separate"/>
            </w:r>
            <w:r w:rsidRPr="00EE23FC">
              <w:rPr>
                <w:rFonts w:cs="Arial"/>
                <w:noProof/>
                <w:szCs w:val="18"/>
              </w:rPr>
              <w:t> </w:t>
            </w:r>
            <w:r w:rsidRPr="00EE23FC">
              <w:rPr>
                <w:rFonts w:cs="Arial"/>
                <w:noProof/>
                <w:szCs w:val="18"/>
              </w:rPr>
              <w:t> </w:t>
            </w:r>
            <w:r w:rsidRPr="00EE23FC">
              <w:rPr>
                <w:rFonts w:cs="Arial"/>
                <w:noProof/>
                <w:szCs w:val="18"/>
              </w:rPr>
              <w:t> </w:t>
            </w:r>
            <w:r w:rsidRPr="00EE23FC">
              <w:rPr>
                <w:rFonts w:cs="Arial"/>
                <w:noProof/>
                <w:szCs w:val="18"/>
              </w:rPr>
              <w:t> </w:t>
            </w:r>
            <w:r w:rsidRPr="00EE23FC">
              <w:rPr>
                <w:rFonts w:cs="Arial"/>
                <w:noProof/>
                <w:szCs w:val="18"/>
              </w:rPr>
              <w:t> </w:t>
            </w:r>
            <w:r w:rsidR="00125A29" w:rsidRPr="00EE23FC">
              <w:rPr>
                <w:rFonts w:cs="Arial"/>
                <w:szCs w:val="18"/>
              </w:rPr>
              <w:fldChar w:fldCharType="end"/>
            </w:r>
            <w:bookmarkEnd w:id="0"/>
          </w:p>
        </w:tc>
      </w:tr>
    </w:tbl>
    <w:p w:rsidR="00320088" w:rsidRDefault="00320088" w:rsidP="00DC7256">
      <w:pPr>
        <w:spacing w:before="120"/>
        <w:rPr>
          <w:rFonts w:cs="Arial"/>
          <w:szCs w:val="18"/>
        </w:rPr>
      </w:pPr>
    </w:p>
    <w:p w:rsidR="00702821" w:rsidRPr="00EE23FC" w:rsidRDefault="00D45962" w:rsidP="00DC7256">
      <w:pPr>
        <w:spacing w:before="120"/>
        <w:rPr>
          <w:rFonts w:cs="Arial"/>
          <w:szCs w:val="18"/>
        </w:rPr>
      </w:pPr>
      <w:r w:rsidRPr="00EE23FC">
        <w:rPr>
          <w:rFonts w:cs="Arial"/>
          <w:szCs w:val="18"/>
        </w:rPr>
        <w:t>Z</w:t>
      </w:r>
      <w:r w:rsidR="00702821" w:rsidRPr="00EE23FC">
        <w:rPr>
          <w:rFonts w:cs="Arial"/>
          <w:szCs w:val="18"/>
        </w:rPr>
        <w:t>a Českou spořitelnu, a.s.:</w:t>
      </w:r>
    </w:p>
    <w:p w:rsidR="00FE7E96" w:rsidRPr="00EE23FC" w:rsidRDefault="00FE7E96" w:rsidP="00DC7256">
      <w:pPr>
        <w:jc w:val="both"/>
        <w:rPr>
          <w:rFonts w:cs="Arial"/>
          <w:szCs w:val="18"/>
        </w:rPr>
      </w:pPr>
    </w:p>
    <w:p w:rsidR="00FE7E96" w:rsidRPr="00EE23FC" w:rsidRDefault="00FE7E96" w:rsidP="00DC7256">
      <w:pPr>
        <w:jc w:val="both"/>
        <w:rPr>
          <w:rFonts w:cs="Arial"/>
          <w:szCs w:val="18"/>
        </w:rPr>
      </w:pPr>
    </w:p>
    <w:p w:rsidR="00A17C63" w:rsidRPr="00EE23FC" w:rsidRDefault="00A17C63" w:rsidP="00DC7256">
      <w:pPr>
        <w:jc w:val="both"/>
        <w:rPr>
          <w:rFonts w:cs="Arial"/>
          <w:szCs w:val="18"/>
        </w:rPr>
      </w:pPr>
    </w:p>
    <w:tbl>
      <w:tblPr>
        <w:tblW w:w="0" w:type="auto"/>
        <w:tblBorders>
          <w:bottom w:val="dotted" w:sz="4" w:space="0" w:color="auto"/>
        </w:tblBorders>
        <w:tblLayout w:type="fixed"/>
        <w:tblCellMar>
          <w:left w:w="69" w:type="dxa"/>
          <w:right w:w="69" w:type="dxa"/>
        </w:tblCellMar>
        <w:tblLook w:val="0000"/>
      </w:tblPr>
      <w:tblGrid>
        <w:gridCol w:w="778"/>
        <w:gridCol w:w="4268"/>
        <w:gridCol w:w="159"/>
        <w:gridCol w:w="818"/>
        <w:gridCol w:w="4252"/>
      </w:tblGrid>
      <w:tr w:rsidR="00702821" w:rsidRPr="00EE23FC" w:rsidTr="00C93D0B">
        <w:tc>
          <w:tcPr>
            <w:tcW w:w="778" w:type="dxa"/>
            <w:tcBorders>
              <w:bottom w:val="nil"/>
            </w:tcBorders>
          </w:tcPr>
          <w:p w:rsidR="00702821" w:rsidRPr="00EE23FC" w:rsidRDefault="00702821" w:rsidP="00C93D0B">
            <w:pPr>
              <w:widowControl w:val="0"/>
              <w:spacing w:before="60"/>
              <w:rPr>
                <w:rFonts w:cs="Arial"/>
                <w:szCs w:val="18"/>
              </w:rPr>
            </w:pPr>
            <w:r w:rsidRPr="00EE23FC">
              <w:rPr>
                <w:rFonts w:cs="Arial"/>
                <w:szCs w:val="18"/>
              </w:rPr>
              <w:t>podpis:</w:t>
            </w:r>
          </w:p>
        </w:tc>
        <w:tc>
          <w:tcPr>
            <w:tcW w:w="4427" w:type="dxa"/>
            <w:gridSpan w:val="2"/>
          </w:tcPr>
          <w:p w:rsidR="00702821" w:rsidRPr="00EE23FC" w:rsidRDefault="00702821" w:rsidP="00C93D0B">
            <w:pPr>
              <w:widowControl w:val="0"/>
              <w:spacing w:before="60"/>
              <w:rPr>
                <w:rFonts w:cs="Arial"/>
                <w:szCs w:val="18"/>
              </w:rPr>
            </w:pPr>
          </w:p>
        </w:tc>
        <w:tc>
          <w:tcPr>
            <w:tcW w:w="818" w:type="dxa"/>
            <w:tcBorders>
              <w:bottom w:val="nil"/>
            </w:tcBorders>
          </w:tcPr>
          <w:p w:rsidR="00702821" w:rsidRPr="00EE23FC" w:rsidRDefault="00702821" w:rsidP="00C93D0B">
            <w:pPr>
              <w:widowControl w:val="0"/>
              <w:spacing w:before="60"/>
              <w:rPr>
                <w:rFonts w:cs="Arial"/>
                <w:szCs w:val="18"/>
              </w:rPr>
            </w:pPr>
            <w:r w:rsidRPr="00EE23FC">
              <w:rPr>
                <w:rFonts w:cs="Arial"/>
                <w:szCs w:val="18"/>
              </w:rPr>
              <w:t>podpis:</w:t>
            </w:r>
          </w:p>
        </w:tc>
        <w:tc>
          <w:tcPr>
            <w:tcW w:w="4252" w:type="dxa"/>
            <w:tcBorders>
              <w:bottom w:val="dotted" w:sz="4" w:space="0" w:color="auto"/>
            </w:tcBorders>
          </w:tcPr>
          <w:p w:rsidR="00702821" w:rsidRPr="00EE23FC" w:rsidRDefault="00702821" w:rsidP="00C93D0B">
            <w:pPr>
              <w:widowControl w:val="0"/>
              <w:spacing w:before="60"/>
              <w:rPr>
                <w:rFonts w:cs="Arial"/>
                <w:szCs w:val="18"/>
              </w:rPr>
            </w:pPr>
          </w:p>
        </w:tc>
      </w:tr>
      <w:tr w:rsidR="00702821" w:rsidRPr="00EE23FC" w:rsidTr="00C93D0B">
        <w:tc>
          <w:tcPr>
            <w:tcW w:w="778" w:type="dxa"/>
          </w:tcPr>
          <w:p w:rsidR="00702821" w:rsidRPr="00EE23FC" w:rsidRDefault="00702821" w:rsidP="00C93D0B">
            <w:pPr>
              <w:widowControl w:val="0"/>
              <w:spacing w:before="60"/>
              <w:jc w:val="center"/>
              <w:rPr>
                <w:rFonts w:cs="Arial"/>
                <w:szCs w:val="18"/>
              </w:rPr>
            </w:pPr>
          </w:p>
        </w:tc>
        <w:tc>
          <w:tcPr>
            <w:tcW w:w="4268" w:type="dxa"/>
            <w:tcBorders>
              <w:top w:val="dotted" w:sz="4" w:space="0" w:color="auto"/>
            </w:tcBorders>
          </w:tcPr>
          <w:p w:rsidR="00702821" w:rsidRPr="00EE23FC" w:rsidRDefault="00125A29" w:rsidP="00C93D0B">
            <w:pPr>
              <w:widowControl w:val="0"/>
              <w:spacing w:before="60"/>
              <w:jc w:val="center"/>
              <w:rPr>
                <w:rFonts w:cs="Arial"/>
                <w:szCs w:val="18"/>
              </w:rPr>
            </w:pPr>
            <w:r w:rsidRPr="00EE23FC">
              <w:rPr>
                <w:rFonts w:cs="Arial"/>
                <w:szCs w:val="18"/>
                <w:highlight w:val="lightGray"/>
              </w:rPr>
              <w:fldChar w:fldCharType="begin">
                <w:ffData>
                  <w:name w:val="Text150"/>
                  <w:enabled/>
                  <w:calcOnExit w:val="0"/>
                  <w:textInput/>
                </w:ffData>
              </w:fldChar>
            </w:r>
            <w:r w:rsidR="00702821" w:rsidRPr="00EE23FC">
              <w:rPr>
                <w:rFonts w:cs="Arial"/>
                <w:szCs w:val="18"/>
                <w:highlight w:val="lightGray"/>
              </w:rPr>
              <w:instrText xml:space="preserve"> FORMTEXT </w:instrText>
            </w:r>
            <w:r w:rsidRPr="00EE23FC">
              <w:rPr>
                <w:rFonts w:cs="Arial"/>
                <w:szCs w:val="18"/>
                <w:highlight w:val="lightGray"/>
              </w:rPr>
            </w:r>
            <w:r w:rsidRPr="00EE23FC">
              <w:rPr>
                <w:rFonts w:cs="Arial"/>
                <w:szCs w:val="18"/>
                <w:highlight w:val="lightGray"/>
              </w:rPr>
              <w:fldChar w:fldCharType="separate"/>
            </w:r>
            <w:r w:rsidR="00702821" w:rsidRPr="00EE23FC">
              <w:rPr>
                <w:rFonts w:cs="Arial"/>
                <w:szCs w:val="18"/>
              </w:rPr>
              <w:t> </w:t>
            </w:r>
            <w:r w:rsidR="00702821" w:rsidRPr="00EE23FC">
              <w:rPr>
                <w:rFonts w:cs="Arial"/>
                <w:szCs w:val="18"/>
              </w:rPr>
              <w:t> </w:t>
            </w:r>
            <w:r w:rsidR="00702821" w:rsidRPr="00EE23FC">
              <w:rPr>
                <w:rFonts w:cs="Arial"/>
                <w:szCs w:val="18"/>
              </w:rPr>
              <w:t> </w:t>
            </w:r>
            <w:r w:rsidR="00702821" w:rsidRPr="00EE23FC">
              <w:rPr>
                <w:rFonts w:cs="Arial"/>
                <w:szCs w:val="18"/>
              </w:rPr>
              <w:t> </w:t>
            </w:r>
            <w:r w:rsidR="00702821" w:rsidRPr="00EE23FC">
              <w:rPr>
                <w:rFonts w:cs="Arial"/>
                <w:szCs w:val="18"/>
              </w:rPr>
              <w:t> </w:t>
            </w:r>
            <w:r w:rsidRPr="00EE23FC">
              <w:rPr>
                <w:rFonts w:cs="Arial"/>
                <w:szCs w:val="18"/>
                <w:highlight w:val="lightGray"/>
              </w:rPr>
              <w:fldChar w:fldCharType="end"/>
            </w:r>
          </w:p>
        </w:tc>
        <w:tc>
          <w:tcPr>
            <w:tcW w:w="159" w:type="dxa"/>
          </w:tcPr>
          <w:p w:rsidR="00702821" w:rsidRPr="00EE23FC" w:rsidRDefault="00702821" w:rsidP="00C93D0B">
            <w:pPr>
              <w:widowControl w:val="0"/>
              <w:spacing w:before="60"/>
              <w:rPr>
                <w:rFonts w:cs="Arial"/>
                <w:szCs w:val="18"/>
              </w:rPr>
            </w:pPr>
          </w:p>
        </w:tc>
        <w:tc>
          <w:tcPr>
            <w:tcW w:w="818" w:type="dxa"/>
          </w:tcPr>
          <w:p w:rsidR="00702821" w:rsidRPr="00EE23FC" w:rsidRDefault="00702821" w:rsidP="00C93D0B">
            <w:pPr>
              <w:widowControl w:val="0"/>
              <w:spacing w:before="60"/>
              <w:jc w:val="center"/>
              <w:rPr>
                <w:rFonts w:cs="Arial"/>
                <w:szCs w:val="18"/>
              </w:rPr>
            </w:pPr>
          </w:p>
        </w:tc>
        <w:tc>
          <w:tcPr>
            <w:tcW w:w="4252" w:type="dxa"/>
            <w:tcBorders>
              <w:top w:val="dotted" w:sz="4" w:space="0" w:color="auto"/>
            </w:tcBorders>
          </w:tcPr>
          <w:p w:rsidR="00702821" w:rsidRPr="00EE23FC" w:rsidRDefault="00125A29" w:rsidP="00C93D0B">
            <w:pPr>
              <w:widowControl w:val="0"/>
              <w:spacing w:before="60"/>
              <w:jc w:val="center"/>
              <w:rPr>
                <w:rFonts w:cs="Arial"/>
                <w:szCs w:val="18"/>
              </w:rPr>
            </w:pPr>
            <w:r w:rsidRPr="00EE23FC">
              <w:rPr>
                <w:rFonts w:cs="Arial"/>
                <w:szCs w:val="18"/>
                <w:highlight w:val="lightGray"/>
              </w:rPr>
              <w:fldChar w:fldCharType="begin">
                <w:ffData>
                  <w:name w:val="Text150"/>
                  <w:enabled/>
                  <w:calcOnExit w:val="0"/>
                  <w:textInput/>
                </w:ffData>
              </w:fldChar>
            </w:r>
            <w:r w:rsidR="00702821" w:rsidRPr="00EE23FC">
              <w:rPr>
                <w:rFonts w:cs="Arial"/>
                <w:szCs w:val="18"/>
                <w:highlight w:val="lightGray"/>
              </w:rPr>
              <w:instrText xml:space="preserve"> FORMTEXT </w:instrText>
            </w:r>
            <w:r w:rsidRPr="00EE23FC">
              <w:rPr>
                <w:rFonts w:cs="Arial"/>
                <w:szCs w:val="18"/>
                <w:highlight w:val="lightGray"/>
              </w:rPr>
            </w:r>
            <w:r w:rsidRPr="00EE23FC">
              <w:rPr>
                <w:rFonts w:cs="Arial"/>
                <w:szCs w:val="18"/>
                <w:highlight w:val="lightGray"/>
              </w:rPr>
              <w:fldChar w:fldCharType="separate"/>
            </w:r>
            <w:r w:rsidR="00702821" w:rsidRPr="00EE23FC">
              <w:rPr>
                <w:rFonts w:cs="Arial"/>
                <w:szCs w:val="18"/>
              </w:rPr>
              <w:t> </w:t>
            </w:r>
            <w:r w:rsidR="00702821" w:rsidRPr="00EE23FC">
              <w:rPr>
                <w:rFonts w:cs="Arial"/>
                <w:szCs w:val="18"/>
              </w:rPr>
              <w:t> </w:t>
            </w:r>
            <w:r w:rsidR="00702821" w:rsidRPr="00EE23FC">
              <w:rPr>
                <w:rFonts w:cs="Arial"/>
                <w:szCs w:val="18"/>
              </w:rPr>
              <w:t> </w:t>
            </w:r>
            <w:r w:rsidR="00702821" w:rsidRPr="00EE23FC">
              <w:rPr>
                <w:rFonts w:cs="Arial"/>
                <w:szCs w:val="18"/>
              </w:rPr>
              <w:t> </w:t>
            </w:r>
            <w:r w:rsidR="00702821" w:rsidRPr="00EE23FC">
              <w:rPr>
                <w:rFonts w:cs="Arial"/>
                <w:szCs w:val="18"/>
              </w:rPr>
              <w:t> </w:t>
            </w:r>
            <w:r w:rsidRPr="00EE23FC">
              <w:rPr>
                <w:rFonts w:cs="Arial"/>
                <w:szCs w:val="18"/>
                <w:highlight w:val="lightGray"/>
              </w:rPr>
              <w:fldChar w:fldCharType="end"/>
            </w:r>
          </w:p>
        </w:tc>
      </w:tr>
      <w:tr w:rsidR="00702821" w:rsidRPr="00EE23FC" w:rsidTr="00C93D0B">
        <w:tc>
          <w:tcPr>
            <w:tcW w:w="778" w:type="dxa"/>
          </w:tcPr>
          <w:p w:rsidR="00702821" w:rsidRPr="00EE23FC" w:rsidRDefault="00702821" w:rsidP="00C93D0B">
            <w:pPr>
              <w:widowControl w:val="0"/>
              <w:spacing w:before="60"/>
              <w:jc w:val="center"/>
              <w:rPr>
                <w:rFonts w:cs="Arial"/>
                <w:szCs w:val="18"/>
              </w:rPr>
            </w:pPr>
          </w:p>
        </w:tc>
        <w:tc>
          <w:tcPr>
            <w:tcW w:w="4268" w:type="dxa"/>
          </w:tcPr>
          <w:p w:rsidR="00702821" w:rsidRPr="00EE23FC" w:rsidRDefault="00125A29" w:rsidP="00C93D0B">
            <w:pPr>
              <w:widowControl w:val="0"/>
              <w:spacing w:before="60"/>
              <w:jc w:val="center"/>
              <w:rPr>
                <w:rFonts w:cs="Arial"/>
                <w:szCs w:val="18"/>
              </w:rPr>
            </w:pPr>
            <w:r w:rsidRPr="00EE23FC">
              <w:rPr>
                <w:rFonts w:cs="Arial"/>
                <w:szCs w:val="18"/>
                <w:highlight w:val="lightGray"/>
              </w:rPr>
              <w:fldChar w:fldCharType="begin">
                <w:ffData>
                  <w:name w:val="Text150"/>
                  <w:enabled/>
                  <w:calcOnExit w:val="0"/>
                  <w:textInput/>
                </w:ffData>
              </w:fldChar>
            </w:r>
            <w:r w:rsidR="00702821" w:rsidRPr="00EE23FC">
              <w:rPr>
                <w:rFonts w:cs="Arial"/>
                <w:szCs w:val="18"/>
                <w:highlight w:val="lightGray"/>
              </w:rPr>
              <w:instrText xml:space="preserve"> FORMTEXT </w:instrText>
            </w:r>
            <w:r w:rsidRPr="00EE23FC">
              <w:rPr>
                <w:rFonts w:cs="Arial"/>
                <w:szCs w:val="18"/>
                <w:highlight w:val="lightGray"/>
              </w:rPr>
            </w:r>
            <w:r w:rsidRPr="00EE23FC">
              <w:rPr>
                <w:rFonts w:cs="Arial"/>
                <w:szCs w:val="18"/>
                <w:highlight w:val="lightGray"/>
              </w:rPr>
              <w:fldChar w:fldCharType="separate"/>
            </w:r>
            <w:r w:rsidR="00702821" w:rsidRPr="00EE23FC">
              <w:rPr>
                <w:rFonts w:cs="Arial"/>
                <w:szCs w:val="18"/>
              </w:rPr>
              <w:t> </w:t>
            </w:r>
            <w:r w:rsidR="00702821" w:rsidRPr="00EE23FC">
              <w:rPr>
                <w:rFonts w:cs="Arial"/>
                <w:szCs w:val="18"/>
              </w:rPr>
              <w:t> </w:t>
            </w:r>
            <w:r w:rsidR="00702821" w:rsidRPr="00EE23FC">
              <w:rPr>
                <w:rFonts w:cs="Arial"/>
                <w:szCs w:val="18"/>
              </w:rPr>
              <w:t> </w:t>
            </w:r>
            <w:r w:rsidR="00702821" w:rsidRPr="00EE23FC">
              <w:rPr>
                <w:rFonts w:cs="Arial"/>
                <w:szCs w:val="18"/>
              </w:rPr>
              <w:t> </w:t>
            </w:r>
            <w:r w:rsidR="00702821" w:rsidRPr="00EE23FC">
              <w:rPr>
                <w:rFonts w:cs="Arial"/>
                <w:szCs w:val="18"/>
              </w:rPr>
              <w:t> </w:t>
            </w:r>
            <w:r w:rsidRPr="00EE23FC">
              <w:rPr>
                <w:rFonts w:cs="Arial"/>
                <w:szCs w:val="18"/>
                <w:highlight w:val="lightGray"/>
              </w:rPr>
              <w:fldChar w:fldCharType="end"/>
            </w:r>
          </w:p>
        </w:tc>
        <w:tc>
          <w:tcPr>
            <w:tcW w:w="159" w:type="dxa"/>
          </w:tcPr>
          <w:p w:rsidR="00702821" w:rsidRPr="00EE23FC" w:rsidRDefault="00702821" w:rsidP="00C93D0B">
            <w:pPr>
              <w:widowControl w:val="0"/>
              <w:spacing w:before="60"/>
              <w:rPr>
                <w:rFonts w:cs="Arial"/>
                <w:szCs w:val="18"/>
              </w:rPr>
            </w:pPr>
          </w:p>
        </w:tc>
        <w:tc>
          <w:tcPr>
            <w:tcW w:w="818" w:type="dxa"/>
          </w:tcPr>
          <w:p w:rsidR="00702821" w:rsidRPr="00EE23FC" w:rsidRDefault="00702821" w:rsidP="00C93D0B">
            <w:pPr>
              <w:widowControl w:val="0"/>
              <w:spacing w:before="60"/>
              <w:jc w:val="center"/>
              <w:rPr>
                <w:rFonts w:cs="Arial"/>
                <w:szCs w:val="18"/>
              </w:rPr>
            </w:pPr>
          </w:p>
        </w:tc>
        <w:tc>
          <w:tcPr>
            <w:tcW w:w="4252" w:type="dxa"/>
          </w:tcPr>
          <w:p w:rsidR="00702821" w:rsidRPr="00EE23FC" w:rsidRDefault="00125A29" w:rsidP="00C93D0B">
            <w:pPr>
              <w:widowControl w:val="0"/>
              <w:spacing w:before="60"/>
              <w:jc w:val="center"/>
              <w:rPr>
                <w:rFonts w:cs="Arial"/>
                <w:szCs w:val="18"/>
              </w:rPr>
            </w:pPr>
            <w:r w:rsidRPr="00EE23FC">
              <w:rPr>
                <w:rFonts w:cs="Arial"/>
                <w:szCs w:val="18"/>
                <w:highlight w:val="lightGray"/>
              </w:rPr>
              <w:fldChar w:fldCharType="begin">
                <w:ffData>
                  <w:name w:val="Text150"/>
                  <w:enabled/>
                  <w:calcOnExit w:val="0"/>
                  <w:textInput/>
                </w:ffData>
              </w:fldChar>
            </w:r>
            <w:r w:rsidR="00702821" w:rsidRPr="00EE23FC">
              <w:rPr>
                <w:rFonts w:cs="Arial"/>
                <w:szCs w:val="18"/>
                <w:highlight w:val="lightGray"/>
              </w:rPr>
              <w:instrText xml:space="preserve"> FORMTEXT </w:instrText>
            </w:r>
            <w:r w:rsidRPr="00EE23FC">
              <w:rPr>
                <w:rFonts w:cs="Arial"/>
                <w:szCs w:val="18"/>
                <w:highlight w:val="lightGray"/>
              </w:rPr>
            </w:r>
            <w:r w:rsidRPr="00EE23FC">
              <w:rPr>
                <w:rFonts w:cs="Arial"/>
                <w:szCs w:val="18"/>
                <w:highlight w:val="lightGray"/>
              </w:rPr>
              <w:fldChar w:fldCharType="separate"/>
            </w:r>
            <w:r w:rsidR="00702821" w:rsidRPr="00EE23FC">
              <w:rPr>
                <w:rFonts w:cs="Arial"/>
                <w:szCs w:val="18"/>
              </w:rPr>
              <w:t> </w:t>
            </w:r>
            <w:r w:rsidR="00702821" w:rsidRPr="00EE23FC">
              <w:rPr>
                <w:rFonts w:cs="Arial"/>
                <w:szCs w:val="18"/>
              </w:rPr>
              <w:t> </w:t>
            </w:r>
            <w:r w:rsidR="00702821" w:rsidRPr="00EE23FC">
              <w:rPr>
                <w:rFonts w:cs="Arial"/>
                <w:szCs w:val="18"/>
              </w:rPr>
              <w:t> </w:t>
            </w:r>
            <w:r w:rsidR="00702821" w:rsidRPr="00EE23FC">
              <w:rPr>
                <w:rFonts w:cs="Arial"/>
                <w:szCs w:val="18"/>
              </w:rPr>
              <w:t> </w:t>
            </w:r>
            <w:r w:rsidR="00702821" w:rsidRPr="00EE23FC">
              <w:rPr>
                <w:rFonts w:cs="Arial"/>
                <w:szCs w:val="18"/>
              </w:rPr>
              <w:t> </w:t>
            </w:r>
            <w:r w:rsidRPr="00EE23FC">
              <w:rPr>
                <w:rFonts w:cs="Arial"/>
                <w:szCs w:val="18"/>
                <w:highlight w:val="lightGray"/>
              </w:rPr>
              <w:fldChar w:fldCharType="end"/>
            </w:r>
          </w:p>
        </w:tc>
      </w:tr>
      <w:tr w:rsidR="00702821" w:rsidRPr="00EE23FC" w:rsidTr="00C93D0B">
        <w:tc>
          <w:tcPr>
            <w:tcW w:w="778" w:type="dxa"/>
            <w:tcBorders>
              <w:bottom w:val="dotted" w:sz="4" w:space="0" w:color="auto"/>
            </w:tcBorders>
          </w:tcPr>
          <w:p w:rsidR="00702821" w:rsidRPr="00EE23FC" w:rsidRDefault="00702821" w:rsidP="00C93D0B">
            <w:pPr>
              <w:widowControl w:val="0"/>
              <w:spacing w:before="60"/>
              <w:jc w:val="center"/>
              <w:rPr>
                <w:rFonts w:cs="Arial"/>
                <w:szCs w:val="18"/>
              </w:rPr>
            </w:pPr>
          </w:p>
        </w:tc>
        <w:tc>
          <w:tcPr>
            <w:tcW w:w="4268" w:type="dxa"/>
            <w:tcBorders>
              <w:bottom w:val="dotted" w:sz="4" w:space="0" w:color="auto"/>
            </w:tcBorders>
          </w:tcPr>
          <w:p w:rsidR="00702821" w:rsidRPr="00EE23FC" w:rsidRDefault="00702821" w:rsidP="00C93D0B">
            <w:pPr>
              <w:widowControl w:val="0"/>
              <w:spacing w:before="60"/>
              <w:jc w:val="center"/>
              <w:rPr>
                <w:rFonts w:cs="Arial"/>
                <w:szCs w:val="18"/>
              </w:rPr>
            </w:pPr>
            <w:r w:rsidRPr="00EE23FC">
              <w:rPr>
                <w:rFonts w:cs="Arial"/>
                <w:szCs w:val="18"/>
              </w:rPr>
              <w:t xml:space="preserve">titul, jméno, příjmení, funkce, </w:t>
            </w:r>
            <w:proofErr w:type="spellStart"/>
            <w:r w:rsidRPr="00EE23FC">
              <w:rPr>
                <w:rFonts w:cs="Arial"/>
                <w:szCs w:val="18"/>
              </w:rPr>
              <w:t>org</w:t>
            </w:r>
            <w:proofErr w:type="spellEnd"/>
            <w:r w:rsidRPr="00EE23FC">
              <w:rPr>
                <w:rFonts w:cs="Arial"/>
                <w:szCs w:val="18"/>
              </w:rPr>
              <w:t>. složka</w:t>
            </w:r>
          </w:p>
        </w:tc>
        <w:tc>
          <w:tcPr>
            <w:tcW w:w="159" w:type="dxa"/>
            <w:tcBorders>
              <w:bottom w:val="dotted" w:sz="4" w:space="0" w:color="auto"/>
            </w:tcBorders>
          </w:tcPr>
          <w:p w:rsidR="00702821" w:rsidRPr="00EE23FC" w:rsidRDefault="00702821" w:rsidP="00C93D0B">
            <w:pPr>
              <w:widowControl w:val="0"/>
              <w:spacing w:before="60"/>
              <w:rPr>
                <w:rFonts w:cs="Arial"/>
                <w:szCs w:val="18"/>
              </w:rPr>
            </w:pPr>
          </w:p>
        </w:tc>
        <w:tc>
          <w:tcPr>
            <w:tcW w:w="818" w:type="dxa"/>
            <w:tcBorders>
              <w:bottom w:val="dotted" w:sz="4" w:space="0" w:color="auto"/>
            </w:tcBorders>
          </w:tcPr>
          <w:p w:rsidR="00702821" w:rsidRPr="00EE23FC" w:rsidRDefault="00702821" w:rsidP="00C93D0B">
            <w:pPr>
              <w:widowControl w:val="0"/>
              <w:spacing w:before="60"/>
              <w:jc w:val="center"/>
              <w:rPr>
                <w:rFonts w:cs="Arial"/>
                <w:szCs w:val="18"/>
              </w:rPr>
            </w:pPr>
          </w:p>
        </w:tc>
        <w:tc>
          <w:tcPr>
            <w:tcW w:w="4252" w:type="dxa"/>
            <w:tcBorders>
              <w:bottom w:val="dotted" w:sz="4" w:space="0" w:color="auto"/>
            </w:tcBorders>
          </w:tcPr>
          <w:p w:rsidR="00702821" w:rsidRPr="00EE23FC" w:rsidRDefault="00702821" w:rsidP="00C93D0B">
            <w:pPr>
              <w:widowControl w:val="0"/>
              <w:spacing w:before="60"/>
              <w:jc w:val="center"/>
              <w:rPr>
                <w:rFonts w:cs="Arial"/>
                <w:szCs w:val="18"/>
              </w:rPr>
            </w:pPr>
            <w:r w:rsidRPr="00EE23FC">
              <w:rPr>
                <w:rFonts w:cs="Arial"/>
                <w:szCs w:val="18"/>
              </w:rPr>
              <w:t xml:space="preserve">titul, jméno, příjmení, funkce, </w:t>
            </w:r>
            <w:proofErr w:type="spellStart"/>
            <w:r w:rsidRPr="00EE23FC">
              <w:rPr>
                <w:rFonts w:cs="Arial"/>
                <w:szCs w:val="18"/>
              </w:rPr>
              <w:t>org</w:t>
            </w:r>
            <w:proofErr w:type="spellEnd"/>
            <w:r w:rsidRPr="00EE23FC">
              <w:rPr>
                <w:rFonts w:cs="Arial"/>
                <w:szCs w:val="18"/>
              </w:rPr>
              <w:t>. složka</w:t>
            </w:r>
          </w:p>
        </w:tc>
      </w:tr>
    </w:tbl>
    <w:p w:rsidR="00702821" w:rsidRPr="00EE23FC" w:rsidRDefault="00702821" w:rsidP="00DC7256">
      <w:pPr>
        <w:jc w:val="both"/>
        <w:rPr>
          <w:rFonts w:cs="Arial"/>
          <w:szCs w:val="18"/>
        </w:rPr>
      </w:pPr>
    </w:p>
    <w:p w:rsidR="00320088" w:rsidRDefault="00320088" w:rsidP="00DC7256">
      <w:pPr>
        <w:jc w:val="both"/>
        <w:rPr>
          <w:rFonts w:cs="Arial"/>
          <w:szCs w:val="18"/>
        </w:rPr>
      </w:pPr>
    </w:p>
    <w:p w:rsidR="00702821" w:rsidRPr="00EE23FC" w:rsidRDefault="00C139C5" w:rsidP="00DC7256">
      <w:pPr>
        <w:jc w:val="both"/>
        <w:rPr>
          <w:rFonts w:cs="Arial"/>
          <w:szCs w:val="18"/>
        </w:rPr>
      </w:pPr>
      <w:r w:rsidRPr="00EE23FC">
        <w:rPr>
          <w:rFonts w:cs="Arial"/>
          <w:szCs w:val="18"/>
        </w:rPr>
        <w:t>Za Klienta:</w:t>
      </w:r>
      <w:r w:rsidR="00D45962" w:rsidRPr="00EE23FC">
        <w:rPr>
          <w:rFonts w:cs="Arial"/>
          <w:szCs w:val="18"/>
        </w:rPr>
        <w:t xml:space="preserve"> </w:t>
      </w:r>
      <w:r w:rsidR="003529EB">
        <w:rPr>
          <w:rFonts w:cs="Arial"/>
          <w:szCs w:val="18"/>
        </w:rPr>
        <w:t>Statutární město Havířov</w:t>
      </w:r>
    </w:p>
    <w:p w:rsidR="00A17C63" w:rsidRPr="00EE23FC" w:rsidRDefault="00A17C63" w:rsidP="00DC7256">
      <w:pPr>
        <w:jc w:val="both"/>
        <w:rPr>
          <w:rFonts w:cs="Arial"/>
          <w:szCs w:val="18"/>
        </w:rPr>
      </w:pPr>
    </w:p>
    <w:p w:rsidR="00C139C5" w:rsidRPr="00EE23FC" w:rsidRDefault="00C139C5" w:rsidP="00DC7256">
      <w:pPr>
        <w:jc w:val="both"/>
        <w:rPr>
          <w:rFonts w:cs="Arial"/>
          <w:szCs w:val="18"/>
        </w:rPr>
      </w:pPr>
    </w:p>
    <w:p w:rsidR="00702821" w:rsidRPr="00EE23FC" w:rsidRDefault="00702821" w:rsidP="00DC7256">
      <w:pPr>
        <w:keepLines/>
        <w:widowControl w:val="0"/>
        <w:rPr>
          <w:rFonts w:cs="Arial"/>
          <w:szCs w:val="18"/>
          <w:lang w:eastAsia="en-US"/>
        </w:rPr>
      </w:pPr>
    </w:p>
    <w:tbl>
      <w:tblPr>
        <w:tblW w:w="0" w:type="auto"/>
        <w:tblBorders>
          <w:bottom w:val="dotted" w:sz="4" w:space="0" w:color="auto"/>
        </w:tblBorders>
        <w:tblLayout w:type="fixed"/>
        <w:tblCellMar>
          <w:left w:w="69" w:type="dxa"/>
          <w:right w:w="69" w:type="dxa"/>
        </w:tblCellMar>
        <w:tblLook w:val="0000"/>
      </w:tblPr>
      <w:tblGrid>
        <w:gridCol w:w="778"/>
        <w:gridCol w:w="4268"/>
        <w:gridCol w:w="159"/>
        <w:gridCol w:w="818"/>
        <w:gridCol w:w="4252"/>
      </w:tblGrid>
      <w:tr w:rsidR="00C139C5" w:rsidRPr="00EE23FC" w:rsidTr="00807915">
        <w:tc>
          <w:tcPr>
            <w:tcW w:w="778" w:type="dxa"/>
            <w:tcBorders>
              <w:bottom w:val="nil"/>
            </w:tcBorders>
          </w:tcPr>
          <w:p w:rsidR="00C139C5" w:rsidRPr="00EE23FC" w:rsidRDefault="00C139C5" w:rsidP="00807915">
            <w:pPr>
              <w:widowControl w:val="0"/>
              <w:spacing w:before="60"/>
              <w:rPr>
                <w:rFonts w:cs="Arial"/>
                <w:szCs w:val="18"/>
              </w:rPr>
            </w:pPr>
            <w:r w:rsidRPr="00EE23FC">
              <w:rPr>
                <w:rFonts w:cs="Arial"/>
                <w:szCs w:val="18"/>
              </w:rPr>
              <w:t>podpis:</w:t>
            </w:r>
          </w:p>
        </w:tc>
        <w:tc>
          <w:tcPr>
            <w:tcW w:w="4427" w:type="dxa"/>
            <w:gridSpan w:val="2"/>
          </w:tcPr>
          <w:p w:rsidR="00C139C5" w:rsidRPr="00EE23FC" w:rsidRDefault="00C139C5" w:rsidP="00807915">
            <w:pPr>
              <w:widowControl w:val="0"/>
              <w:spacing w:before="60"/>
              <w:rPr>
                <w:rFonts w:cs="Arial"/>
                <w:szCs w:val="18"/>
              </w:rPr>
            </w:pPr>
          </w:p>
        </w:tc>
        <w:tc>
          <w:tcPr>
            <w:tcW w:w="818" w:type="dxa"/>
            <w:tcBorders>
              <w:bottom w:val="nil"/>
            </w:tcBorders>
          </w:tcPr>
          <w:p w:rsidR="00C139C5" w:rsidRPr="00EE23FC" w:rsidRDefault="00C139C5" w:rsidP="00807915">
            <w:pPr>
              <w:widowControl w:val="0"/>
              <w:spacing w:before="60"/>
              <w:rPr>
                <w:rFonts w:cs="Arial"/>
                <w:szCs w:val="18"/>
              </w:rPr>
            </w:pPr>
            <w:r w:rsidRPr="00EE23FC">
              <w:rPr>
                <w:rFonts w:cs="Arial"/>
                <w:szCs w:val="18"/>
              </w:rPr>
              <w:t>podpis:</w:t>
            </w:r>
          </w:p>
        </w:tc>
        <w:tc>
          <w:tcPr>
            <w:tcW w:w="4252" w:type="dxa"/>
            <w:tcBorders>
              <w:bottom w:val="dotted" w:sz="4" w:space="0" w:color="auto"/>
            </w:tcBorders>
          </w:tcPr>
          <w:p w:rsidR="00C139C5" w:rsidRPr="00EE23FC" w:rsidRDefault="00C139C5" w:rsidP="00807915">
            <w:pPr>
              <w:widowControl w:val="0"/>
              <w:spacing w:before="60"/>
              <w:rPr>
                <w:rFonts w:cs="Arial"/>
                <w:szCs w:val="18"/>
              </w:rPr>
            </w:pPr>
          </w:p>
        </w:tc>
      </w:tr>
      <w:tr w:rsidR="00C139C5" w:rsidRPr="00EE23FC" w:rsidTr="00807915">
        <w:tc>
          <w:tcPr>
            <w:tcW w:w="778" w:type="dxa"/>
          </w:tcPr>
          <w:p w:rsidR="00C139C5" w:rsidRPr="00EE23FC" w:rsidRDefault="00C139C5" w:rsidP="00807915">
            <w:pPr>
              <w:widowControl w:val="0"/>
              <w:spacing w:before="60"/>
              <w:jc w:val="center"/>
              <w:rPr>
                <w:rFonts w:cs="Arial"/>
                <w:szCs w:val="18"/>
              </w:rPr>
            </w:pPr>
          </w:p>
        </w:tc>
        <w:tc>
          <w:tcPr>
            <w:tcW w:w="4268" w:type="dxa"/>
            <w:tcBorders>
              <w:top w:val="dotted" w:sz="4" w:space="0" w:color="auto"/>
            </w:tcBorders>
          </w:tcPr>
          <w:p w:rsidR="00C139C5" w:rsidRPr="00EE23FC" w:rsidRDefault="00125A29" w:rsidP="00807915">
            <w:pPr>
              <w:widowControl w:val="0"/>
              <w:spacing w:before="60"/>
              <w:jc w:val="center"/>
              <w:rPr>
                <w:rFonts w:cs="Arial"/>
                <w:szCs w:val="18"/>
              </w:rPr>
            </w:pPr>
            <w:r w:rsidRPr="00EE23FC">
              <w:rPr>
                <w:rFonts w:cs="Arial"/>
                <w:szCs w:val="18"/>
                <w:highlight w:val="lightGray"/>
              </w:rPr>
              <w:fldChar w:fldCharType="begin">
                <w:ffData>
                  <w:name w:val="Text150"/>
                  <w:enabled/>
                  <w:calcOnExit w:val="0"/>
                  <w:textInput/>
                </w:ffData>
              </w:fldChar>
            </w:r>
            <w:r w:rsidR="00C139C5" w:rsidRPr="00EE23FC">
              <w:rPr>
                <w:rFonts w:cs="Arial"/>
                <w:szCs w:val="18"/>
                <w:highlight w:val="lightGray"/>
              </w:rPr>
              <w:instrText xml:space="preserve"> FORMTEXT </w:instrText>
            </w:r>
            <w:r w:rsidRPr="00EE23FC">
              <w:rPr>
                <w:rFonts w:cs="Arial"/>
                <w:szCs w:val="18"/>
                <w:highlight w:val="lightGray"/>
              </w:rPr>
            </w:r>
            <w:r w:rsidRPr="00EE23FC">
              <w:rPr>
                <w:rFonts w:cs="Arial"/>
                <w:szCs w:val="18"/>
                <w:highlight w:val="lightGray"/>
              </w:rPr>
              <w:fldChar w:fldCharType="separate"/>
            </w:r>
            <w:r w:rsidR="00C139C5" w:rsidRPr="00EE23FC">
              <w:rPr>
                <w:rFonts w:cs="Arial"/>
                <w:szCs w:val="18"/>
              </w:rPr>
              <w:t> </w:t>
            </w:r>
            <w:r w:rsidR="00C139C5" w:rsidRPr="00EE23FC">
              <w:rPr>
                <w:rFonts w:cs="Arial"/>
                <w:szCs w:val="18"/>
              </w:rPr>
              <w:t> </w:t>
            </w:r>
            <w:r w:rsidR="00C139C5" w:rsidRPr="00EE23FC">
              <w:rPr>
                <w:rFonts w:cs="Arial"/>
                <w:szCs w:val="18"/>
              </w:rPr>
              <w:t> </w:t>
            </w:r>
            <w:r w:rsidR="00C139C5" w:rsidRPr="00EE23FC">
              <w:rPr>
                <w:rFonts w:cs="Arial"/>
                <w:szCs w:val="18"/>
              </w:rPr>
              <w:t> </w:t>
            </w:r>
            <w:r w:rsidR="00C139C5" w:rsidRPr="00EE23FC">
              <w:rPr>
                <w:rFonts w:cs="Arial"/>
                <w:szCs w:val="18"/>
              </w:rPr>
              <w:t> </w:t>
            </w:r>
            <w:r w:rsidRPr="00EE23FC">
              <w:rPr>
                <w:rFonts w:cs="Arial"/>
                <w:szCs w:val="18"/>
                <w:highlight w:val="lightGray"/>
              </w:rPr>
              <w:fldChar w:fldCharType="end"/>
            </w:r>
          </w:p>
        </w:tc>
        <w:tc>
          <w:tcPr>
            <w:tcW w:w="159" w:type="dxa"/>
          </w:tcPr>
          <w:p w:rsidR="00C139C5" w:rsidRPr="00EE23FC" w:rsidRDefault="00C139C5" w:rsidP="00807915">
            <w:pPr>
              <w:widowControl w:val="0"/>
              <w:spacing w:before="60"/>
              <w:rPr>
                <w:rFonts w:cs="Arial"/>
                <w:szCs w:val="18"/>
              </w:rPr>
            </w:pPr>
          </w:p>
        </w:tc>
        <w:tc>
          <w:tcPr>
            <w:tcW w:w="818" w:type="dxa"/>
          </w:tcPr>
          <w:p w:rsidR="00C139C5" w:rsidRPr="00EE23FC" w:rsidRDefault="00C139C5" w:rsidP="00807915">
            <w:pPr>
              <w:widowControl w:val="0"/>
              <w:spacing w:before="60"/>
              <w:jc w:val="center"/>
              <w:rPr>
                <w:rFonts w:cs="Arial"/>
                <w:szCs w:val="18"/>
              </w:rPr>
            </w:pPr>
          </w:p>
        </w:tc>
        <w:tc>
          <w:tcPr>
            <w:tcW w:w="4252" w:type="dxa"/>
            <w:tcBorders>
              <w:top w:val="dotted" w:sz="4" w:space="0" w:color="auto"/>
            </w:tcBorders>
          </w:tcPr>
          <w:p w:rsidR="00C139C5" w:rsidRPr="00EE23FC" w:rsidRDefault="00125A29" w:rsidP="00807915">
            <w:pPr>
              <w:widowControl w:val="0"/>
              <w:spacing w:before="60"/>
              <w:jc w:val="center"/>
              <w:rPr>
                <w:rFonts w:cs="Arial"/>
                <w:szCs w:val="18"/>
              </w:rPr>
            </w:pPr>
            <w:r w:rsidRPr="00EE23FC">
              <w:rPr>
                <w:rFonts w:cs="Arial"/>
                <w:szCs w:val="18"/>
                <w:highlight w:val="lightGray"/>
              </w:rPr>
              <w:fldChar w:fldCharType="begin">
                <w:ffData>
                  <w:name w:val="Text150"/>
                  <w:enabled/>
                  <w:calcOnExit w:val="0"/>
                  <w:textInput/>
                </w:ffData>
              </w:fldChar>
            </w:r>
            <w:r w:rsidR="00C139C5" w:rsidRPr="00EE23FC">
              <w:rPr>
                <w:rFonts w:cs="Arial"/>
                <w:szCs w:val="18"/>
                <w:highlight w:val="lightGray"/>
              </w:rPr>
              <w:instrText xml:space="preserve"> FORMTEXT </w:instrText>
            </w:r>
            <w:r w:rsidRPr="00EE23FC">
              <w:rPr>
                <w:rFonts w:cs="Arial"/>
                <w:szCs w:val="18"/>
                <w:highlight w:val="lightGray"/>
              </w:rPr>
            </w:r>
            <w:r w:rsidRPr="00EE23FC">
              <w:rPr>
                <w:rFonts w:cs="Arial"/>
                <w:szCs w:val="18"/>
                <w:highlight w:val="lightGray"/>
              </w:rPr>
              <w:fldChar w:fldCharType="separate"/>
            </w:r>
            <w:r w:rsidR="00C139C5" w:rsidRPr="00EE23FC">
              <w:rPr>
                <w:rFonts w:cs="Arial"/>
                <w:szCs w:val="18"/>
              </w:rPr>
              <w:t> </w:t>
            </w:r>
            <w:r w:rsidR="00C139C5" w:rsidRPr="00EE23FC">
              <w:rPr>
                <w:rFonts w:cs="Arial"/>
                <w:szCs w:val="18"/>
              </w:rPr>
              <w:t> </w:t>
            </w:r>
            <w:r w:rsidR="00C139C5" w:rsidRPr="00EE23FC">
              <w:rPr>
                <w:rFonts w:cs="Arial"/>
                <w:szCs w:val="18"/>
              </w:rPr>
              <w:t> </w:t>
            </w:r>
            <w:r w:rsidR="00C139C5" w:rsidRPr="00EE23FC">
              <w:rPr>
                <w:rFonts w:cs="Arial"/>
                <w:szCs w:val="18"/>
              </w:rPr>
              <w:t> </w:t>
            </w:r>
            <w:r w:rsidR="00C139C5" w:rsidRPr="00EE23FC">
              <w:rPr>
                <w:rFonts w:cs="Arial"/>
                <w:szCs w:val="18"/>
              </w:rPr>
              <w:t> </w:t>
            </w:r>
            <w:r w:rsidRPr="00EE23FC">
              <w:rPr>
                <w:rFonts w:cs="Arial"/>
                <w:szCs w:val="18"/>
                <w:highlight w:val="lightGray"/>
              </w:rPr>
              <w:fldChar w:fldCharType="end"/>
            </w:r>
          </w:p>
        </w:tc>
      </w:tr>
      <w:tr w:rsidR="00C139C5" w:rsidRPr="00EE23FC" w:rsidTr="00807915">
        <w:tc>
          <w:tcPr>
            <w:tcW w:w="778" w:type="dxa"/>
          </w:tcPr>
          <w:p w:rsidR="00C139C5" w:rsidRPr="00EE23FC" w:rsidRDefault="00C139C5" w:rsidP="00807915">
            <w:pPr>
              <w:widowControl w:val="0"/>
              <w:spacing w:before="60"/>
              <w:jc w:val="center"/>
              <w:rPr>
                <w:rFonts w:cs="Arial"/>
                <w:szCs w:val="18"/>
              </w:rPr>
            </w:pPr>
          </w:p>
        </w:tc>
        <w:tc>
          <w:tcPr>
            <w:tcW w:w="4268" w:type="dxa"/>
          </w:tcPr>
          <w:p w:rsidR="00C139C5" w:rsidRPr="00EE23FC" w:rsidRDefault="00125A29" w:rsidP="00807915">
            <w:pPr>
              <w:widowControl w:val="0"/>
              <w:spacing w:before="60"/>
              <w:jc w:val="center"/>
              <w:rPr>
                <w:rFonts w:cs="Arial"/>
                <w:szCs w:val="18"/>
              </w:rPr>
            </w:pPr>
            <w:r w:rsidRPr="00EE23FC">
              <w:rPr>
                <w:rFonts w:cs="Arial"/>
                <w:szCs w:val="18"/>
                <w:highlight w:val="lightGray"/>
              </w:rPr>
              <w:fldChar w:fldCharType="begin">
                <w:ffData>
                  <w:name w:val="Text150"/>
                  <w:enabled/>
                  <w:calcOnExit w:val="0"/>
                  <w:textInput/>
                </w:ffData>
              </w:fldChar>
            </w:r>
            <w:r w:rsidR="00C139C5" w:rsidRPr="00EE23FC">
              <w:rPr>
                <w:rFonts w:cs="Arial"/>
                <w:szCs w:val="18"/>
                <w:highlight w:val="lightGray"/>
              </w:rPr>
              <w:instrText xml:space="preserve"> FORMTEXT </w:instrText>
            </w:r>
            <w:r w:rsidRPr="00EE23FC">
              <w:rPr>
                <w:rFonts w:cs="Arial"/>
                <w:szCs w:val="18"/>
                <w:highlight w:val="lightGray"/>
              </w:rPr>
            </w:r>
            <w:r w:rsidRPr="00EE23FC">
              <w:rPr>
                <w:rFonts w:cs="Arial"/>
                <w:szCs w:val="18"/>
                <w:highlight w:val="lightGray"/>
              </w:rPr>
              <w:fldChar w:fldCharType="separate"/>
            </w:r>
            <w:r w:rsidR="00C139C5" w:rsidRPr="00EE23FC">
              <w:rPr>
                <w:rFonts w:cs="Arial"/>
                <w:szCs w:val="18"/>
              </w:rPr>
              <w:t> </w:t>
            </w:r>
            <w:r w:rsidR="00C139C5" w:rsidRPr="00EE23FC">
              <w:rPr>
                <w:rFonts w:cs="Arial"/>
                <w:szCs w:val="18"/>
              </w:rPr>
              <w:t> </w:t>
            </w:r>
            <w:r w:rsidR="00C139C5" w:rsidRPr="00EE23FC">
              <w:rPr>
                <w:rFonts w:cs="Arial"/>
                <w:szCs w:val="18"/>
              </w:rPr>
              <w:t> </w:t>
            </w:r>
            <w:r w:rsidR="00C139C5" w:rsidRPr="00EE23FC">
              <w:rPr>
                <w:rFonts w:cs="Arial"/>
                <w:szCs w:val="18"/>
              </w:rPr>
              <w:t> </w:t>
            </w:r>
            <w:r w:rsidR="00C139C5" w:rsidRPr="00EE23FC">
              <w:rPr>
                <w:rFonts w:cs="Arial"/>
                <w:szCs w:val="18"/>
              </w:rPr>
              <w:t> </w:t>
            </w:r>
            <w:r w:rsidRPr="00EE23FC">
              <w:rPr>
                <w:rFonts w:cs="Arial"/>
                <w:szCs w:val="18"/>
                <w:highlight w:val="lightGray"/>
              </w:rPr>
              <w:fldChar w:fldCharType="end"/>
            </w:r>
          </w:p>
        </w:tc>
        <w:tc>
          <w:tcPr>
            <w:tcW w:w="159" w:type="dxa"/>
          </w:tcPr>
          <w:p w:rsidR="00C139C5" w:rsidRPr="00EE23FC" w:rsidRDefault="00C139C5" w:rsidP="00807915">
            <w:pPr>
              <w:widowControl w:val="0"/>
              <w:spacing w:before="60"/>
              <w:rPr>
                <w:rFonts w:cs="Arial"/>
                <w:szCs w:val="18"/>
              </w:rPr>
            </w:pPr>
          </w:p>
        </w:tc>
        <w:tc>
          <w:tcPr>
            <w:tcW w:w="818" w:type="dxa"/>
          </w:tcPr>
          <w:p w:rsidR="00C139C5" w:rsidRPr="00EE23FC" w:rsidRDefault="00C139C5" w:rsidP="00807915">
            <w:pPr>
              <w:widowControl w:val="0"/>
              <w:spacing w:before="60"/>
              <w:jc w:val="center"/>
              <w:rPr>
                <w:rFonts w:cs="Arial"/>
                <w:szCs w:val="18"/>
              </w:rPr>
            </w:pPr>
          </w:p>
        </w:tc>
        <w:tc>
          <w:tcPr>
            <w:tcW w:w="4252" w:type="dxa"/>
          </w:tcPr>
          <w:p w:rsidR="00C139C5" w:rsidRPr="00EE23FC" w:rsidRDefault="00125A29" w:rsidP="00807915">
            <w:pPr>
              <w:widowControl w:val="0"/>
              <w:spacing w:before="60"/>
              <w:jc w:val="center"/>
              <w:rPr>
                <w:rFonts w:cs="Arial"/>
                <w:szCs w:val="18"/>
              </w:rPr>
            </w:pPr>
            <w:r w:rsidRPr="00EE23FC">
              <w:rPr>
                <w:rFonts w:cs="Arial"/>
                <w:szCs w:val="18"/>
                <w:highlight w:val="lightGray"/>
              </w:rPr>
              <w:fldChar w:fldCharType="begin">
                <w:ffData>
                  <w:name w:val="Text150"/>
                  <w:enabled/>
                  <w:calcOnExit w:val="0"/>
                  <w:textInput/>
                </w:ffData>
              </w:fldChar>
            </w:r>
            <w:r w:rsidR="00C139C5" w:rsidRPr="00EE23FC">
              <w:rPr>
                <w:rFonts w:cs="Arial"/>
                <w:szCs w:val="18"/>
                <w:highlight w:val="lightGray"/>
              </w:rPr>
              <w:instrText xml:space="preserve"> FORMTEXT </w:instrText>
            </w:r>
            <w:r w:rsidRPr="00EE23FC">
              <w:rPr>
                <w:rFonts w:cs="Arial"/>
                <w:szCs w:val="18"/>
                <w:highlight w:val="lightGray"/>
              </w:rPr>
            </w:r>
            <w:r w:rsidRPr="00EE23FC">
              <w:rPr>
                <w:rFonts w:cs="Arial"/>
                <w:szCs w:val="18"/>
                <w:highlight w:val="lightGray"/>
              </w:rPr>
              <w:fldChar w:fldCharType="separate"/>
            </w:r>
            <w:r w:rsidR="00C139C5" w:rsidRPr="00EE23FC">
              <w:rPr>
                <w:rFonts w:cs="Arial"/>
                <w:szCs w:val="18"/>
              </w:rPr>
              <w:t> </w:t>
            </w:r>
            <w:r w:rsidR="00C139C5" w:rsidRPr="00EE23FC">
              <w:rPr>
                <w:rFonts w:cs="Arial"/>
                <w:szCs w:val="18"/>
              </w:rPr>
              <w:t> </w:t>
            </w:r>
            <w:r w:rsidR="00C139C5" w:rsidRPr="00EE23FC">
              <w:rPr>
                <w:rFonts w:cs="Arial"/>
                <w:szCs w:val="18"/>
              </w:rPr>
              <w:t> </w:t>
            </w:r>
            <w:r w:rsidR="00C139C5" w:rsidRPr="00EE23FC">
              <w:rPr>
                <w:rFonts w:cs="Arial"/>
                <w:szCs w:val="18"/>
              </w:rPr>
              <w:t> </w:t>
            </w:r>
            <w:r w:rsidR="00C139C5" w:rsidRPr="00EE23FC">
              <w:rPr>
                <w:rFonts w:cs="Arial"/>
                <w:szCs w:val="18"/>
              </w:rPr>
              <w:t> </w:t>
            </w:r>
            <w:r w:rsidRPr="00EE23FC">
              <w:rPr>
                <w:rFonts w:cs="Arial"/>
                <w:szCs w:val="18"/>
                <w:highlight w:val="lightGray"/>
              </w:rPr>
              <w:fldChar w:fldCharType="end"/>
            </w:r>
          </w:p>
        </w:tc>
      </w:tr>
      <w:tr w:rsidR="00C139C5" w:rsidRPr="00EE23FC" w:rsidTr="00807915">
        <w:tc>
          <w:tcPr>
            <w:tcW w:w="778" w:type="dxa"/>
            <w:tcBorders>
              <w:bottom w:val="dotted" w:sz="4" w:space="0" w:color="auto"/>
            </w:tcBorders>
          </w:tcPr>
          <w:p w:rsidR="00C139C5" w:rsidRPr="00EE23FC" w:rsidRDefault="00C139C5" w:rsidP="00807915">
            <w:pPr>
              <w:widowControl w:val="0"/>
              <w:spacing w:before="60"/>
              <w:jc w:val="center"/>
              <w:rPr>
                <w:rFonts w:cs="Arial"/>
                <w:szCs w:val="18"/>
              </w:rPr>
            </w:pPr>
          </w:p>
        </w:tc>
        <w:tc>
          <w:tcPr>
            <w:tcW w:w="4268" w:type="dxa"/>
            <w:tcBorders>
              <w:bottom w:val="dotted" w:sz="4" w:space="0" w:color="auto"/>
            </w:tcBorders>
          </w:tcPr>
          <w:p w:rsidR="00C139C5" w:rsidRPr="00EE23FC" w:rsidRDefault="00C139C5" w:rsidP="00C139C5">
            <w:pPr>
              <w:widowControl w:val="0"/>
              <w:spacing w:before="60"/>
              <w:jc w:val="center"/>
              <w:rPr>
                <w:rFonts w:cs="Arial"/>
                <w:szCs w:val="18"/>
              </w:rPr>
            </w:pPr>
            <w:r w:rsidRPr="00EE23FC">
              <w:rPr>
                <w:rFonts w:cs="Arial"/>
                <w:szCs w:val="18"/>
              </w:rPr>
              <w:t xml:space="preserve">titul, jméno, příjmení, funkce </w:t>
            </w:r>
          </w:p>
        </w:tc>
        <w:tc>
          <w:tcPr>
            <w:tcW w:w="159" w:type="dxa"/>
            <w:tcBorders>
              <w:bottom w:val="dotted" w:sz="4" w:space="0" w:color="auto"/>
            </w:tcBorders>
          </w:tcPr>
          <w:p w:rsidR="00C139C5" w:rsidRPr="00EE23FC" w:rsidRDefault="00C139C5" w:rsidP="00807915">
            <w:pPr>
              <w:widowControl w:val="0"/>
              <w:spacing w:before="60"/>
              <w:rPr>
                <w:rFonts w:cs="Arial"/>
                <w:szCs w:val="18"/>
              </w:rPr>
            </w:pPr>
          </w:p>
        </w:tc>
        <w:tc>
          <w:tcPr>
            <w:tcW w:w="818" w:type="dxa"/>
            <w:tcBorders>
              <w:bottom w:val="dotted" w:sz="4" w:space="0" w:color="auto"/>
            </w:tcBorders>
          </w:tcPr>
          <w:p w:rsidR="00C139C5" w:rsidRPr="00EE23FC" w:rsidRDefault="00C139C5" w:rsidP="00807915">
            <w:pPr>
              <w:widowControl w:val="0"/>
              <w:spacing w:before="60"/>
              <w:jc w:val="center"/>
              <w:rPr>
                <w:rFonts w:cs="Arial"/>
                <w:szCs w:val="18"/>
              </w:rPr>
            </w:pPr>
          </w:p>
        </w:tc>
        <w:tc>
          <w:tcPr>
            <w:tcW w:w="4252" w:type="dxa"/>
            <w:tcBorders>
              <w:bottom w:val="dotted" w:sz="4" w:space="0" w:color="auto"/>
            </w:tcBorders>
          </w:tcPr>
          <w:p w:rsidR="00C139C5" w:rsidRPr="00EE23FC" w:rsidRDefault="00C139C5" w:rsidP="00C139C5">
            <w:pPr>
              <w:widowControl w:val="0"/>
              <w:spacing w:before="60"/>
              <w:jc w:val="center"/>
              <w:rPr>
                <w:rFonts w:cs="Arial"/>
                <w:szCs w:val="18"/>
              </w:rPr>
            </w:pPr>
            <w:r w:rsidRPr="00EE23FC">
              <w:rPr>
                <w:rFonts w:cs="Arial"/>
                <w:szCs w:val="18"/>
              </w:rPr>
              <w:t xml:space="preserve">titul, jméno, příjmení, funkce </w:t>
            </w:r>
          </w:p>
        </w:tc>
      </w:tr>
    </w:tbl>
    <w:p w:rsidR="00660473" w:rsidRDefault="00660473" w:rsidP="00001EA2">
      <w:pPr>
        <w:jc w:val="center"/>
        <w:rPr>
          <w:rFonts w:cs="Arial"/>
        </w:rPr>
      </w:pPr>
    </w:p>
    <w:p w:rsidR="00702821" w:rsidRPr="00EE23FC" w:rsidRDefault="00660473" w:rsidP="00001EA2">
      <w:pPr>
        <w:jc w:val="center"/>
        <w:rPr>
          <w:rFonts w:cs="Arial"/>
        </w:rPr>
      </w:pPr>
      <w:r>
        <w:rPr>
          <w:rFonts w:cs="Arial"/>
        </w:rPr>
        <w:br w:type="page"/>
      </w:r>
    </w:p>
    <w:p w:rsidR="00702821" w:rsidRPr="00EE23FC" w:rsidRDefault="00702821" w:rsidP="00A55969">
      <w:pPr>
        <w:pStyle w:val="Nadpis1"/>
        <w:rPr>
          <w:rFonts w:ascii="Arial" w:hAnsi="Arial" w:cs="Arial"/>
          <w:caps/>
          <w:sz w:val="18"/>
          <w:szCs w:val="18"/>
          <w:lang w:val="cs-CZ"/>
        </w:rPr>
      </w:pPr>
      <w:r w:rsidRPr="00EE23FC">
        <w:rPr>
          <w:rFonts w:ascii="Arial" w:hAnsi="Arial" w:cs="Arial"/>
          <w:caps/>
          <w:sz w:val="18"/>
          <w:szCs w:val="18"/>
          <w:lang w:val="cs-CZ"/>
        </w:rPr>
        <w:lastRenderedPageBreak/>
        <w:t>Příloha Č. 1</w:t>
      </w:r>
    </w:p>
    <w:p w:rsidR="0089357B" w:rsidRPr="00EE23FC" w:rsidRDefault="0089357B" w:rsidP="0089357B">
      <w:pPr>
        <w:rPr>
          <w:lang/>
        </w:rPr>
      </w:pPr>
    </w:p>
    <w:p w:rsidR="00702821" w:rsidRPr="00EE23FC" w:rsidRDefault="00702821" w:rsidP="00A55969">
      <w:pPr>
        <w:pStyle w:val="Nadpis1"/>
        <w:jc w:val="center"/>
        <w:rPr>
          <w:rFonts w:ascii="Arial" w:hAnsi="Arial" w:cs="Arial"/>
          <w:lang w:val="cs-CZ"/>
        </w:rPr>
      </w:pPr>
      <w:r w:rsidRPr="00EE23FC">
        <w:rPr>
          <w:rFonts w:ascii="Arial" w:hAnsi="Arial" w:cs="Arial"/>
          <w:lang w:val="cs-CZ"/>
        </w:rPr>
        <w:t>Ceník</w:t>
      </w:r>
    </w:p>
    <w:p w:rsidR="00574BB4" w:rsidRPr="00EE23FC" w:rsidRDefault="00574BB4" w:rsidP="00A55969">
      <w:pPr>
        <w:rPr>
          <w:rFonts w:cs="Arial"/>
          <w:szCs w:val="18"/>
        </w:rPr>
      </w:pPr>
    </w:p>
    <w:p w:rsidR="0089357B" w:rsidRPr="00EE23FC" w:rsidRDefault="0089357B" w:rsidP="00A55969">
      <w:pPr>
        <w:rPr>
          <w:rFonts w:cs="Arial"/>
          <w:szCs w:val="18"/>
        </w:rPr>
      </w:pPr>
    </w:p>
    <w:p w:rsidR="00863C4B" w:rsidRPr="00EE23FC" w:rsidRDefault="00863C4B" w:rsidP="00863C4B">
      <w:pPr>
        <w:numPr>
          <w:ilvl w:val="0"/>
          <w:numId w:val="35"/>
        </w:numPr>
        <w:rPr>
          <w:rFonts w:cs="Arial"/>
          <w:b/>
          <w:sz w:val="24"/>
          <w:szCs w:val="18"/>
          <w:u w:val="single"/>
        </w:rPr>
      </w:pPr>
      <w:r w:rsidRPr="00EE23FC">
        <w:rPr>
          <w:rFonts w:cs="Arial"/>
          <w:b/>
          <w:sz w:val="24"/>
          <w:szCs w:val="18"/>
          <w:u w:val="single"/>
        </w:rPr>
        <w:t>Vedení portfoliového účtu</w:t>
      </w:r>
    </w:p>
    <w:p w:rsidR="00863C4B" w:rsidRPr="00EE23FC" w:rsidRDefault="00863C4B" w:rsidP="00863C4B">
      <w:pPr>
        <w:rPr>
          <w:rFonts w:cs="Arial"/>
          <w:b/>
          <w:szCs w:val="18"/>
          <w:u w:val="single"/>
        </w:rPr>
      </w:pPr>
    </w:p>
    <w:p w:rsidR="00863C4B" w:rsidRPr="00EE23FC" w:rsidRDefault="00863C4B" w:rsidP="00863C4B">
      <w:pPr>
        <w:rPr>
          <w:rFonts w:cs="Arial"/>
          <w:szCs w:val="18"/>
        </w:rPr>
      </w:pPr>
      <w:r w:rsidRPr="00EE23FC">
        <w:rPr>
          <w:rFonts w:cs="Arial"/>
          <w:b/>
          <w:szCs w:val="18"/>
        </w:rPr>
        <w:t>Sazba DPH:</w:t>
      </w:r>
      <w:r w:rsidRPr="00EE23FC">
        <w:rPr>
          <w:rFonts w:cs="Arial"/>
          <w:szCs w:val="18"/>
        </w:rPr>
        <w:t xml:space="preserve"> </w:t>
      </w:r>
      <w:bookmarkStart w:id="1" w:name="Rozevírací3"/>
      <w:r w:rsidR="00125A29" w:rsidRPr="00EE23FC">
        <w:rPr>
          <w:rFonts w:cs="Arial"/>
          <w:szCs w:val="18"/>
        </w:rPr>
        <w:fldChar w:fldCharType="begin">
          <w:ffData>
            <w:name w:val="Rozevírací3"/>
            <w:enabled/>
            <w:calcOnExit w:val="0"/>
            <w:ddList>
              <w:listEntry w:val="0%"/>
              <w:listEntry w:val="Snížená"/>
              <w:listEntry w:val="Základní"/>
            </w:ddList>
          </w:ffData>
        </w:fldChar>
      </w:r>
      <w:r w:rsidRPr="00EE23FC">
        <w:rPr>
          <w:rFonts w:cs="Arial"/>
          <w:szCs w:val="18"/>
        </w:rPr>
        <w:instrText xml:space="preserve"> FORMDROPDOWN </w:instrText>
      </w:r>
      <w:r w:rsidR="00125A29">
        <w:rPr>
          <w:rFonts w:cs="Arial"/>
          <w:szCs w:val="18"/>
        </w:rPr>
      </w:r>
      <w:r w:rsidR="00125A29">
        <w:rPr>
          <w:rFonts w:cs="Arial"/>
          <w:szCs w:val="18"/>
        </w:rPr>
        <w:fldChar w:fldCharType="separate"/>
      </w:r>
      <w:r w:rsidR="00125A29" w:rsidRPr="00EE23FC">
        <w:rPr>
          <w:rFonts w:cs="Arial"/>
          <w:szCs w:val="18"/>
        </w:rPr>
        <w:fldChar w:fldCharType="end"/>
      </w:r>
      <w:bookmarkEnd w:id="1"/>
      <w:r w:rsidR="008C520E">
        <w:rPr>
          <w:rFonts w:cs="Arial"/>
          <w:szCs w:val="18"/>
        </w:rPr>
        <w:t xml:space="preserve">; úschova listinných investičních nástrojů: </w:t>
      </w:r>
      <w:r w:rsidR="00125A29">
        <w:rPr>
          <w:rFonts w:cs="Arial"/>
          <w:szCs w:val="18"/>
        </w:rPr>
        <w:fldChar w:fldCharType="begin">
          <w:ffData>
            <w:name w:val=""/>
            <w:enabled/>
            <w:calcOnExit w:val="0"/>
            <w:ddList>
              <w:listEntry w:val="Základní"/>
              <w:listEntry w:val="0%"/>
              <w:listEntry w:val="Snížená"/>
            </w:ddList>
          </w:ffData>
        </w:fldChar>
      </w:r>
      <w:r w:rsidR="008C520E">
        <w:rPr>
          <w:rFonts w:cs="Arial"/>
          <w:szCs w:val="18"/>
        </w:rPr>
        <w:instrText xml:space="preserve"> FORMDROPDOWN </w:instrText>
      </w:r>
      <w:r w:rsidR="00125A29">
        <w:rPr>
          <w:rFonts w:cs="Arial"/>
          <w:szCs w:val="18"/>
        </w:rPr>
      </w:r>
      <w:r w:rsidR="00125A29">
        <w:rPr>
          <w:rFonts w:cs="Arial"/>
          <w:szCs w:val="18"/>
        </w:rPr>
        <w:fldChar w:fldCharType="separate"/>
      </w:r>
      <w:r w:rsidR="00125A29">
        <w:rPr>
          <w:rFonts w:cs="Arial"/>
          <w:szCs w:val="18"/>
        </w:rPr>
        <w:fldChar w:fldCharType="end"/>
      </w:r>
    </w:p>
    <w:p w:rsidR="00863C4B" w:rsidRPr="00EE23FC" w:rsidRDefault="00863C4B" w:rsidP="00863C4B">
      <w:pPr>
        <w:jc w:val="both"/>
        <w:rPr>
          <w:rFonts w:cs="Arial"/>
          <w:bCs/>
          <w:szCs w:val="18"/>
        </w:rPr>
      </w:pPr>
      <w:r w:rsidRPr="00EE23FC">
        <w:rPr>
          <w:rFonts w:cs="Arial"/>
          <w:b/>
          <w:bCs/>
          <w:szCs w:val="18"/>
        </w:rPr>
        <w:t>Poplatky t</w:t>
      </w:r>
      <w:r w:rsidRPr="00EE23FC">
        <w:rPr>
          <w:rFonts w:ascii="TT12E5o00" w:hAnsi="TT12E5o00" w:cs="TT12E5o00"/>
          <w:b/>
          <w:szCs w:val="18"/>
        </w:rPr>
        <w:t>ř</w:t>
      </w:r>
      <w:r w:rsidRPr="00EE23FC">
        <w:rPr>
          <w:rFonts w:cs="Arial"/>
          <w:b/>
          <w:bCs/>
          <w:szCs w:val="18"/>
        </w:rPr>
        <w:t>etích stran (depozitáři, zahrani</w:t>
      </w:r>
      <w:r w:rsidRPr="00EE23FC">
        <w:rPr>
          <w:rFonts w:ascii="TT12E5o00" w:hAnsi="TT12E5o00" w:cs="TT12E5o00"/>
          <w:b/>
          <w:szCs w:val="18"/>
        </w:rPr>
        <w:t>č</w:t>
      </w:r>
      <w:r w:rsidRPr="00EE23FC">
        <w:rPr>
          <w:rFonts w:cs="Arial"/>
          <w:b/>
          <w:bCs/>
          <w:szCs w:val="18"/>
        </w:rPr>
        <w:t xml:space="preserve">ní správci): </w:t>
      </w:r>
      <w:bookmarkStart w:id="2" w:name="Rozevírací4"/>
      <w:r w:rsidR="00125A29" w:rsidRPr="00EE23FC">
        <w:rPr>
          <w:rFonts w:cs="Arial"/>
          <w:bCs/>
          <w:szCs w:val="18"/>
        </w:rPr>
        <w:fldChar w:fldCharType="begin">
          <w:ffData>
            <w:name w:val="Rozevírací4"/>
            <w:enabled/>
            <w:calcOnExit w:val="0"/>
            <w:ddList>
              <w:listEntry w:val="zahrnuty, výše poplatku je konečná"/>
              <w:listEntry w:val="nezahrnuty, budou přefakturovány"/>
            </w:ddList>
          </w:ffData>
        </w:fldChar>
      </w:r>
      <w:r w:rsidRPr="00EE23FC">
        <w:rPr>
          <w:rFonts w:cs="Arial"/>
          <w:bCs/>
          <w:szCs w:val="18"/>
        </w:rPr>
        <w:instrText xml:space="preserve"> FORMDROPDOWN </w:instrText>
      </w:r>
      <w:r w:rsidR="00125A29">
        <w:rPr>
          <w:rFonts w:cs="Arial"/>
          <w:bCs/>
          <w:szCs w:val="18"/>
        </w:rPr>
      </w:r>
      <w:r w:rsidR="00125A29">
        <w:rPr>
          <w:rFonts w:cs="Arial"/>
          <w:bCs/>
          <w:szCs w:val="18"/>
        </w:rPr>
        <w:fldChar w:fldCharType="separate"/>
      </w:r>
      <w:r w:rsidR="00125A29" w:rsidRPr="00EE23FC">
        <w:rPr>
          <w:rFonts w:cs="Arial"/>
          <w:bCs/>
          <w:szCs w:val="18"/>
        </w:rPr>
        <w:fldChar w:fldCharType="end"/>
      </w:r>
      <w:bookmarkEnd w:id="2"/>
    </w:p>
    <w:p w:rsidR="00863C4B" w:rsidRPr="00EE23FC" w:rsidRDefault="00863C4B" w:rsidP="00863C4B">
      <w:pPr>
        <w:jc w:val="both"/>
        <w:rPr>
          <w:rFonts w:cs="Arial"/>
          <w:szCs w:val="18"/>
        </w:rPr>
      </w:pPr>
    </w:p>
    <w:p w:rsidR="00863C4B" w:rsidRPr="00EE23FC" w:rsidRDefault="00863C4B" w:rsidP="00863C4B">
      <w:pPr>
        <w:autoSpaceDE w:val="0"/>
        <w:autoSpaceDN w:val="0"/>
        <w:adjustRightInd w:val="0"/>
        <w:rPr>
          <w:rFonts w:cs="Arial"/>
          <w:b/>
          <w:bCs/>
          <w:szCs w:val="18"/>
        </w:rPr>
      </w:pPr>
      <w:r w:rsidRPr="00EE23FC">
        <w:rPr>
          <w:rFonts w:cs="Arial"/>
          <w:b/>
          <w:bCs/>
          <w:szCs w:val="18"/>
        </w:rPr>
        <w:t>Zp</w:t>
      </w:r>
      <w:r w:rsidRPr="00EE23FC">
        <w:rPr>
          <w:rFonts w:ascii="TT12E5o00" w:hAnsi="TT12E5o00" w:cs="TT12E5o00"/>
          <w:b/>
          <w:szCs w:val="18"/>
        </w:rPr>
        <w:t>ů</w:t>
      </w:r>
      <w:r w:rsidRPr="00EE23FC">
        <w:rPr>
          <w:rFonts w:cs="Arial"/>
          <w:b/>
          <w:bCs/>
          <w:szCs w:val="18"/>
        </w:rPr>
        <w:t>sob výpo</w:t>
      </w:r>
      <w:r w:rsidRPr="00EE23FC">
        <w:rPr>
          <w:rFonts w:ascii="TT12E5o00" w:hAnsi="TT12E5o00" w:cs="TT12E5o00"/>
          <w:b/>
          <w:szCs w:val="18"/>
        </w:rPr>
        <w:t>č</w:t>
      </w:r>
      <w:r w:rsidRPr="00EE23FC">
        <w:rPr>
          <w:rFonts w:cs="Arial"/>
          <w:b/>
          <w:bCs/>
          <w:szCs w:val="18"/>
        </w:rPr>
        <w:t>tu hodnoty portfoliového ú</w:t>
      </w:r>
      <w:r w:rsidRPr="00EE23FC">
        <w:rPr>
          <w:rFonts w:ascii="TT12E5o00" w:hAnsi="TT12E5o00" w:cs="TT12E5o00"/>
          <w:b/>
          <w:szCs w:val="18"/>
        </w:rPr>
        <w:t>č</w:t>
      </w:r>
      <w:r w:rsidRPr="00EE23FC">
        <w:rPr>
          <w:rFonts w:cs="Arial"/>
          <w:b/>
          <w:bCs/>
          <w:szCs w:val="18"/>
        </w:rPr>
        <w:t>tu:</w:t>
      </w:r>
    </w:p>
    <w:p w:rsidR="00863C4B" w:rsidRPr="00EE23FC" w:rsidRDefault="00863C4B" w:rsidP="00863C4B">
      <w:pPr>
        <w:numPr>
          <w:ilvl w:val="0"/>
          <w:numId w:val="36"/>
        </w:numPr>
        <w:autoSpaceDE w:val="0"/>
        <w:autoSpaceDN w:val="0"/>
        <w:adjustRightInd w:val="0"/>
        <w:rPr>
          <w:rFonts w:cs="Arial"/>
          <w:szCs w:val="18"/>
        </w:rPr>
      </w:pPr>
      <w:r w:rsidRPr="00EE23FC">
        <w:rPr>
          <w:rFonts w:cs="Arial"/>
          <w:szCs w:val="18"/>
        </w:rPr>
        <w:t>Konvence: ACT/365</w:t>
      </w:r>
    </w:p>
    <w:p w:rsidR="00863C4B" w:rsidRPr="00EE23FC" w:rsidRDefault="00863C4B" w:rsidP="00863C4B">
      <w:pPr>
        <w:numPr>
          <w:ilvl w:val="0"/>
          <w:numId w:val="36"/>
        </w:numPr>
        <w:autoSpaceDE w:val="0"/>
        <w:autoSpaceDN w:val="0"/>
        <w:adjustRightInd w:val="0"/>
        <w:rPr>
          <w:rFonts w:cs="Arial"/>
          <w:szCs w:val="18"/>
        </w:rPr>
      </w:pPr>
      <w:r w:rsidRPr="00EE23FC">
        <w:rPr>
          <w:rFonts w:cs="Arial"/>
          <w:szCs w:val="18"/>
        </w:rPr>
        <w:t>Ocenění: Denně</w:t>
      </w:r>
    </w:p>
    <w:p w:rsidR="00863C4B" w:rsidRPr="00EE23FC" w:rsidRDefault="00863C4B" w:rsidP="00863C4B">
      <w:pPr>
        <w:numPr>
          <w:ilvl w:val="0"/>
          <w:numId w:val="36"/>
        </w:numPr>
        <w:autoSpaceDE w:val="0"/>
        <w:autoSpaceDN w:val="0"/>
        <w:adjustRightInd w:val="0"/>
        <w:rPr>
          <w:rFonts w:ascii="TT12E3o00" w:hAnsi="TT12E3o00" w:cs="TT12E3o00"/>
          <w:szCs w:val="18"/>
        </w:rPr>
      </w:pPr>
      <w:r w:rsidRPr="00EE23FC">
        <w:rPr>
          <w:rFonts w:ascii="TT12E3o00" w:hAnsi="TT12E3o00" w:cs="TT12E3o00"/>
          <w:szCs w:val="18"/>
        </w:rPr>
        <w:t>Periodicita kalkulace: měsíčně</w:t>
      </w:r>
    </w:p>
    <w:p w:rsidR="00863C4B" w:rsidRPr="00EE23FC" w:rsidRDefault="00863C4B" w:rsidP="00863C4B">
      <w:pPr>
        <w:numPr>
          <w:ilvl w:val="0"/>
          <w:numId w:val="36"/>
        </w:numPr>
        <w:autoSpaceDE w:val="0"/>
        <w:autoSpaceDN w:val="0"/>
        <w:adjustRightInd w:val="0"/>
        <w:rPr>
          <w:rFonts w:ascii="TT12E3o00" w:hAnsi="TT12E3o00" w:cs="TT12E3o00"/>
          <w:szCs w:val="18"/>
        </w:rPr>
      </w:pPr>
      <w:r w:rsidRPr="00EE23FC">
        <w:rPr>
          <w:rFonts w:cs="Arial"/>
          <w:szCs w:val="18"/>
        </w:rPr>
        <w:t>Ocen</w:t>
      </w:r>
      <w:r w:rsidRPr="00EE23FC">
        <w:rPr>
          <w:rFonts w:ascii="TT12E3o00" w:hAnsi="TT12E3o00" w:cs="TT12E3o00"/>
          <w:szCs w:val="18"/>
        </w:rPr>
        <w:t>ě</w:t>
      </w:r>
      <w:r w:rsidRPr="00EE23FC">
        <w:rPr>
          <w:rFonts w:cs="Arial"/>
          <w:szCs w:val="18"/>
        </w:rPr>
        <w:t>ní investičních nástrojů: tržní cena; není-li k dispozici tržní cena, použije se poslední platný kurz, pop</w:t>
      </w:r>
      <w:r w:rsidRPr="00EE23FC">
        <w:rPr>
          <w:rFonts w:ascii="TT12E3o00" w:hAnsi="TT12E3o00" w:cs="TT12E3o00"/>
          <w:szCs w:val="18"/>
        </w:rPr>
        <w:t>ř</w:t>
      </w:r>
      <w:r w:rsidRPr="00EE23FC">
        <w:rPr>
          <w:rFonts w:cs="Arial"/>
          <w:szCs w:val="18"/>
        </w:rPr>
        <w:t>ípad</w:t>
      </w:r>
      <w:r w:rsidRPr="00EE23FC">
        <w:rPr>
          <w:rFonts w:ascii="TT12E3o00" w:hAnsi="TT12E3o00" w:cs="TT12E3o00"/>
          <w:szCs w:val="18"/>
        </w:rPr>
        <w:t xml:space="preserve">ě </w:t>
      </w:r>
      <w:r w:rsidRPr="00EE23FC">
        <w:rPr>
          <w:rFonts w:cs="Arial"/>
          <w:szCs w:val="18"/>
        </w:rPr>
        <w:t>nominální hodnota</w:t>
      </w:r>
      <w:r w:rsidRPr="00EE23FC">
        <w:rPr>
          <w:rFonts w:ascii="TT12E3o00" w:hAnsi="TT12E3o00" w:cs="TT12E3o00"/>
          <w:szCs w:val="18"/>
        </w:rPr>
        <w:t>; u dluhopisů včetně AÚV</w:t>
      </w:r>
    </w:p>
    <w:p w:rsidR="00863C4B" w:rsidRPr="00EE23FC" w:rsidRDefault="00863C4B" w:rsidP="00863C4B">
      <w:pPr>
        <w:numPr>
          <w:ilvl w:val="0"/>
          <w:numId w:val="36"/>
        </w:numPr>
        <w:autoSpaceDE w:val="0"/>
        <w:autoSpaceDN w:val="0"/>
        <w:adjustRightInd w:val="0"/>
        <w:rPr>
          <w:rFonts w:cs="Arial"/>
          <w:szCs w:val="18"/>
        </w:rPr>
      </w:pPr>
      <w:r w:rsidRPr="00EE23FC">
        <w:rPr>
          <w:rFonts w:cs="Arial"/>
          <w:szCs w:val="18"/>
        </w:rPr>
        <w:t>Pr</w:t>
      </w:r>
      <w:r w:rsidRPr="00EE23FC">
        <w:rPr>
          <w:rFonts w:ascii="TT12E3o00" w:hAnsi="TT12E3o00" w:cs="TT12E3o00"/>
          <w:szCs w:val="18"/>
        </w:rPr>
        <w:t>ů</w:t>
      </w:r>
      <w:r w:rsidRPr="00EE23FC">
        <w:rPr>
          <w:rFonts w:cs="Arial"/>
          <w:szCs w:val="18"/>
        </w:rPr>
        <w:t>m</w:t>
      </w:r>
      <w:r w:rsidRPr="00EE23FC">
        <w:rPr>
          <w:rFonts w:ascii="TT12E3o00" w:hAnsi="TT12E3o00" w:cs="TT12E3o00"/>
          <w:szCs w:val="18"/>
        </w:rPr>
        <w:t>ě</w:t>
      </w:r>
      <w:r w:rsidRPr="00EE23FC">
        <w:rPr>
          <w:rFonts w:cs="Arial"/>
          <w:szCs w:val="18"/>
        </w:rPr>
        <w:t>rná hodnota na dané destinaci, typu investičního nástroje, pásmu objemu nebo celém účtu stanoví konkrétní cenu</w:t>
      </w:r>
    </w:p>
    <w:p w:rsidR="00863C4B" w:rsidRPr="00EE23FC" w:rsidRDefault="00863C4B" w:rsidP="00863C4B">
      <w:pPr>
        <w:numPr>
          <w:ilvl w:val="0"/>
          <w:numId w:val="36"/>
        </w:numPr>
        <w:jc w:val="both"/>
        <w:rPr>
          <w:rFonts w:cs="Arial"/>
          <w:szCs w:val="18"/>
        </w:rPr>
      </w:pPr>
      <w:r w:rsidRPr="00EE23FC">
        <w:rPr>
          <w:rFonts w:cs="Arial"/>
          <w:szCs w:val="18"/>
        </w:rPr>
        <w:t>Cena je aplikována na celou hodnotu dané kombinace parametrů</w:t>
      </w:r>
    </w:p>
    <w:p w:rsidR="00863C4B" w:rsidRPr="00EE23FC" w:rsidRDefault="00863C4B" w:rsidP="00863C4B">
      <w:pPr>
        <w:jc w:val="both"/>
        <w:rPr>
          <w:rFonts w:cs="Arial"/>
          <w:szCs w:val="18"/>
        </w:rPr>
      </w:pPr>
    </w:p>
    <w:p w:rsidR="00863C4B" w:rsidRPr="00EE23FC" w:rsidRDefault="00863C4B" w:rsidP="00863C4B">
      <w:pPr>
        <w:jc w:val="both"/>
        <w:rPr>
          <w:rFonts w:cs="Arial"/>
          <w:b/>
          <w:szCs w:val="18"/>
        </w:rPr>
      </w:pPr>
      <w:r w:rsidRPr="00EE23FC">
        <w:rPr>
          <w:rFonts w:cs="Arial"/>
          <w:b/>
          <w:szCs w:val="18"/>
        </w:rPr>
        <w:t xml:space="preserve">Minimální </w:t>
      </w:r>
      <w:r w:rsidR="001960E8">
        <w:rPr>
          <w:rFonts w:cs="Arial"/>
          <w:b/>
          <w:szCs w:val="18"/>
        </w:rPr>
        <w:t>čtvrtletní</w:t>
      </w:r>
      <w:r w:rsidRPr="00EE23FC">
        <w:rPr>
          <w:rFonts w:cs="Arial"/>
          <w:b/>
          <w:szCs w:val="18"/>
        </w:rPr>
        <w:t xml:space="preserve"> cena za každý portfoliový účet:</w:t>
      </w:r>
    </w:p>
    <w:p w:rsidR="00863C4B" w:rsidRPr="00EE23FC" w:rsidRDefault="001960E8" w:rsidP="00863C4B">
      <w:pPr>
        <w:jc w:val="both"/>
        <w:rPr>
          <w:rFonts w:cs="Arial"/>
          <w:szCs w:val="18"/>
        </w:rPr>
      </w:pPr>
      <w:r>
        <w:rPr>
          <w:rFonts w:cs="Arial"/>
          <w:szCs w:val="18"/>
        </w:rPr>
        <w:t>0</w:t>
      </w:r>
      <w:r w:rsidR="00863C4B" w:rsidRPr="00EE23FC">
        <w:rPr>
          <w:rFonts w:cs="Arial"/>
          <w:szCs w:val="18"/>
        </w:rPr>
        <w:t xml:space="preserve"> CZK, je-li účet prázdný každý kalendářní den v průběhu fakturačního období;</w:t>
      </w:r>
    </w:p>
    <w:p w:rsidR="00863C4B" w:rsidRPr="00EE23FC" w:rsidRDefault="001960E8" w:rsidP="00863C4B">
      <w:pPr>
        <w:jc w:val="both"/>
        <w:rPr>
          <w:rFonts w:cs="Arial"/>
          <w:szCs w:val="18"/>
        </w:rPr>
      </w:pPr>
      <w:r>
        <w:rPr>
          <w:rFonts w:cs="Arial"/>
          <w:szCs w:val="18"/>
        </w:rPr>
        <w:t>500</w:t>
      </w:r>
      <w:r w:rsidR="00863C4B" w:rsidRPr="00EE23FC">
        <w:rPr>
          <w:rFonts w:cs="Arial"/>
          <w:szCs w:val="18"/>
        </w:rPr>
        <w:t xml:space="preserve"> CZK, je-li na účtu v průběhu fakturačního období evidován alespoň jeden cenný papír po dobu nejméně jednoho kalendářního dne.</w:t>
      </w:r>
    </w:p>
    <w:p w:rsidR="00863C4B" w:rsidRPr="00EE23FC" w:rsidRDefault="00863C4B" w:rsidP="00863C4B">
      <w:pPr>
        <w:jc w:val="both"/>
        <w:rPr>
          <w:rFonts w:cs="Arial"/>
          <w:b/>
          <w:bCs/>
          <w:szCs w:val="18"/>
        </w:rPr>
      </w:pPr>
    </w:p>
    <w:tbl>
      <w:tblPr>
        <w:tblW w:w="973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5"/>
        <w:gridCol w:w="2722"/>
        <w:gridCol w:w="2340"/>
        <w:gridCol w:w="2340"/>
      </w:tblGrid>
      <w:tr w:rsidR="00863C4B" w:rsidRPr="00EE23FC" w:rsidTr="0097067B">
        <w:trPr>
          <w:trHeight w:val="630"/>
          <w:tblHeader/>
        </w:trPr>
        <w:tc>
          <w:tcPr>
            <w:tcW w:w="2335" w:type="dxa"/>
            <w:vAlign w:val="center"/>
          </w:tcPr>
          <w:p w:rsidR="00863C4B" w:rsidRPr="00EE23FC" w:rsidRDefault="00863C4B" w:rsidP="0097067B">
            <w:pPr>
              <w:ind w:left="113"/>
              <w:rPr>
                <w:rFonts w:cs="Arial"/>
                <w:b/>
                <w:bCs/>
                <w:szCs w:val="18"/>
              </w:rPr>
            </w:pPr>
            <w:r w:rsidRPr="00EE23FC">
              <w:rPr>
                <w:rFonts w:cs="Arial"/>
                <w:b/>
                <w:bCs/>
                <w:szCs w:val="18"/>
              </w:rPr>
              <w:t>Destinace / země</w:t>
            </w:r>
          </w:p>
        </w:tc>
        <w:tc>
          <w:tcPr>
            <w:tcW w:w="2722" w:type="dxa"/>
            <w:vAlign w:val="center"/>
          </w:tcPr>
          <w:p w:rsidR="00863C4B" w:rsidRPr="00EE23FC" w:rsidRDefault="00863C4B" w:rsidP="0097067B">
            <w:pPr>
              <w:ind w:left="113"/>
              <w:rPr>
                <w:rFonts w:cs="Arial"/>
                <w:b/>
                <w:bCs/>
                <w:szCs w:val="18"/>
              </w:rPr>
            </w:pPr>
            <w:r w:rsidRPr="00EE23FC">
              <w:rPr>
                <w:rFonts w:cs="Arial"/>
                <w:b/>
                <w:bCs/>
                <w:szCs w:val="18"/>
              </w:rPr>
              <w:t>Typ investičního nástroje</w:t>
            </w:r>
          </w:p>
        </w:tc>
        <w:tc>
          <w:tcPr>
            <w:tcW w:w="2340" w:type="dxa"/>
            <w:vAlign w:val="center"/>
          </w:tcPr>
          <w:p w:rsidR="00863C4B" w:rsidRPr="00EE23FC" w:rsidRDefault="00863C4B" w:rsidP="0097067B">
            <w:pPr>
              <w:ind w:left="113"/>
              <w:jc w:val="center"/>
              <w:rPr>
                <w:rFonts w:cs="Arial"/>
                <w:b/>
                <w:bCs/>
                <w:szCs w:val="18"/>
              </w:rPr>
            </w:pPr>
            <w:r w:rsidRPr="00EE23FC">
              <w:rPr>
                <w:rFonts w:cs="Arial"/>
                <w:b/>
                <w:bCs/>
                <w:szCs w:val="18"/>
              </w:rPr>
              <w:t>Pásmo objemu</w:t>
            </w:r>
          </w:p>
          <w:p w:rsidR="00863C4B" w:rsidRPr="00EE23FC" w:rsidRDefault="00863C4B" w:rsidP="0097067B">
            <w:pPr>
              <w:ind w:left="113"/>
              <w:jc w:val="center"/>
              <w:rPr>
                <w:rFonts w:cs="Arial"/>
                <w:b/>
                <w:bCs/>
                <w:szCs w:val="18"/>
              </w:rPr>
            </w:pPr>
            <w:r w:rsidRPr="00EE23FC">
              <w:rPr>
                <w:rFonts w:cs="Arial"/>
                <w:b/>
                <w:bCs/>
                <w:szCs w:val="18"/>
              </w:rPr>
              <w:t>(v mil. CZK)</w:t>
            </w:r>
          </w:p>
        </w:tc>
        <w:tc>
          <w:tcPr>
            <w:tcW w:w="2340" w:type="dxa"/>
            <w:vAlign w:val="center"/>
          </w:tcPr>
          <w:p w:rsidR="00863C4B" w:rsidRPr="00EE23FC" w:rsidRDefault="00863C4B" w:rsidP="001960E8">
            <w:pPr>
              <w:ind w:left="113"/>
              <w:jc w:val="center"/>
              <w:rPr>
                <w:rFonts w:cs="Arial"/>
                <w:b/>
                <w:bCs/>
                <w:szCs w:val="18"/>
              </w:rPr>
            </w:pPr>
            <w:r w:rsidRPr="00EE23FC">
              <w:rPr>
                <w:rFonts w:cs="Arial"/>
                <w:b/>
                <w:bCs/>
                <w:szCs w:val="18"/>
              </w:rPr>
              <w:t>Cena v</w:t>
            </w:r>
            <w:r w:rsidR="001960E8">
              <w:rPr>
                <w:rFonts w:cs="Arial"/>
                <w:b/>
                <w:bCs/>
                <w:szCs w:val="18"/>
              </w:rPr>
              <w:t xml:space="preserve"> CZK </w:t>
            </w:r>
            <w:proofErr w:type="spellStart"/>
            <w:proofErr w:type="gramStart"/>
            <w:r w:rsidR="001960E8">
              <w:rPr>
                <w:rFonts w:cs="Arial"/>
                <w:b/>
                <w:bCs/>
                <w:szCs w:val="18"/>
              </w:rPr>
              <w:t>p.a</w:t>
            </w:r>
            <w:proofErr w:type="spellEnd"/>
            <w:r w:rsidR="001960E8">
              <w:rPr>
                <w:rFonts w:cs="Arial"/>
                <w:b/>
                <w:bCs/>
                <w:szCs w:val="18"/>
              </w:rPr>
              <w:t>.</w:t>
            </w:r>
            <w:proofErr w:type="gramEnd"/>
          </w:p>
        </w:tc>
      </w:tr>
      <w:tr w:rsidR="00863C4B" w:rsidRPr="00EE23FC" w:rsidTr="00137C1C">
        <w:trPr>
          <w:trHeight w:val="227"/>
        </w:trPr>
        <w:tc>
          <w:tcPr>
            <w:tcW w:w="2335" w:type="dxa"/>
            <w:vMerge w:val="restart"/>
            <w:vAlign w:val="center"/>
          </w:tcPr>
          <w:p w:rsidR="00863C4B" w:rsidRPr="00EE23FC" w:rsidRDefault="00863C4B" w:rsidP="0097067B">
            <w:pPr>
              <w:tabs>
                <w:tab w:val="left" w:pos="277"/>
              </w:tabs>
              <w:ind w:left="113"/>
              <w:rPr>
                <w:rFonts w:cs="Arial"/>
                <w:bCs/>
                <w:szCs w:val="18"/>
              </w:rPr>
            </w:pPr>
            <w:r w:rsidRPr="00EE23FC">
              <w:rPr>
                <w:rFonts w:cs="Arial"/>
                <w:bCs/>
                <w:szCs w:val="18"/>
              </w:rPr>
              <w:t>Česká republika</w:t>
            </w:r>
          </w:p>
        </w:tc>
        <w:tc>
          <w:tcPr>
            <w:tcW w:w="2722" w:type="dxa"/>
            <w:vMerge w:val="restart"/>
            <w:vAlign w:val="center"/>
          </w:tcPr>
          <w:p w:rsidR="00863C4B" w:rsidRPr="00EE23FC" w:rsidRDefault="00863C4B" w:rsidP="0097067B">
            <w:pPr>
              <w:ind w:left="113"/>
              <w:rPr>
                <w:rFonts w:cs="Arial"/>
                <w:bCs/>
                <w:szCs w:val="18"/>
              </w:rPr>
            </w:pPr>
            <w:r w:rsidRPr="00EE23FC">
              <w:rPr>
                <w:rFonts w:cs="Arial"/>
                <w:bCs/>
                <w:szCs w:val="18"/>
              </w:rPr>
              <w:t>Nekótované akcie tuzemských emitentů</w:t>
            </w:r>
          </w:p>
          <w:p w:rsidR="00863C4B" w:rsidRPr="00EE23FC" w:rsidRDefault="00863C4B" w:rsidP="0097067B">
            <w:pPr>
              <w:ind w:left="113"/>
              <w:rPr>
                <w:rFonts w:cs="Arial"/>
                <w:bCs/>
                <w:szCs w:val="18"/>
              </w:rPr>
            </w:pPr>
            <w:r w:rsidRPr="00EE23FC">
              <w:rPr>
                <w:rFonts w:cs="Arial"/>
                <w:bCs/>
                <w:szCs w:val="18"/>
              </w:rPr>
              <w:t>(zaknihované)</w:t>
            </w:r>
          </w:p>
        </w:tc>
        <w:tc>
          <w:tcPr>
            <w:tcW w:w="2340" w:type="dxa"/>
            <w:vAlign w:val="center"/>
          </w:tcPr>
          <w:p w:rsidR="00863C4B" w:rsidRPr="00EE23FC" w:rsidRDefault="00863C4B" w:rsidP="001960E8">
            <w:pPr>
              <w:ind w:left="113" w:right="567"/>
              <w:jc w:val="right"/>
              <w:rPr>
                <w:rFonts w:cs="Arial"/>
                <w:bCs/>
                <w:szCs w:val="18"/>
              </w:rPr>
            </w:pPr>
            <w:r w:rsidRPr="00EE23FC">
              <w:rPr>
                <w:rFonts w:cs="Arial"/>
                <w:bCs/>
                <w:szCs w:val="18"/>
              </w:rPr>
              <w:t xml:space="preserve">0 – </w:t>
            </w:r>
            <w:bookmarkStart w:id="3" w:name="Text39"/>
            <w:r w:rsidR="00125A29" w:rsidRPr="00EE23FC">
              <w:rPr>
                <w:rFonts w:cs="Arial"/>
                <w:bCs/>
                <w:szCs w:val="18"/>
              </w:rPr>
              <w:fldChar w:fldCharType="begin">
                <w:ffData>
                  <w:name w:val="Text39"/>
                  <w:enabled/>
                  <w:calcOnExit w:val="0"/>
                  <w:textInput>
                    <w:default w:val="100"/>
                  </w:textInput>
                </w:ffData>
              </w:fldChar>
            </w:r>
            <w:r w:rsidRPr="00EE23FC">
              <w:rPr>
                <w:rFonts w:cs="Arial"/>
                <w:bCs/>
                <w:szCs w:val="18"/>
              </w:rPr>
              <w:instrText xml:space="preserve"> FORMTEXT </w:instrText>
            </w:r>
            <w:r w:rsidR="00125A29" w:rsidRPr="00EE23FC">
              <w:rPr>
                <w:rFonts w:cs="Arial"/>
                <w:bCs/>
                <w:szCs w:val="18"/>
              </w:rPr>
            </w:r>
            <w:r w:rsidR="00125A29" w:rsidRPr="00EE23FC">
              <w:rPr>
                <w:rFonts w:cs="Arial"/>
                <w:bCs/>
                <w:szCs w:val="18"/>
              </w:rPr>
              <w:fldChar w:fldCharType="separate"/>
            </w:r>
            <w:r w:rsidR="001960E8">
              <w:rPr>
                <w:rFonts w:cs="Arial"/>
                <w:bCs/>
                <w:noProof/>
                <w:szCs w:val="18"/>
              </w:rPr>
              <w:t>5</w:t>
            </w:r>
            <w:r w:rsidR="00125A29" w:rsidRPr="00EE23FC">
              <w:rPr>
                <w:rFonts w:cs="Arial"/>
                <w:bCs/>
                <w:szCs w:val="18"/>
              </w:rPr>
              <w:fldChar w:fldCharType="end"/>
            </w:r>
            <w:bookmarkEnd w:id="3"/>
          </w:p>
        </w:tc>
        <w:tc>
          <w:tcPr>
            <w:tcW w:w="2340" w:type="dxa"/>
            <w:vAlign w:val="center"/>
          </w:tcPr>
          <w:p w:rsidR="00863C4B" w:rsidRPr="00EE23FC" w:rsidRDefault="00863C4B" w:rsidP="00857078">
            <w:pPr>
              <w:ind w:left="113" w:right="567"/>
              <w:jc w:val="right"/>
              <w:rPr>
                <w:rFonts w:cs="Arial"/>
                <w:bCs/>
                <w:szCs w:val="18"/>
              </w:rPr>
            </w:pPr>
            <w:r w:rsidRPr="00EE23FC">
              <w:rPr>
                <w:rFonts w:cs="Arial"/>
                <w:bCs/>
                <w:szCs w:val="18"/>
              </w:rPr>
              <w:t>2</w:t>
            </w:r>
            <w:r w:rsidR="001960E8">
              <w:rPr>
                <w:rFonts w:cs="Arial"/>
                <w:bCs/>
                <w:szCs w:val="18"/>
              </w:rPr>
              <w:t xml:space="preserve"> 000</w:t>
            </w:r>
            <w:r w:rsidRPr="00EE23FC">
              <w:rPr>
                <w:rFonts w:cs="Arial"/>
                <w:bCs/>
                <w:szCs w:val="18"/>
              </w:rPr>
              <w:t>,00</w:t>
            </w:r>
          </w:p>
        </w:tc>
      </w:tr>
      <w:tr w:rsidR="00863C4B" w:rsidRPr="00EE23FC" w:rsidTr="00137C1C">
        <w:trPr>
          <w:trHeight w:val="227"/>
        </w:trPr>
        <w:tc>
          <w:tcPr>
            <w:tcW w:w="2335" w:type="dxa"/>
            <w:vMerge/>
            <w:shd w:val="clear" w:color="auto" w:fill="FFFF00"/>
            <w:vAlign w:val="center"/>
          </w:tcPr>
          <w:p w:rsidR="00863C4B" w:rsidRPr="00EE23FC" w:rsidRDefault="00863C4B" w:rsidP="0097067B">
            <w:pPr>
              <w:tabs>
                <w:tab w:val="left" w:pos="277"/>
              </w:tabs>
              <w:ind w:left="113"/>
              <w:rPr>
                <w:rFonts w:cs="Arial"/>
                <w:bCs/>
                <w:szCs w:val="18"/>
              </w:rPr>
            </w:pPr>
          </w:p>
        </w:tc>
        <w:tc>
          <w:tcPr>
            <w:tcW w:w="2722" w:type="dxa"/>
            <w:vMerge/>
            <w:shd w:val="clear" w:color="auto" w:fill="FFFF00"/>
            <w:vAlign w:val="center"/>
          </w:tcPr>
          <w:p w:rsidR="00863C4B" w:rsidRPr="00EE23FC" w:rsidRDefault="00863C4B" w:rsidP="0097067B">
            <w:pPr>
              <w:ind w:left="113"/>
              <w:rPr>
                <w:rFonts w:cs="Arial"/>
                <w:bCs/>
                <w:szCs w:val="18"/>
              </w:rPr>
            </w:pPr>
          </w:p>
        </w:tc>
        <w:tc>
          <w:tcPr>
            <w:tcW w:w="2340" w:type="dxa"/>
            <w:vAlign w:val="center"/>
          </w:tcPr>
          <w:p w:rsidR="00863C4B" w:rsidRPr="00EE23FC" w:rsidRDefault="00863C4B" w:rsidP="001960E8">
            <w:pPr>
              <w:ind w:left="113" w:right="567"/>
              <w:jc w:val="right"/>
              <w:rPr>
                <w:rFonts w:cs="Arial"/>
                <w:bCs/>
                <w:szCs w:val="18"/>
              </w:rPr>
            </w:pPr>
            <w:r w:rsidRPr="00EE23FC">
              <w:rPr>
                <w:rFonts w:cs="Arial"/>
                <w:bCs/>
                <w:szCs w:val="18"/>
              </w:rPr>
              <w:t xml:space="preserve">nad </w:t>
            </w:r>
            <w:bookmarkStart w:id="4" w:name="Text48"/>
            <w:r w:rsidR="00125A29" w:rsidRPr="00EE23FC">
              <w:rPr>
                <w:rFonts w:cs="Arial"/>
                <w:bCs/>
                <w:szCs w:val="18"/>
              </w:rPr>
              <w:fldChar w:fldCharType="begin">
                <w:ffData>
                  <w:name w:val="Text48"/>
                  <w:enabled/>
                  <w:calcOnExit w:val="0"/>
                  <w:textInput>
                    <w:default w:val="500"/>
                  </w:textInput>
                </w:ffData>
              </w:fldChar>
            </w:r>
            <w:r w:rsidRPr="00EE23FC">
              <w:rPr>
                <w:rFonts w:cs="Arial"/>
                <w:bCs/>
                <w:szCs w:val="18"/>
              </w:rPr>
              <w:instrText xml:space="preserve"> FORMTEXT </w:instrText>
            </w:r>
            <w:r w:rsidR="00125A29" w:rsidRPr="00EE23FC">
              <w:rPr>
                <w:rFonts w:cs="Arial"/>
                <w:bCs/>
                <w:szCs w:val="18"/>
              </w:rPr>
            </w:r>
            <w:r w:rsidR="00125A29" w:rsidRPr="00EE23FC">
              <w:rPr>
                <w:rFonts w:cs="Arial"/>
                <w:bCs/>
                <w:szCs w:val="18"/>
              </w:rPr>
              <w:fldChar w:fldCharType="separate"/>
            </w:r>
            <w:r w:rsidRPr="00EE23FC">
              <w:rPr>
                <w:rFonts w:cs="Arial"/>
                <w:bCs/>
                <w:noProof/>
                <w:szCs w:val="18"/>
              </w:rPr>
              <w:t>5</w:t>
            </w:r>
            <w:r w:rsidR="00125A29" w:rsidRPr="00EE23FC">
              <w:rPr>
                <w:rFonts w:cs="Arial"/>
                <w:bCs/>
                <w:szCs w:val="18"/>
              </w:rPr>
              <w:fldChar w:fldCharType="end"/>
            </w:r>
            <w:bookmarkEnd w:id="4"/>
          </w:p>
        </w:tc>
        <w:tc>
          <w:tcPr>
            <w:tcW w:w="2340" w:type="dxa"/>
            <w:vAlign w:val="center"/>
          </w:tcPr>
          <w:p w:rsidR="00863C4B" w:rsidRPr="00EE23FC" w:rsidRDefault="00863C4B" w:rsidP="00857078">
            <w:pPr>
              <w:ind w:left="113" w:right="567"/>
              <w:jc w:val="right"/>
              <w:rPr>
                <w:rFonts w:cs="Arial"/>
                <w:bCs/>
                <w:szCs w:val="18"/>
              </w:rPr>
            </w:pPr>
            <w:r w:rsidRPr="00EE23FC">
              <w:rPr>
                <w:rFonts w:cs="Arial"/>
                <w:bCs/>
                <w:szCs w:val="18"/>
              </w:rPr>
              <w:t>Individuálně</w:t>
            </w:r>
          </w:p>
        </w:tc>
      </w:tr>
      <w:tr w:rsidR="00863C4B" w:rsidRPr="00EE23FC" w:rsidTr="00137C1C">
        <w:trPr>
          <w:trHeight w:val="227"/>
        </w:trPr>
        <w:tc>
          <w:tcPr>
            <w:tcW w:w="2335" w:type="dxa"/>
            <w:vMerge/>
            <w:shd w:val="clear" w:color="auto" w:fill="FFFF00"/>
            <w:vAlign w:val="center"/>
          </w:tcPr>
          <w:p w:rsidR="00863C4B" w:rsidRPr="00EE23FC" w:rsidRDefault="00863C4B" w:rsidP="0097067B">
            <w:pPr>
              <w:tabs>
                <w:tab w:val="left" w:pos="277"/>
              </w:tabs>
              <w:ind w:left="113"/>
              <w:rPr>
                <w:rFonts w:cs="Arial"/>
                <w:bCs/>
                <w:szCs w:val="18"/>
              </w:rPr>
            </w:pPr>
          </w:p>
        </w:tc>
        <w:tc>
          <w:tcPr>
            <w:tcW w:w="2722" w:type="dxa"/>
            <w:vAlign w:val="center"/>
          </w:tcPr>
          <w:p w:rsidR="00863C4B" w:rsidRPr="00EE23FC" w:rsidRDefault="00863C4B" w:rsidP="0097067B">
            <w:pPr>
              <w:ind w:left="113"/>
              <w:rPr>
                <w:rFonts w:cs="Arial"/>
                <w:bCs/>
                <w:szCs w:val="18"/>
              </w:rPr>
            </w:pPr>
            <w:r w:rsidRPr="00EE23FC">
              <w:rPr>
                <w:rFonts w:cs="Arial"/>
                <w:bCs/>
                <w:szCs w:val="18"/>
              </w:rPr>
              <w:t>Ostatní</w:t>
            </w:r>
          </w:p>
        </w:tc>
        <w:tc>
          <w:tcPr>
            <w:tcW w:w="2340" w:type="dxa"/>
            <w:vAlign w:val="center"/>
          </w:tcPr>
          <w:p w:rsidR="00863C4B" w:rsidRPr="00EE23FC" w:rsidRDefault="00863C4B" w:rsidP="0097067B">
            <w:pPr>
              <w:ind w:left="113" w:right="567"/>
              <w:jc w:val="right"/>
              <w:rPr>
                <w:rFonts w:cs="Arial"/>
                <w:bCs/>
                <w:szCs w:val="18"/>
              </w:rPr>
            </w:pPr>
            <w:r w:rsidRPr="00EE23FC">
              <w:rPr>
                <w:rFonts w:cs="Arial"/>
                <w:bCs/>
                <w:szCs w:val="18"/>
              </w:rPr>
              <w:t>Individuálně</w:t>
            </w:r>
          </w:p>
        </w:tc>
        <w:tc>
          <w:tcPr>
            <w:tcW w:w="2340" w:type="dxa"/>
            <w:vAlign w:val="center"/>
          </w:tcPr>
          <w:p w:rsidR="00863C4B" w:rsidRPr="00EE23FC" w:rsidRDefault="00863C4B" w:rsidP="00857078">
            <w:pPr>
              <w:ind w:left="113" w:right="567"/>
              <w:jc w:val="right"/>
              <w:rPr>
                <w:rFonts w:cs="Arial"/>
                <w:bCs/>
                <w:szCs w:val="18"/>
              </w:rPr>
            </w:pPr>
            <w:r w:rsidRPr="00EE23FC">
              <w:rPr>
                <w:rFonts w:cs="Arial"/>
                <w:bCs/>
                <w:szCs w:val="18"/>
              </w:rPr>
              <w:t>Individuálně</w:t>
            </w:r>
          </w:p>
        </w:tc>
      </w:tr>
      <w:tr w:rsidR="00863C4B" w:rsidRPr="00EE23FC" w:rsidTr="00137C1C">
        <w:trPr>
          <w:trHeight w:val="227"/>
        </w:trPr>
        <w:tc>
          <w:tcPr>
            <w:tcW w:w="2335" w:type="dxa"/>
            <w:vAlign w:val="center"/>
          </w:tcPr>
          <w:p w:rsidR="00863C4B" w:rsidRPr="00EE23FC" w:rsidRDefault="00863C4B" w:rsidP="0097067B">
            <w:pPr>
              <w:tabs>
                <w:tab w:val="left" w:pos="277"/>
              </w:tabs>
              <w:ind w:left="113"/>
              <w:rPr>
                <w:rFonts w:cs="Arial"/>
                <w:szCs w:val="18"/>
              </w:rPr>
            </w:pPr>
            <w:r w:rsidRPr="00EE23FC">
              <w:rPr>
                <w:rFonts w:cs="Arial"/>
                <w:szCs w:val="18"/>
              </w:rPr>
              <w:t>Ostatní</w:t>
            </w:r>
          </w:p>
        </w:tc>
        <w:tc>
          <w:tcPr>
            <w:tcW w:w="2722" w:type="dxa"/>
            <w:vAlign w:val="center"/>
          </w:tcPr>
          <w:p w:rsidR="00863C4B" w:rsidRPr="00EE23FC" w:rsidRDefault="00863C4B" w:rsidP="0097067B">
            <w:pPr>
              <w:ind w:left="113"/>
              <w:rPr>
                <w:rFonts w:cs="Arial"/>
                <w:szCs w:val="18"/>
              </w:rPr>
            </w:pPr>
            <w:r w:rsidRPr="00EE23FC">
              <w:rPr>
                <w:rFonts w:cs="Arial"/>
                <w:szCs w:val="18"/>
              </w:rPr>
              <w:t>Ostatní</w:t>
            </w:r>
          </w:p>
        </w:tc>
        <w:tc>
          <w:tcPr>
            <w:tcW w:w="2340" w:type="dxa"/>
            <w:vAlign w:val="center"/>
          </w:tcPr>
          <w:p w:rsidR="00863C4B" w:rsidRPr="00EE23FC" w:rsidRDefault="00863C4B" w:rsidP="0097067B">
            <w:pPr>
              <w:ind w:left="113" w:right="567"/>
              <w:jc w:val="right"/>
              <w:rPr>
                <w:rFonts w:cs="Arial"/>
                <w:szCs w:val="18"/>
              </w:rPr>
            </w:pPr>
          </w:p>
        </w:tc>
        <w:tc>
          <w:tcPr>
            <w:tcW w:w="2340" w:type="dxa"/>
            <w:vAlign w:val="center"/>
          </w:tcPr>
          <w:p w:rsidR="00863C4B" w:rsidRPr="00EE23FC" w:rsidRDefault="00863C4B" w:rsidP="00857078">
            <w:pPr>
              <w:ind w:left="113" w:right="567"/>
              <w:jc w:val="right"/>
              <w:rPr>
                <w:rFonts w:cs="Arial"/>
                <w:szCs w:val="18"/>
              </w:rPr>
            </w:pPr>
            <w:r w:rsidRPr="00EE23FC">
              <w:rPr>
                <w:rFonts w:cs="Arial"/>
                <w:bCs/>
                <w:szCs w:val="18"/>
              </w:rPr>
              <w:t>Individuálně</w:t>
            </w:r>
          </w:p>
        </w:tc>
      </w:tr>
    </w:tbl>
    <w:p w:rsidR="00863C4B" w:rsidRDefault="00863C4B" w:rsidP="00863C4B">
      <w:pPr>
        <w:jc w:val="both"/>
        <w:rPr>
          <w:rFonts w:cs="Arial"/>
          <w:b/>
          <w:bCs/>
          <w:szCs w:val="18"/>
        </w:rPr>
      </w:pPr>
    </w:p>
    <w:p w:rsidR="003529EB" w:rsidRPr="00EE23FC" w:rsidRDefault="003529EB" w:rsidP="00863C4B">
      <w:pPr>
        <w:jc w:val="both"/>
        <w:rPr>
          <w:rFonts w:cs="Arial"/>
          <w:b/>
          <w:bCs/>
          <w:szCs w:val="18"/>
        </w:rPr>
      </w:pPr>
    </w:p>
    <w:p w:rsidR="00863C4B" w:rsidRPr="00EE23FC" w:rsidRDefault="00863C4B" w:rsidP="00863C4B">
      <w:pPr>
        <w:numPr>
          <w:ilvl w:val="0"/>
          <w:numId w:val="35"/>
        </w:numPr>
        <w:rPr>
          <w:rFonts w:cs="Arial"/>
          <w:b/>
          <w:sz w:val="24"/>
          <w:szCs w:val="18"/>
          <w:u w:val="single"/>
        </w:rPr>
      </w:pPr>
      <w:r w:rsidRPr="00EE23FC">
        <w:rPr>
          <w:rFonts w:cs="Arial"/>
          <w:b/>
          <w:sz w:val="24"/>
          <w:szCs w:val="18"/>
          <w:u w:val="single"/>
        </w:rPr>
        <w:t>Převody investičních nástrojů</w:t>
      </w:r>
    </w:p>
    <w:p w:rsidR="00863C4B" w:rsidRPr="00EE23FC" w:rsidRDefault="00863C4B" w:rsidP="00863C4B">
      <w:pPr>
        <w:rPr>
          <w:rFonts w:cs="Arial"/>
          <w:b/>
          <w:szCs w:val="18"/>
          <w:u w:val="single"/>
        </w:rPr>
      </w:pPr>
    </w:p>
    <w:p w:rsidR="00863C4B" w:rsidRPr="00EE23FC" w:rsidRDefault="00863C4B" w:rsidP="00863C4B">
      <w:pPr>
        <w:rPr>
          <w:rFonts w:cs="Arial"/>
          <w:szCs w:val="18"/>
        </w:rPr>
      </w:pPr>
      <w:r w:rsidRPr="00EE23FC">
        <w:rPr>
          <w:rFonts w:cs="Arial"/>
          <w:b/>
          <w:szCs w:val="18"/>
        </w:rPr>
        <w:t>Sazba DPH:</w:t>
      </w:r>
      <w:r w:rsidRPr="00EE23FC">
        <w:rPr>
          <w:rFonts w:cs="Arial"/>
          <w:szCs w:val="18"/>
        </w:rPr>
        <w:t xml:space="preserve"> </w:t>
      </w:r>
      <w:r w:rsidR="00125A29" w:rsidRPr="00EE23FC">
        <w:rPr>
          <w:rFonts w:cs="Arial"/>
          <w:szCs w:val="18"/>
        </w:rPr>
        <w:fldChar w:fldCharType="begin">
          <w:ffData>
            <w:name w:val="Rozevírací3"/>
            <w:enabled/>
            <w:calcOnExit w:val="0"/>
            <w:ddList>
              <w:listEntry w:val="0%"/>
              <w:listEntry w:val="Snížená"/>
              <w:listEntry w:val="Základní"/>
            </w:ddList>
          </w:ffData>
        </w:fldChar>
      </w:r>
      <w:r w:rsidRPr="00EE23FC">
        <w:rPr>
          <w:rFonts w:cs="Arial"/>
          <w:szCs w:val="18"/>
        </w:rPr>
        <w:instrText xml:space="preserve"> FORMDROPDOWN </w:instrText>
      </w:r>
      <w:r w:rsidR="00125A29">
        <w:rPr>
          <w:rFonts w:cs="Arial"/>
          <w:szCs w:val="18"/>
        </w:rPr>
      </w:r>
      <w:r w:rsidR="00125A29">
        <w:rPr>
          <w:rFonts w:cs="Arial"/>
          <w:szCs w:val="18"/>
        </w:rPr>
        <w:fldChar w:fldCharType="separate"/>
      </w:r>
      <w:r w:rsidR="00125A29" w:rsidRPr="00EE23FC">
        <w:rPr>
          <w:rFonts w:cs="Arial"/>
          <w:szCs w:val="18"/>
        </w:rPr>
        <w:fldChar w:fldCharType="end"/>
      </w:r>
    </w:p>
    <w:p w:rsidR="00863C4B" w:rsidRPr="00EE23FC" w:rsidRDefault="00863C4B" w:rsidP="00863C4B">
      <w:pPr>
        <w:jc w:val="both"/>
        <w:rPr>
          <w:rFonts w:cs="Arial"/>
          <w:szCs w:val="18"/>
        </w:rPr>
      </w:pPr>
      <w:r w:rsidRPr="00EE23FC">
        <w:rPr>
          <w:rFonts w:cs="Arial"/>
          <w:b/>
          <w:bCs/>
          <w:szCs w:val="18"/>
        </w:rPr>
        <w:t>Poplatky t</w:t>
      </w:r>
      <w:r w:rsidRPr="00EE23FC">
        <w:rPr>
          <w:rFonts w:ascii="TT12E5o00" w:hAnsi="TT12E5o00" w:cs="TT12E5o00"/>
          <w:b/>
          <w:szCs w:val="18"/>
        </w:rPr>
        <w:t>ř</w:t>
      </w:r>
      <w:r w:rsidRPr="00EE23FC">
        <w:rPr>
          <w:rFonts w:cs="Arial"/>
          <w:b/>
          <w:bCs/>
          <w:szCs w:val="18"/>
        </w:rPr>
        <w:t>etích stran (depozitáři, zahrani</w:t>
      </w:r>
      <w:r w:rsidRPr="00EE23FC">
        <w:rPr>
          <w:rFonts w:ascii="TT12E5o00" w:hAnsi="TT12E5o00" w:cs="TT12E5o00"/>
          <w:b/>
          <w:szCs w:val="18"/>
        </w:rPr>
        <w:t>č</w:t>
      </w:r>
      <w:r w:rsidRPr="00EE23FC">
        <w:rPr>
          <w:rFonts w:cs="Arial"/>
          <w:b/>
          <w:bCs/>
          <w:szCs w:val="18"/>
        </w:rPr>
        <w:t xml:space="preserve">ní správci): </w:t>
      </w:r>
      <w:r w:rsidR="00125A29" w:rsidRPr="00EE23FC">
        <w:rPr>
          <w:rFonts w:cs="Arial"/>
          <w:bCs/>
          <w:szCs w:val="18"/>
        </w:rPr>
        <w:fldChar w:fldCharType="begin">
          <w:ffData>
            <w:name w:val=""/>
            <w:enabled/>
            <w:calcOnExit w:val="0"/>
            <w:ddList>
              <w:listEntry w:val="zahrnuty, výše poplatku je konečná"/>
              <w:listEntry w:val="nezahrnuty, budou přefakturovány"/>
            </w:ddList>
          </w:ffData>
        </w:fldChar>
      </w:r>
      <w:r w:rsidRPr="00EE23FC">
        <w:rPr>
          <w:rFonts w:cs="Arial"/>
          <w:bCs/>
          <w:szCs w:val="18"/>
        </w:rPr>
        <w:instrText xml:space="preserve"> FORMDROPDOWN </w:instrText>
      </w:r>
      <w:r w:rsidR="00125A29">
        <w:rPr>
          <w:rFonts w:cs="Arial"/>
          <w:bCs/>
          <w:szCs w:val="18"/>
        </w:rPr>
      </w:r>
      <w:r w:rsidR="00125A29">
        <w:rPr>
          <w:rFonts w:cs="Arial"/>
          <w:bCs/>
          <w:szCs w:val="18"/>
        </w:rPr>
        <w:fldChar w:fldCharType="separate"/>
      </w:r>
      <w:r w:rsidR="00125A29" w:rsidRPr="00EE23FC">
        <w:rPr>
          <w:rFonts w:cs="Arial"/>
          <w:bCs/>
          <w:szCs w:val="18"/>
        </w:rPr>
        <w:fldChar w:fldCharType="end"/>
      </w:r>
    </w:p>
    <w:p w:rsidR="00863C4B" w:rsidRPr="00EE23FC" w:rsidRDefault="00863C4B" w:rsidP="00863C4B">
      <w:pPr>
        <w:jc w:val="both"/>
        <w:rPr>
          <w:rFonts w:cs="Arial"/>
          <w:szCs w:val="18"/>
        </w:rPr>
      </w:pPr>
    </w:p>
    <w:tbl>
      <w:tblPr>
        <w:tblW w:w="973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69"/>
        <w:gridCol w:w="1984"/>
        <w:gridCol w:w="2552"/>
        <w:gridCol w:w="2632"/>
      </w:tblGrid>
      <w:tr w:rsidR="00863C4B" w:rsidRPr="00EE23FC" w:rsidTr="0097067B">
        <w:trPr>
          <w:trHeight w:val="624"/>
          <w:tblHeader/>
        </w:trPr>
        <w:tc>
          <w:tcPr>
            <w:tcW w:w="2569" w:type="dxa"/>
            <w:vAlign w:val="center"/>
          </w:tcPr>
          <w:p w:rsidR="00863C4B" w:rsidRPr="00EE23FC" w:rsidRDefault="00863C4B" w:rsidP="0097067B">
            <w:pPr>
              <w:ind w:left="113"/>
              <w:rPr>
                <w:rFonts w:cs="Arial"/>
                <w:b/>
                <w:bCs/>
                <w:szCs w:val="18"/>
              </w:rPr>
            </w:pPr>
            <w:r w:rsidRPr="00EE23FC">
              <w:rPr>
                <w:rFonts w:cs="Arial"/>
                <w:b/>
                <w:bCs/>
                <w:szCs w:val="18"/>
              </w:rPr>
              <w:t>Destinace / země</w:t>
            </w:r>
          </w:p>
        </w:tc>
        <w:tc>
          <w:tcPr>
            <w:tcW w:w="1984" w:type="dxa"/>
            <w:vAlign w:val="center"/>
          </w:tcPr>
          <w:p w:rsidR="00863C4B" w:rsidRPr="00EE23FC" w:rsidRDefault="00863C4B" w:rsidP="0097067B">
            <w:pPr>
              <w:ind w:left="113"/>
              <w:rPr>
                <w:rFonts w:cs="Arial"/>
                <w:b/>
                <w:bCs/>
                <w:szCs w:val="18"/>
              </w:rPr>
            </w:pPr>
            <w:r w:rsidRPr="00EE23FC">
              <w:rPr>
                <w:rFonts w:cs="Arial"/>
                <w:b/>
                <w:bCs/>
                <w:szCs w:val="18"/>
              </w:rPr>
              <w:t>Typ investičního nástroje</w:t>
            </w:r>
          </w:p>
        </w:tc>
        <w:tc>
          <w:tcPr>
            <w:tcW w:w="2552" w:type="dxa"/>
            <w:vAlign w:val="center"/>
          </w:tcPr>
          <w:p w:rsidR="00863C4B" w:rsidRPr="00EE23FC" w:rsidRDefault="00863C4B" w:rsidP="0097067B">
            <w:pPr>
              <w:ind w:left="113"/>
              <w:jc w:val="center"/>
              <w:rPr>
                <w:rFonts w:cs="Arial"/>
                <w:b/>
                <w:bCs/>
                <w:szCs w:val="18"/>
              </w:rPr>
            </w:pPr>
            <w:r w:rsidRPr="00EE23FC">
              <w:rPr>
                <w:rFonts w:cs="Arial"/>
                <w:b/>
                <w:bCs/>
                <w:szCs w:val="18"/>
              </w:rPr>
              <w:t>Převod proti zaplacení (CZK)</w:t>
            </w:r>
          </w:p>
        </w:tc>
        <w:tc>
          <w:tcPr>
            <w:tcW w:w="2632" w:type="dxa"/>
            <w:vAlign w:val="center"/>
          </w:tcPr>
          <w:p w:rsidR="00863C4B" w:rsidRPr="00EE23FC" w:rsidRDefault="00863C4B" w:rsidP="0097067B">
            <w:pPr>
              <w:ind w:left="113"/>
              <w:jc w:val="center"/>
              <w:rPr>
                <w:rFonts w:cs="Arial"/>
                <w:b/>
                <w:bCs/>
                <w:szCs w:val="18"/>
              </w:rPr>
            </w:pPr>
            <w:r w:rsidRPr="00EE23FC">
              <w:rPr>
                <w:rFonts w:cs="Arial"/>
                <w:b/>
                <w:bCs/>
                <w:szCs w:val="18"/>
              </w:rPr>
              <w:t>Převod bez zaplacení (CZK)</w:t>
            </w:r>
          </w:p>
        </w:tc>
      </w:tr>
      <w:tr w:rsidR="00863C4B" w:rsidRPr="00EE23FC" w:rsidTr="00137C1C">
        <w:trPr>
          <w:trHeight w:val="227"/>
        </w:trPr>
        <w:tc>
          <w:tcPr>
            <w:tcW w:w="2569" w:type="dxa"/>
            <w:vAlign w:val="center"/>
          </w:tcPr>
          <w:p w:rsidR="00863C4B" w:rsidRPr="00EE23FC" w:rsidRDefault="00863C4B" w:rsidP="0097067B">
            <w:pPr>
              <w:ind w:left="113"/>
              <w:rPr>
                <w:rFonts w:cs="Arial"/>
                <w:szCs w:val="18"/>
              </w:rPr>
            </w:pPr>
            <w:r w:rsidRPr="00EE23FC">
              <w:rPr>
                <w:rFonts w:cs="Arial"/>
                <w:szCs w:val="18"/>
              </w:rPr>
              <w:t>Česká republika</w:t>
            </w:r>
          </w:p>
        </w:tc>
        <w:tc>
          <w:tcPr>
            <w:tcW w:w="1984" w:type="dxa"/>
            <w:vAlign w:val="center"/>
          </w:tcPr>
          <w:p w:rsidR="00863C4B" w:rsidRPr="00EE23FC" w:rsidRDefault="00863C4B" w:rsidP="0097067B">
            <w:pPr>
              <w:ind w:left="113"/>
              <w:rPr>
                <w:rFonts w:cs="Arial"/>
                <w:szCs w:val="18"/>
              </w:rPr>
            </w:pPr>
            <w:r w:rsidRPr="00EE23FC">
              <w:rPr>
                <w:rFonts w:cs="Arial"/>
                <w:szCs w:val="18"/>
              </w:rPr>
              <w:t>Vše zaknihované</w:t>
            </w:r>
          </w:p>
        </w:tc>
        <w:tc>
          <w:tcPr>
            <w:tcW w:w="2552" w:type="dxa"/>
            <w:vAlign w:val="center"/>
          </w:tcPr>
          <w:p w:rsidR="00863C4B" w:rsidRPr="00EE23FC" w:rsidRDefault="00863C4B" w:rsidP="0097067B">
            <w:pPr>
              <w:ind w:left="113" w:right="851"/>
              <w:jc w:val="right"/>
              <w:rPr>
                <w:rFonts w:cs="Arial"/>
                <w:szCs w:val="18"/>
              </w:rPr>
            </w:pPr>
            <w:r w:rsidRPr="00EE23FC">
              <w:rPr>
                <w:rFonts w:cs="Arial"/>
                <w:szCs w:val="18"/>
              </w:rPr>
              <w:t xml:space="preserve">600 </w:t>
            </w:r>
          </w:p>
        </w:tc>
        <w:tc>
          <w:tcPr>
            <w:tcW w:w="2632" w:type="dxa"/>
            <w:vAlign w:val="center"/>
          </w:tcPr>
          <w:p w:rsidR="00863C4B" w:rsidRPr="00EE23FC" w:rsidRDefault="00863C4B" w:rsidP="0097067B">
            <w:pPr>
              <w:ind w:left="113" w:right="851"/>
              <w:jc w:val="right"/>
              <w:rPr>
                <w:rFonts w:cs="Arial"/>
                <w:szCs w:val="18"/>
              </w:rPr>
            </w:pPr>
            <w:r w:rsidRPr="00EE23FC">
              <w:rPr>
                <w:rFonts w:cs="Arial"/>
                <w:szCs w:val="18"/>
              </w:rPr>
              <w:t xml:space="preserve">450 </w:t>
            </w:r>
          </w:p>
        </w:tc>
      </w:tr>
      <w:tr w:rsidR="00863C4B" w:rsidRPr="00EE23FC" w:rsidTr="00137C1C">
        <w:trPr>
          <w:trHeight w:val="227"/>
        </w:trPr>
        <w:tc>
          <w:tcPr>
            <w:tcW w:w="2569" w:type="dxa"/>
            <w:vAlign w:val="center"/>
          </w:tcPr>
          <w:p w:rsidR="00863C4B" w:rsidRPr="00EE23FC" w:rsidRDefault="00863C4B" w:rsidP="0097067B">
            <w:pPr>
              <w:ind w:left="113"/>
              <w:rPr>
                <w:rFonts w:cs="Arial"/>
                <w:szCs w:val="18"/>
              </w:rPr>
            </w:pPr>
            <w:r w:rsidRPr="00EE23FC">
              <w:rPr>
                <w:rFonts w:cs="Arial"/>
                <w:szCs w:val="18"/>
              </w:rPr>
              <w:t>Ostatní</w:t>
            </w:r>
          </w:p>
        </w:tc>
        <w:tc>
          <w:tcPr>
            <w:tcW w:w="1984" w:type="dxa"/>
            <w:vAlign w:val="center"/>
          </w:tcPr>
          <w:p w:rsidR="00863C4B" w:rsidRPr="00EE23FC" w:rsidRDefault="00863C4B" w:rsidP="0097067B">
            <w:pPr>
              <w:ind w:left="113"/>
              <w:rPr>
                <w:rFonts w:cs="Arial"/>
                <w:szCs w:val="18"/>
              </w:rPr>
            </w:pPr>
            <w:r w:rsidRPr="00EE23FC">
              <w:rPr>
                <w:rFonts w:cs="Arial"/>
                <w:szCs w:val="18"/>
              </w:rPr>
              <w:t>Ostatní</w:t>
            </w:r>
          </w:p>
        </w:tc>
        <w:tc>
          <w:tcPr>
            <w:tcW w:w="2552" w:type="dxa"/>
            <w:vAlign w:val="center"/>
          </w:tcPr>
          <w:p w:rsidR="00863C4B" w:rsidRPr="00EE23FC" w:rsidRDefault="00863C4B" w:rsidP="0097067B">
            <w:pPr>
              <w:ind w:left="113" w:right="851"/>
              <w:jc w:val="right"/>
              <w:rPr>
                <w:rFonts w:cs="Arial"/>
                <w:szCs w:val="18"/>
              </w:rPr>
            </w:pPr>
            <w:r w:rsidRPr="00EE23FC">
              <w:rPr>
                <w:rFonts w:cs="Arial"/>
                <w:bCs/>
                <w:szCs w:val="18"/>
              </w:rPr>
              <w:t>Individuálně</w:t>
            </w:r>
          </w:p>
        </w:tc>
        <w:tc>
          <w:tcPr>
            <w:tcW w:w="2632" w:type="dxa"/>
            <w:vAlign w:val="center"/>
          </w:tcPr>
          <w:p w:rsidR="00863C4B" w:rsidRPr="00EE23FC" w:rsidRDefault="00863C4B" w:rsidP="0097067B">
            <w:pPr>
              <w:ind w:left="113" w:right="851"/>
              <w:jc w:val="right"/>
              <w:rPr>
                <w:rFonts w:cs="Arial"/>
                <w:szCs w:val="18"/>
              </w:rPr>
            </w:pPr>
            <w:r w:rsidRPr="00EE23FC">
              <w:rPr>
                <w:rFonts w:cs="Arial"/>
                <w:bCs/>
                <w:szCs w:val="18"/>
              </w:rPr>
              <w:t>Individuálně</w:t>
            </w:r>
          </w:p>
        </w:tc>
      </w:tr>
    </w:tbl>
    <w:p w:rsidR="00137C1C" w:rsidRDefault="00137C1C" w:rsidP="00137C1C">
      <w:pPr>
        <w:ind w:left="720"/>
        <w:jc w:val="both"/>
        <w:rPr>
          <w:rFonts w:cs="Arial"/>
          <w:b/>
          <w:sz w:val="24"/>
          <w:szCs w:val="18"/>
          <w:u w:val="single"/>
        </w:rPr>
      </w:pPr>
    </w:p>
    <w:p w:rsidR="003529EB" w:rsidRPr="00EE23FC" w:rsidRDefault="003529EB" w:rsidP="00137C1C">
      <w:pPr>
        <w:ind w:left="720"/>
        <w:jc w:val="both"/>
        <w:rPr>
          <w:rFonts w:cs="Arial"/>
          <w:b/>
          <w:sz w:val="24"/>
          <w:szCs w:val="18"/>
          <w:u w:val="single"/>
        </w:rPr>
      </w:pPr>
      <w:bookmarkStart w:id="5" w:name="_GoBack"/>
      <w:bookmarkEnd w:id="5"/>
    </w:p>
    <w:p w:rsidR="00863C4B" w:rsidRPr="00EE23FC" w:rsidRDefault="00863C4B" w:rsidP="00863C4B">
      <w:pPr>
        <w:numPr>
          <w:ilvl w:val="0"/>
          <w:numId w:val="35"/>
        </w:numPr>
        <w:jc w:val="both"/>
        <w:rPr>
          <w:rFonts w:cs="Arial"/>
          <w:b/>
          <w:sz w:val="24"/>
          <w:szCs w:val="18"/>
          <w:u w:val="single"/>
        </w:rPr>
      </w:pPr>
      <w:r w:rsidRPr="00EE23FC">
        <w:rPr>
          <w:rFonts w:cs="Arial"/>
          <w:b/>
          <w:sz w:val="24"/>
          <w:szCs w:val="18"/>
          <w:u w:val="single"/>
        </w:rPr>
        <w:t>Správa investičních nástrojů</w:t>
      </w:r>
    </w:p>
    <w:p w:rsidR="00863C4B" w:rsidRPr="00EE23FC" w:rsidRDefault="00863C4B" w:rsidP="00863C4B">
      <w:pPr>
        <w:jc w:val="both"/>
        <w:rPr>
          <w:rFonts w:cs="Arial"/>
          <w:b/>
          <w:szCs w:val="18"/>
          <w:u w:val="single"/>
        </w:rPr>
      </w:pPr>
    </w:p>
    <w:p w:rsidR="00863C4B" w:rsidRPr="00EE23FC" w:rsidRDefault="00863C4B" w:rsidP="00863C4B">
      <w:pPr>
        <w:rPr>
          <w:rFonts w:cs="Arial"/>
          <w:szCs w:val="18"/>
        </w:rPr>
      </w:pPr>
      <w:r w:rsidRPr="00EE23FC">
        <w:rPr>
          <w:rFonts w:cs="Arial"/>
          <w:b/>
          <w:szCs w:val="18"/>
        </w:rPr>
        <w:t>Sazba DPH:</w:t>
      </w:r>
      <w:r w:rsidRPr="00EE23FC">
        <w:rPr>
          <w:rFonts w:cs="Arial"/>
          <w:szCs w:val="18"/>
        </w:rPr>
        <w:t xml:space="preserve"> </w:t>
      </w:r>
      <w:r w:rsidR="00125A29" w:rsidRPr="00EE23FC">
        <w:rPr>
          <w:rFonts w:cs="Arial"/>
          <w:szCs w:val="18"/>
        </w:rPr>
        <w:fldChar w:fldCharType="begin">
          <w:ffData>
            <w:name w:val=""/>
            <w:enabled/>
            <w:calcOnExit w:val="0"/>
            <w:ddList>
              <w:listEntry w:val="Základní (21%)"/>
              <w:listEntry w:val="Individuálně dle typu úkonu"/>
              <w:listEntry w:val="0%"/>
              <w:listEntry w:val="Snížená (15%)"/>
            </w:ddList>
          </w:ffData>
        </w:fldChar>
      </w:r>
      <w:r w:rsidRPr="00EE23FC">
        <w:rPr>
          <w:rFonts w:cs="Arial"/>
          <w:szCs w:val="18"/>
        </w:rPr>
        <w:instrText xml:space="preserve"> FORMDROPDOWN </w:instrText>
      </w:r>
      <w:r w:rsidR="00125A29">
        <w:rPr>
          <w:rFonts w:cs="Arial"/>
          <w:szCs w:val="18"/>
        </w:rPr>
      </w:r>
      <w:r w:rsidR="00125A29">
        <w:rPr>
          <w:rFonts w:cs="Arial"/>
          <w:szCs w:val="18"/>
        </w:rPr>
        <w:fldChar w:fldCharType="separate"/>
      </w:r>
      <w:r w:rsidR="00125A29" w:rsidRPr="00EE23FC">
        <w:rPr>
          <w:rFonts w:cs="Arial"/>
          <w:szCs w:val="18"/>
        </w:rPr>
        <w:fldChar w:fldCharType="end"/>
      </w:r>
    </w:p>
    <w:p w:rsidR="00863C4B" w:rsidRPr="00EE23FC" w:rsidRDefault="00863C4B" w:rsidP="00863C4B">
      <w:pPr>
        <w:jc w:val="both"/>
        <w:rPr>
          <w:rFonts w:cs="Arial"/>
          <w:szCs w:val="18"/>
        </w:rPr>
      </w:pPr>
      <w:r w:rsidRPr="00EE23FC">
        <w:rPr>
          <w:rFonts w:cs="Arial"/>
          <w:b/>
          <w:bCs/>
          <w:szCs w:val="18"/>
        </w:rPr>
        <w:t>Poplatky t</w:t>
      </w:r>
      <w:r w:rsidRPr="00EE23FC">
        <w:rPr>
          <w:rFonts w:ascii="TT12E5o00" w:hAnsi="TT12E5o00" w:cs="TT12E5o00"/>
          <w:b/>
          <w:szCs w:val="18"/>
        </w:rPr>
        <w:t>ř</w:t>
      </w:r>
      <w:r w:rsidRPr="00EE23FC">
        <w:rPr>
          <w:rFonts w:cs="Arial"/>
          <w:b/>
          <w:bCs/>
          <w:szCs w:val="18"/>
        </w:rPr>
        <w:t xml:space="preserve">etích stran: </w:t>
      </w:r>
      <w:r w:rsidR="00125A29" w:rsidRPr="00EE23FC">
        <w:rPr>
          <w:rFonts w:cs="Arial"/>
          <w:bCs/>
          <w:szCs w:val="18"/>
        </w:rPr>
        <w:fldChar w:fldCharType="begin">
          <w:ffData>
            <w:name w:val=""/>
            <w:enabled/>
            <w:calcOnExit w:val="0"/>
            <w:ddList>
              <w:listEntry w:val="nezahrnuty, budou přefakturovány"/>
              <w:listEntry w:val="zahrnuty, výše poplatku je konečná"/>
            </w:ddList>
          </w:ffData>
        </w:fldChar>
      </w:r>
      <w:r w:rsidRPr="00EE23FC">
        <w:rPr>
          <w:rFonts w:cs="Arial"/>
          <w:bCs/>
          <w:szCs w:val="18"/>
        </w:rPr>
        <w:instrText xml:space="preserve"> FORMDROPDOWN </w:instrText>
      </w:r>
      <w:r w:rsidR="00125A29">
        <w:rPr>
          <w:rFonts w:cs="Arial"/>
          <w:bCs/>
          <w:szCs w:val="18"/>
        </w:rPr>
      </w:r>
      <w:r w:rsidR="00125A29">
        <w:rPr>
          <w:rFonts w:cs="Arial"/>
          <w:bCs/>
          <w:szCs w:val="18"/>
        </w:rPr>
        <w:fldChar w:fldCharType="separate"/>
      </w:r>
      <w:r w:rsidR="00125A29" w:rsidRPr="00EE23FC">
        <w:rPr>
          <w:rFonts w:cs="Arial"/>
          <w:bCs/>
          <w:szCs w:val="18"/>
        </w:rPr>
        <w:fldChar w:fldCharType="end"/>
      </w:r>
    </w:p>
    <w:p w:rsidR="00863C4B" w:rsidRPr="00EE23FC" w:rsidRDefault="00863C4B" w:rsidP="00863C4B">
      <w:pPr>
        <w:rPr>
          <w:rFonts w:cs="Arial"/>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804"/>
        <w:gridCol w:w="2977"/>
      </w:tblGrid>
      <w:tr w:rsidR="00863C4B" w:rsidRPr="00EE23FC" w:rsidTr="00137C1C">
        <w:trPr>
          <w:trHeight w:val="506"/>
        </w:trPr>
        <w:tc>
          <w:tcPr>
            <w:tcW w:w="6804" w:type="dxa"/>
            <w:vAlign w:val="center"/>
          </w:tcPr>
          <w:p w:rsidR="00863C4B" w:rsidRPr="00EE23FC" w:rsidRDefault="00863C4B" w:rsidP="0097067B">
            <w:pPr>
              <w:rPr>
                <w:rFonts w:cs="Arial"/>
                <w:b/>
                <w:szCs w:val="18"/>
              </w:rPr>
            </w:pPr>
            <w:r w:rsidRPr="00EE23FC">
              <w:rPr>
                <w:rFonts w:cs="Arial"/>
                <w:b/>
                <w:szCs w:val="18"/>
              </w:rPr>
              <w:t>Služba</w:t>
            </w:r>
          </w:p>
        </w:tc>
        <w:tc>
          <w:tcPr>
            <w:tcW w:w="2977" w:type="dxa"/>
            <w:vAlign w:val="center"/>
          </w:tcPr>
          <w:p w:rsidR="00863C4B" w:rsidRPr="00EE23FC" w:rsidRDefault="00863C4B" w:rsidP="0097067B">
            <w:pPr>
              <w:rPr>
                <w:rFonts w:cs="Arial"/>
                <w:b/>
                <w:szCs w:val="18"/>
              </w:rPr>
            </w:pPr>
            <w:r w:rsidRPr="00EE23FC">
              <w:rPr>
                <w:rFonts w:cs="Arial"/>
                <w:b/>
                <w:szCs w:val="18"/>
              </w:rPr>
              <w:t>Cena</w:t>
            </w:r>
          </w:p>
        </w:tc>
      </w:tr>
      <w:tr w:rsidR="00863C4B" w:rsidRPr="00EE23FC" w:rsidTr="00137C1C">
        <w:trPr>
          <w:trHeight w:val="454"/>
        </w:trPr>
        <w:tc>
          <w:tcPr>
            <w:tcW w:w="6804" w:type="dxa"/>
            <w:vAlign w:val="center"/>
          </w:tcPr>
          <w:p w:rsidR="00863C4B" w:rsidRPr="00EE23FC" w:rsidRDefault="00863C4B" w:rsidP="0097067B">
            <w:pPr>
              <w:rPr>
                <w:rFonts w:cs="Arial"/>
                <w:szCs w:val="18"/>
              </w:rPr>
            </w:pPr>
            <w:r w:rsidRPr="00EE23FC">
              <w:rPr>
                <w:rFonts w:cs="Arial"/>
                <w:szCs w:val="18"/>
              </w:rPr>
              <w:t>Otevření nového majetkového účtu</w:t>
            </w:r>
          </w:p>
        </w:tc>
        <w:tc>
          <w:tcPr>
            <w:tcW w:w="2977" w:type="dxa"/>
            <w:vAlign w:val="center"/>
          </w:tcPr>
          <w:p w:rsidR="00863C4B" w:rsidRPr="00EE23FC" w:rsidRDefault="00863C4B" w:rsidP="0097067B">
            <w:pPr>
              <w:rPr>
                <w:rFonts w:cs="Arial"/>
                <w:szCs w:val="18"/>
              </w:rPr>
            </w:pPr>
            <w:r w:rsidRPr="00EE23FC">
              <w:rPr>
                <w:rFonts w:cs="Arial"/>
                <w:szCs w:val="18"/>
              </w:rPr>
              <w:t>ZDARMA</w:t>
            </w:r>
          </w:p>
        </w:tc>
      </w:tr>
      <w:tr w:rsidR="00863C4B" w:rsidRPr="00EE23FC" w:rsidTr="00137C1C">
        <w:trPr>
          <w:trHeight w:val="454"/>
        </w:trPr>
        <w:tc>
          <w:tcPr>
            <w:tcW w:w="6804" w:type="dxa"/>
            <w:vAlign w:val="center"/>
          </w:tcPr>
          <w:p w:rsidR="00863C4B" w:rsidRPr="00EE23FC" w:rsidRDefault="00863C4B" w:rsidP="0097067B">
            <w:pPr>
              <w:autoSpaceDE w:val="0"/>
              <w:autoSpaceDN w:val="0"/>
              <w:adjustRightInd w:val="0"/>
              <w:rPr>
                <w:rFonts w:cs="Arial"/>
                <w:szCs w:val="18"/>
              </w:rPr>
            </w:pPr>
            <w:r w:rsidRPr="00EE23FC">
              <w:rPr>
                <w:rFonts w:cs="Arial"/>
                <w:szCs w:val="18"/>
              </w:rPr>
              <w:t>P</w:t>
            </w:r>
            <w:r w:rsidRPr="00EE23FC">
              <w:rPr>
                <w:rFonts w:ascii="TT12E3o00" w:hAnsi="TT12E3o00" w:cs="TT12E3o00"/>
                <w:szCs w:val="18"/>
              </w:rPr>
              <w:t>ř</w:t>
            </w:r>
            <w:r w:rsidRPr="00EE23FC">
              <w:rPr>
                <w:rFonts w:cs="Arial"/>
                <w:szCs w:val="18"/>
              </w:rPr>
              <w:t>i</w:t>
            </w:r>
            <w:r w:rsidRPr="00EE23FC">
              <w:rPr>
                <w:rFonts w:ascii="TT12E3o00" w:hAnsi="TT12E3o00" w:cs="TT12E3o00"/>
                <w:szCs w:val="18"/>
              </w:rPr>
              <w:t>ř</w:t>
            </w:r>
            <w:r w:rsidRPr="00EE23FC">
              <w:rPr>
                <w:rFonts w:cs="Arial"/>
                <w:szCs w:val="18"/>
              </w:rPr>
              <w:t>azení stávajícího majetkového ú</w:t>
            </w:r>
            <w:r w:rsidRPr="00EE23FC">
              <w:rPr>
                <w:rFonts w:ascii="TT12E3o00" w:hAnsi="TT12E3o00" w:cs="TT12E3o00"/>
                <w:szCs w:val="18"/>
              </w:rPr>
              <w:t>č</w:t>
            </w:r>
            <w:r w:rsidRPr="00EE23FC">
              <w:rPr>
                <w:rFonts w:cs="Arial"/>
                <w:szCs w:val="18"/>
              </w:rPr>
              <w:t xml:space="preserve">tu v CDCP pod </w:t>
            </w:r>
            <w:r w:rsidRPr="00EE23FC">
              <w:rPr>
                <w:rFonts w:ascii="TT12E3o00" w:hAnsi="TT12E3o00" w:cs="TT12E3o00"/>
                <w:szCs w:val="18"/>
              </w:rPr>
              <w:t>Č</w:t>
            </w:r>
            <w:r w:rsidRPr="00EE23FC">
              <w:rPr>
                <w:rFonts w:cs="Arial"/>
                <w:szCs w:val="18"/>
              </w:rPr>
              <w:t>eskou spo</w:t>
            </w:r>
            <w:r w:rsidRPr="00EE23FC">
              <w:rPr>
                <w:rFonts w:ascii="TT12E3o00" w:hAnsi="TT12E3o00" w:cs="TT12E3o00"/>
                <w:szCs w:val="18"/>
              </w:rPr>
              <w:t>ř</w:t>
            </w:r>
            <w:r w:rsidRPr="00EE23FC">
              <w:rPr>
                <w:rFonts w:cs="Arial"/>
                <w:szCs w:val="18"/>
              </w:rPr>
              <w:t xml:space="preserve">itelnu, a.s., nebo převedení investičních nástrojů </w:t>
            </w:r>
            <w:r w:rsidR="003529EB">
              <w:rPr>
                <w:rFonts w:cs="Arial"/>
                <w:szCs w:val="18"/>
              </w:rPr>
              <w:t xml:space="preserve">z nezařazeného účtu </w:t>
            </w:r>
            <w:r w:rsidRPr="00EE23FC">
              <w:rPr>
                <w:rFonts w:cs="Arial"/>
                <w:szCs w:val="18"/>
              </w:rPr>
              <w:t xml:space="preserve">do navazující evidence </w:t>
            </w:r>
            <w:r w:rsidRPr="00EE23FC">
              <w:rPr>
                <w:rFonts w:ascii="TT12E3o00" w:hAnsi="TT12E3o00" w:cs="TT12E3o00"/>
                <w:szCs w:val="18"/>
              </w:rPr>
              <w:t>Č</w:t>
            </w:r>
            <w:r w:rsidRPr="00EE23FC">
              <w:rPr>
                <w:rFonts w:cs="Arial"/>
                <w:szCs w:val="18"/>
              </w:rPr>
              <w:t>eské spo</w:t>
            </w:r>
            <w:r w:rsidRPr="00EE23FC">
              <w:rPr>
                <w:rFonts w:ascii="TT12E3o00" w:hAnsi="TT12E3o00" w:cs="TT12E3o00"/>
                <w:szCs w:val="18"/>
              </w:rPr>
              <w:t>ř</w:t>
            </w:r>
            <w:r w:rsidRPr="00EE23FC">
              <w:rPr>
                <w:rFonts w:cs="Arial"/>
                <w:szCs w:val="18"/>
              </w:rPr>
              <w:t>itelny, a.s.</w:t>
            </w:r>
          </w:p>
        </w:tc>
        <w:tc>
          <w:tcPr>
            <w:tcW w:w="2977" w:type="dxa"/>
            <w:vAlign w:val="center"/>
          </w:tcPr>
          <w:p w:rsidR="00863C4B" w:rsidRPr="00EE23FC" w:rsidRDefault="00863C4B" w:rsidP="0097067B">
            <w:pPr>
              <w:rPr>
                <w:rFonts w:cs="Arial"/>
                <w:szCs w:val="18"/>
              </w:rPr>
            </w:pPr>
            <w:r w:rsidRPr="00EE23FC">
              <w:rPr>
                <w:rFonts w:cs="Arial"/>
                <w:szCs w:val="18"/>
              </w:rPr>
              <w:t>ZDARMA</w:t>
            </w:r>
          </w:p>
        </w:tc>
      </w:tr>
      <w:tr w:rsidR="00863C4B" w:rsidRPr="00EE23FC" w:rsidTr="00137C1C">
        <w:trPr>
          <w:trHeight w:val="454"/>
        </w:trPr>
        <w:tc>
          <w:tcPr>
            <w:tcW w:w="6804" w:type="dxa"/>
            <w:vAlign w:val="center"/>
          </w:tcPr>
          <w:p w:rsidR="00863C4B" w:rsidRPr="00EE23FC" w:rsidRDefault="00863C4B" w:rsidP="0097067B">
            <w:pPr>
              <w:rPr>
                <w:rFonts w:cs="Arial"/>
                <w:szCs w:val="18"/>
              </w:rPr>
            </w:pPr>
            <w:r w:rsidRPr="00EE23FC">
              <w:rPr>
                <w:rFonts w:cs="Arial"/>
                <w:szCs w:val="18"/>
              </w:rPr>
              <w:t>Korporátní akce (např. štěpení investičních nástrojů, navýšení kapitálu atd.)</w:t>
            </w:r>
          </w:p>
        </w:tc>
        <w:tc>
          <w:tcPr>
            <w:tcW w:w="2977" w:type="dxa"/>
            <w:vAlign w:val="center"/>
          </w:tcPr>
          <w:p w:rsidR="00863C4B" w:rsidRPr="00EE23FC" w:rsidRDefault="00863C4B" w:rsidP="0097067B">
            <w:pPr>
              <w:rPr>
                <w:rFonts w:cs="Arial"/>
                <w:szCs w:val="18"/>
              </w:rPr>
            </w:pPr>
            <w:r w:rsidRPr="00EE23FC">
              <w:rPr>
                <w:rFonts w:cs="Arial"/>
                <w:szCs w:val="18"/>
              </w:rPr>
              <w:t>500 CZK za akci + sazba DPH</w:t>
            </w:r>
          </w:p>
        </w:tc>
      </w:tr>
      <w:tr w:rsidR="00863C4B" w:rsidRPr="00EE23FC" w:rsidTr="00137C1C">
        <w:trPr>
          <w:trHeight w:val="454"/>
        </w:trPr>
        <w:tc>
          <w:tcPr>
            <w:tcW w:w="6804" w:type="dxa"/>
            <w:vAlign w:val="center"/>
          </w:tcPr>
          <w:p w:rsidR="00863C4B" w:rsidRPr="00EE23FC" w:rsidRDefault="00863C4B" w:rsidP="0097067B">
            <w:pPr>
              <w:rPr>
                <w:rFonts w:cs="Arial"/>
                <w:szCs w:val="18"/>
              </w:rPr>
            </w:pPr>
            <w:r w:rsidRPr="00EE23FC">
              <w:rPr>
                <w:rFonts w:cs="Arial"/>
                <w:szCs w:val="18"/>
              </w:rPr>
              <w:t>Ostatní</w:t>
            </w:r>
          </w:p>
        </w:tc>
        <w:tc>
          <w:tcPr>
            <w:tcW w:w="2977" w:type="dxa"/>
            <w:vAlign w:val="center"/>
          </w:tcPr>
          <w:p w:rsidR="00863C4B" w:rsidRPr="00EE23FC" w:rsidRDefault="00863C4B" w:rsidP="0097067B">
            <w:pPr>
              <w:rPr>
                <w:rFonts w:cs="Arial"/>
                <w:szCs w:val="18"/>
              </w:rPr>
            </w:pPr>
            <w:r w:rsidRPr="00EE23FC">
              <w:rPr>
                <w:rFonts w:cs="Arial"/>
                <w:szCs w:val="18"/>
              </w:rPr>
              <w:t>Dle individuální dohody</w:t>
            </w:r>
          </w:p>
        </w:tc>
      </w:tr>
    </w:tbl>
    <w:p w:rsidR="00863C4B" w:rsidRPr="00EE23FC" w:rsidRDefault="00863C4B" w:rsidP="00863C4B">
      <w:pPr>
        <w:jc w:val="both"/>
        <w:rPr>
          <w:rFonts w:cs="Arial"/>
          <w:szCs w:val="18"/>
        </w:rPr>
      </w:pPr>
    </w:p>
    <w:p w:rsidR="00863C4B" w:rsidRPr="00EE23FC" w:rsidRDefault="00863C4B" w:rsidP="00863C4B">
      <w:pPr>
        <w:numPr>
          <w:ilvl w:val="0"/>
          <w:numId w:val="35"/>
        </w:numPr>
        <w:rPr>
          <w:rFonts w:cs="Arial"/>
          <w:b/>
          <w:sz w:val="24"/>
          <w:szCs w:val="18"/>
          <w:u w:val="single"/>
        </w:rPr>
      </w:pPr>
      <w:r w:rsidRPr="00EE23FC">
        <w:rPr>
          <w:rFonts w:cs="Arial"/>
          <w:b/>
          <w:sz w:val="24"/>
          <w:szCs w:val="18"/>
          <w:u w:val="single"/>
        </w:rPr>
        <w:lastRenderedPageBreak/>
        <w:t>Obecná ustanovení</w:t>
      </w:r>
    </w:p>
    <w:p w:rsidR="00863C4B" w:rsidRPr="00EE23FC" w:rsidRDefault="00863C4B" w:rsidP="00863C4B">
      <w:pPr>
        <w:jc w:val="both"/>
        <w:rPr>
          <w:rFonts w:cs="Arial"/>
          <w:szCs w:val="18"/>
        </w:rPr>
      </w:pPr>
    </w:p>
    <w:p w:rsidR="00863C4B" w:rsidRPr="00EE23FC" w:rsidRDefault="00863C4B" w:rsidP="00863C4B">
      <w:pPr>
        <w:autoSpaceDE w:val="0"/>
        <w:autoSpaceDN w:val="0"/>
        <w:adjustRightInd w:val="0"/>
        <w:rPr>
          <w:rFonts w:ascii="TT12E3o00" w:hAnsi="TT12E3o00" w:cs="TT12E3o00"/>
          <w:szCs w:val="18"/>
        </w:rPr>
      </w:pPr>
      <w:r w:rsidRPr="00EE23FC">
        <w:rPr>
          <w:rFonts w:cs="Arial"/>
          <w:b/>
          <w:bCs/>
          <w:szCs w:val="18"/>
        </w:rPr>
        <w:t xml:space="preserve">Splatnost faktury: </w:t>
      </w:r>
      <w:r w:rsidRPr="00EE23FC">
        <w:rPr>
          <w:rFonts w:cs="Arial"/>
          <w:bCs/>
          <w:szCs w:val="18"/>
        </w:rPr>
        <w:t>14 kalendářních dnů od vystavení dokladu bankou</w:t>
      </w:r>
    </w:p>
    <w:p w:rsidR="00863C4B" w:rsidRPr="00EE23FC" w:rsidRDefault="00863C4B" w:rsidP="00863C4B">
      <w:pPr>
        <w:rPr>
          <w:rFonts w:cs="Arial"/>
          <w:szCs w:val="18"/>
        </w:rPr>
      </w:pPr>
      <w:r w:rsidRPr="00EE23FC">
        <w:rPr>
          <w:rFonts w:cs="Arial"/>
          <w:b/>
          <w:szCs w:val="18"/>
        </w:rPr>
        <w:t>Způsob úhrady faktury:</w:t>
      </w:r>
      <w:r w:rsidRPr="00EE23FC">
        <w:rPr>
          <w:rFonts w:cs="Arial"/>
          <w:szCs w:val="18"/>
        </w:rPr>
        <w:t xml:space="preserve"> </w:t>
      </w:r>
      <w:r w:rsidR="00125A29" w:rsidRPr="00EE23FC">
        <w:rPr>
          <w:rFonts w:cs="Arial"/>
          <w:szCs w:val="18"/>
        </w:rPr>
        <w:fldChar w:fldCharType="begin">
          <w:ffData>
            <w:name w:val="Rozevírací1"/>
            <w:enabled/>
            <w:calcOnExit w:val="0"/>
            <w:ddList>
              <w:listEntry w:val="klient platebním příkazem"/>
              <w:listEntry w:val="banka inkasem z účtu č. XYZ/0800"/>
            </w:ddList>
          </w:ffData>
        </w:fldChar>
      </w:r>
      <w:bookmarkStart w:id="6" w:name="Rozevírací1"/>
      <w:r w:rsidRPr="00EE23FC">
        <w:rPr>
          <w:rFonts w:cs="Arial"/>
          <w:szCs w:val="18"/>
        </w:rPr>
        <w:instrText xml:space="preserve"> FORMDROPDOWN </w:instrText>
      </w:r>
      <w:r w:rsidR="00125A29">
        <w:rPr>
          <w:rFonts w:cs="Arial"/>
          <w:szCs w:val="18"/>
        </w:rPr>
      </w:r>
      <w:r w:rsidR="00125A29">
        <w:rPr>
          <w:rFonts w:cs="Arial"/>
          <w:szCs w:val="18"/>
        </w:rPr>
        <w:fldChar w:fldCharType="separate"/>
      </w:r>
      <w:r w:rsidR="00125A29" w:rsidRPr="00EE23FC">
        <w:rPr>
          <w:rFonts w:cs="Arial"/>
          <w:szCs w:val="18"/>
        </w:rPr>
        <w:fldChar w:fldCharType="end"/>
      </w:r>
      <w:bookmarkEnd w:id="6"/>
    </w:p>
    <w:p w:rsidR="00863C4B" w:rsidRPr="00EE23FC" w:rsidRDefault="00863C4B" w:rsidP="00863C4B">
      <w:pPr>
        <w:rPr>
          <w:rFonts w:cs="Arial"/>
          <w:szCs w:val="18"/>
        </w:rPr>
      </w:pPr>
      <w:r w:rsidRPr="00EE23FC">
        <w:rPr>
          <w:rFonts w:cs="Arial"/>
          <w:b/>
          <w:szCs w:val="18"/>
        </w:rPr>
        <w:t>Periodicita úhrady faktury:</w:t>
      </w:r>
      <w:r w:rsidRPr="00EE23FC">
        <w:rPr>
          <w:rFonts w:cs="Arial"/>
          <w:szCs w:val="18"/>
        </w:rPr>
        <w:t xml:space="preserve"> </w:t>
      </w:r>
      <w:r w:rsidR="00125A29">
        <w:rPr>
          <w:rFonts w:cs="Arial"/>
          <w:szCs w:val="18"/>
        </w:rPr>
        <w:fldChar w:fldCharType="begin">
          <w:ffData>
            <w:name w:val=""/>
            <w:enabled/>
            <w:calcOnExit w:val="0"/>
            <w:ddList>
              <w:listEntry w:val="čtvrtletní"/>
              <w:listEntry w:val="měsíční"/>
              <w:listEntry w:val="roční"/>
            </w:ddList>
          </w:ffData>
        </w:fldChar>
      </w:r>
      <w:r w:rsidR="003529EB">
        <w:rPr>
          <w:rFonts w:cs="Arial"/>
          <w:szCs w:val="18"/>
        </w:rPr>
        <w:instrText xml:space="preserve"> FORMDROPDOWN </w:instrText>
      </w:r>
      <w:r w:rsidR="00125A29">
        <w:rPr>
          <w:rFonts w:cs="Arial"/>
          <w:szCs w:val="18"/>
        </w:rPr>
      </w:r>
      <w:r w:rsidR="00125A29">
        <w:rPr>
          <w:rFonts w:cs="Arial"/>
          <w:szCs w:val="18"/>
        </w:rPr>
        <w:fldChar w:fldCharType="separate"/>
      </w:r>
      <w:r w:rsidR="00125A29">
        <w:rPr>
          <w:rFonts w:cs="Arial"/>
          <w:szCs w:val="18"/>
        </w:rPr>
        <w:fldChar w:fldCharType="end"/>
      </w:r>
    </w:p>
    <w:p w:rsidR="00863C4B" w:rsidRPr="00EE23FC" w:rsidRDefault="00863C4B" w:rsidP="00863C4B">
      <w:pPr>
        <w:rPr>
          <w:rFonts w:cs="Arial"/>
          <w:szCs w:val="18"/>
        </w:rPr>
      </w:pPr>
      <w:r w:rsidRPr="00EE23FC">
        <w:rPr>
          <w:rFonts w:cs="Arial"/>
          <w:b/>
          <w:szCs w:val="18"/>
        </w:rPr>
        <w:t>Měna úhrady faktury:</w:t>
      </w:r>
      <w:r w:rsidRPr="00EE23FC">
        <w:rPr>
          <w:rFonts w:cs="Arial"/>
          <w:szCs w:val="18"/>
        </w:rPr>
        <w:t xml:space="preserve"> </w:t>
      </w:r>
      <w:r w:rsidR="00125A29" w:rsidRPr="00EE23FC">
        <w:rPr>
          <w:rFonts w:cs="Arial"/>
          <w:szCs w:val="18"/>
        </w:rPr>
        <w:fldChar w:fldCharType="begin">
          <w:ffData>
            <w:name w:val="Text18"/>
            <w:enabled/>
            <w:calcOnExit w:val="0"/>
            <w:textInput>
              <w:default w:val="CZK"/>
            </w:textInput>
          </w:ffData>
        </w:fldChar>
      </w:r>
      <w:r w:rsidRPr="00EE23FC">
        <w:rPr>
          <w:rFonts w:cs="Arial"/>
          <w:szCs w:val="18"/>
        </w:rPr>
        <w:instrText xml:space="preserve"> FORMTEXT </w:instrText>
      </w:r>
      <w:r w:rsidR="00125A29" w:rsidRPr="00EE23FC">
        <w:rPr>
          <w:rFonts w:cs="Arial"/>
          <w:szCs w:val="18"/>
        </w:rPr>
      </w:r>
      <w:r w:rsidR="00125A29" w:rsidRPr="00EE23FC">
        <w:rPr>
          <w:rFonts w:cs="Arial"/>
          <w:szCs w:val="18"/>
        </w:rPr>
        <w:fldChar w:fldCharType="separate"/>
      </w:r>
      <w:r w:rsidRPr="00EE23FC">
        <w:rPr>
          <w:rFonts w:cs="Arial"/>
          <w:noProof/>
          <w:szCs w:val="18"/>
        </w:rPr>
        <w:t>CZK</w:t>
      </w:r>
      <w:r w:rsidR="00125A29" w:rsidRPr="00EE23FC">
        <w:rPr>
          <w:rFonts w:cs="Arial"/>
          <w:szCs w:val="18"/>
        </w:rPr>
        <w:fldChar w:fldCharType="end"/>
      </w:r>
    </w:p>
    <w:p w:rsidR="00863C4B" w:rsidRPr="00EE23FC" w:rsidRDefault="00863C4B" w:rsidP="00863C4B">
      <w:pPr>
        <w:jc w:val="both"/>
        <w:rPr>
          <w:rFonts w:cs="Arial"/>
          <w:szCs w:val="18"/>
        </w:rPr>
      </w:pPr>
    </w:p>
    <w:p w:rsidR="00863C4B" w:rsidRPr="00EE23FC" w:rsidRDefault="00863C4B" w:rsidP="00863C4B">
      <w:pPr>
        <w:jc w:val="both"/>
        <w:rPr>
          <w:rFonts w:cs="Arial"/>
          <w:szCs w:val="18"/>
        </w:rPr>
      </w:pPr>
      <w:r w:rsidRPr="00EE23FC">
        <w:rPr>
          <w:rFonts w:cs="Arial"/>
          <w:szCs w:val="18"/>
        </w:rPr>
        <w:t>Všechny druhy cen</w:t>
      </w:r>
      <w:r w:rsidRPr="00EE23FC">
        <w:rPr>
          <w:rFonts w:ascii="TT12E3o00" w:hAnsi="TT12E3o00" w:cs="TT12E3o00"/>
          <w:szCs w:val="18"/>
        </w:rPr>
        <w:t xml:space="preserve"> </w:t>
      </w:r>
      <w:r w:rsidRPr="00EE23FC">
        <w:rPr>
          <w:rFonts w:cs="Arial"/>
          <w:szCs w:val="18"/>
        </w:rPr>
        <w:t>jsou fakturovány spole</w:t>
      </w:r>
      <w:r w:rsidRPr="00EE23FC">
        <w:rPr>
          <w:rFonts w:ascii="TT12E3o00" w:hAnsi="TT12E3o00" w:cs="TT12E3o00"/>
          <w:szCs w:val="18"/>
        </w:rPr>
        <w:t>č</w:t>
      </w:r>
      <w:r w:rsidRPr="00EE23FC">
        <w:rPr>
          <w:rFonts w:cs="Arial"/>
          <w:szCs w:val="18"/>
        </w:rPr>
        <w:t>n</w:t>
      </w:r>
      <w:r w:rsidRPr="00EE23FC">
        <w:rPr>
          <w:rFonts w:ascii="TT12E3o00" w:hAnsi="TT12E3o00" w:cs="TT12E3o00"/>
          <w:szCs w:val="18"/>
        </w:rPr>
        <w:t xml:space="preserve">ě </w:t>
      </w:r>
      <w:r w:rsidRPr="00EE23FC">
        <w:rPr>
          <w:rFonts w:cs="Arial"/>
          <w:szCs w:val="18"/>
        </w:rPr>
        <w:t>v rámci jedné faktury.</w:t>
      </w:r>
    </w:p>
    <w:p w:rsidR="00863C4B" w:rsidRPr="00EE23FC" w:rsidRDefault="00863C4B" w:rsidP="00863C4B">
      <w:pPr>
        <w:jc w:val="both"/>
        <w:rPr>
          <w:rFonts w:cs="Arial"/>
          <w:szCs w:val="18"/>
        </w:rPr>
      </w:pPr>
    </w:p>
    <w:p w:rsidR="00702821" w:rsidRPr="00EE23FC" w:rsidRDefault="00863C4B" w:rsidP="00863C4B">
      <w:pPr>
        <w:rPr>
          <w:b/>
        </w:rPr>
      </w:pPr>
      <w:r w:rsidRPr="00EE23FC">
        <w:t xml:space="preserve">Banka si vyhrazuje právo upravit ceny v souvislosti s úpravou poplatků za služby ze strany Vypořádacích systémů nebo jiných třetích stran. </w:t>
      </w:r>
      <w:r w:rsidR="00702821" w:rsidRPr="00EE23FC">
        <w:br w:type="page"/>
      </w:r>
    </w:p>
    <w:p w:rsidR="00702821" w:rsidRPr="00EE23FC" w:rsidRDefault="00702821" w:rsidP="00FA266F">
      <w:pPr>
        <w:pStyle w:val="Standard"/>
        <w:spacing w:after="0"/>
        <w:jc w:val="right"/>
        <w:rPr>
          <w:rFonts w:ascii="Arial" w:hAnsi="Arial"/>
          <w:b/>
          <w:caps/>
          <w:sz w:val="18"/>
          <w:lang w:val="cs-CZ"/>
        </w:rPr>
      </w:pPr>
      <w:r w:rsidRPr="00EE23FC">
        <w:rPr>
          <w:rFonts w:ascii="Arial" w:hAnsi="Arial"/>
          <w:b/>
          <w:caps/>
          <w:sz w:val="18"/>
          <w:lang w:val="cs-CZ"/>
        </w:rPr>
        <w:lastRenderedPageBreak/>
        <w:t xml:space="preserve">Příloha Č. </w:t>
      </w:r>
      <w:r w:rsidR="00FB3E2A" w:rsidRPr="00EE23FC">
        <w:rPr>
          <w:rFonts w:ascii="Arial" w:hAnsi="Arial"/>
          <w:b/>
          <w:caps/>
          <w:sz w:val="18"/>
          <w:lang w:val="cs-CZ"/>
        </w:rPr>
        <w:t>2</w:t>
      </w:r>
    </w:p>
    <w:p w:rsidR="00831687" w:rsidRPr="004E7111" w:rsidRDefault="00831687" w:rsidP="00831687">
      <w:pPr>
        <w:pStyle w:val="head"/>
        <w:spacing w:before="0" w:beforeAutospacing="0" w:after="0" w:afterAutospacing="0"/>
        <w:ind w:left="17"/>
        <w:jc w:val="center"/>
        <w:rPr>
          <w:rFonts w:ascii="Arial" w:hAnsi="Arial" w:cs="Arial"/>
          <w:color w:val="003A74"/>
          <w:sz w:val="28"/>
          <w:szCs w:val="28"/>
        </w:rPr>
      </w:pPr>
      <w:r w:rsidRPr="004E7111">
        <w:rPr>
          <w:rFonts w:ascii="Arial" w:hAnsi="Arial" w:cs="Arial"/>
          <w:color w:val="003A74"/>
          <w:sz w:val="28"/>
          <w:szCs w:val="28"/>
        </w:rPr>
        <w:t xml:space="preserve">ZÁKLADNÍ INFORMACE O POSKYTOVÁNÍ </w:t>
      </w:r>
    </w:p>
    <w:p w:rsidR="00831687" w:rsidRPr="004E7111" w:rsidRDefault="00831687" w:rsidP="00831687">
      <w:pPr>
        <w:pStyle w:val="head"/>
        <w:spacing w:before="0" w:beforeAutospacing="0" w:after="0" w:afterAutospacing="0"/>
        <w:ind w:left="17"/>
        <w:jc w:val="center"/>
        <w:rPr>
          <w:rFonts w:ascii="Arial" w:hAnsi="Arial" w:cs="Arial"/>
          <w:color w:val="003A74"/>
          <w:sz w:val="28"/>
          <w:szCs w:val="28"/>
        </w:rPr>
      </w:pPr>
      <w:r w:rsidRPr="004E7111">
        <w:rPr>
          <w:rFonts w:ascii="Arial" w:hAnsi="Arial" w:cs="Arial"/>
          <w:color w:val="003A74"/>
          <w:sz w:val="28"/>
          <w:szCs w:val="28"/>
        </w:rPr>
        <w:t>INVESTIČNÍCH SLUŽEB ČESKOU SPOŘITELNOU, a. s.</w:t>
      </w:r>
    </w:p>
    <w:p w:rsidR="00831687" w:rsidRPr="004E7111" w:rsidRDefault="00831687" w:rsidP="00831687">
      <w:pPr>
        <w:pStyle w:val="Nadpis2"/>
        <w:rPr>
          <w:rFonts w:ascii="Arial" w:hAnsi="Arial"/>
          <w:sz w:val="8"/>
          <w:szCs w:val="8"/>
        </w:rPr>
      </w:pPr>
      <w:r w:rsidRPr="004E7111">
        <w:rPr>
          <w:rFonts w:ascii="Arial" w:hAnsi="Arial"/>
          <w:color w:val="003A74"/>
          <w:sz w:val="8"/>
          <w:szCs w:val="8"/>
        </w:rPr>
        <w:t>____________________________________________________________________________________________________________________________________________________________________________________________________________________</w:t>
      </w:r>
    </w:p>
    <w:p w:rsidR="00831687" w:rsidRPr="004E7111" w:rsidRDefault="00831687" w:rsidP="00831687">
      <w:pPr>
        <w:rPr>
          <w:rFonts w:cs="Arial"/>
          <w:sz w:val="20"/>
        </w:rPr>
      </w:pPr>
    </w:p>
    <w:p w:rsidR="00831687" w:rsidRPr="00EC6292" w:rsidRDefault="00831687" w:rsidP="00831687">
      <w:pPr>
        <w:jc w:val="both"/>
        <w:rPr>
          <w:rFonts w:cs="Arial"/>
          <w:i/>
          <w:szCs w:val="18"/>
        </w:rPr>
      </w:pPr>
      <w:r w:rsidRPr="00EC6292">
        <w:rPr>
          <w:rFonts w:cs="Arial"/>
          <w:i/>
          <w:szCs w:val="18"/>
        </w:rPr>
        <w:t>Česká spořitelna, a.s. (dále jen „banka“) v tomto dokumentu shrnuje podstatné informace o podmínkách poskytování investičních služeb.</w:t>
      </w:r>
    </w:p>
    <w:p w:rsidR="00831687" w:rsidRPr="00EC6292" w:rsidRDefault="00831687" w:rsidP="00831687">
      <w:pPr>
        <w:pStyle w:val="Standard"/>
        <w:spacing w:after="0"/>
        <w:jc w:val="center"/>
        <w:rPr>
          <w:rFonts w:ascii="Arial" w:hAnsi="Arial" w:cs="Arial"/>
          <w:b/>
          <w:sz w:val="18"/>
          <w:szCs w:val="18"/>
          <w:lang w:val="cs-CZ"/>
        </w:rPr>
      </w:pPr>
      <w:r w:rsidRPr="00EC6292">
        <w:rPr>
          <w:rFonts w:ascii="Arial" w:hAnsi="Arial" w:cs="Arial"/>
          <w:b/>
          <w:sz w:val="18"/>
          <w:szCs w:val="18"/>
          <w:lang w:val="cs-CZ"/>
        </w:rPr>
        <w:t>Kategorizace zákazníků</w:t>
      </w:r>
    </w:p>
    <w:p w:rsidR="00831687" w:rsidRPr="00EC6292" w:rsidRDefault="00831687" w:rsidP="00831687">
      <w:pPr>
        <w:rPr>
          <w:rFonts w:cs="Arial"/>
          <w:szCs w:val="18"/>
        </w:rPr>
      </w:pPr>
    </w:p>
    <w:p w:rsidR="00831687" w:rsidRPr="00EC6292" w:rsidRDefault="00831687" w:rsidP="00831687">
      <w:pPr>
        <w:jc w:val="both"/>
        <w:rPr>
          <w:rFonts w:cs="Arial"/>
          <w:szCs w:val="18"/>
        </w:rPr>
      </w:pPr>
      <w:r w:rsidRPr="00EC6292">
        <w:rPr>
          <w:rFonts w:cs="Arial"/>
          <w:szCs w:val="18"/>
        </w:rPr>
        <w:t>V souladu s právními předpisy banka dělí své zákazníky n</w:t>
      </w:r>
      <w:r>
        <w:rPr>
          <w:rFonts w:cs="Arial"/>
          <w:szCs w:val="18"/>
        </w:rPr>
        <w:t>a</w:t>
      </w:r>
      <w:r w:rsidRPr="00EC6292">
        <w:rPr>
          <w:rFonts w:cs="Arial"/>
          <w:szCs w:val="18"/>
        </w:rPr>
        <w:t xml:space="preserve">: </w:t>
      </w:r>
    </w:p>
    <w:p w:rsidR="00831687" w:rsidRPr="00EC6292" w:rsidRDefault="00831687" w:rsidP="00831687">
      <w:pPr>
        <w:numPr>
          <w:ilvl w:val="0"/>
          <w:numId w:val="23"/>
        </w:numPr>
        <w:overflowPunct w:val="0"/>
        <w:autoSpaceDE w:val="0"/>
        <w:autoSpaceDN w:val="0"/>
        <w:adjustRightInd w:val="0"/>
        <w:ind w:left="240" w:hanging="240"/>
        <w:jc w:val="both"/>
        <w:textAlignment w:val="baseline"/>
        <w:rPr>
          <w:rFonts w:cs="Arial"/>
          <w:szCs w:val="18"/>
        </w:rPr>
      </w:pPr>
      <w:r w:rsidRPr="00EC6292">
        <w:rPr>
          <w:rFonts w:cs="Arial"/>
          <w:szCs w:val="18"/>
        </w:rPr>
        <w:t>neprofesionální zákazníky</w:t>
      </w:r>
    </w:p>
    <w:p w:rsidR="00831687" w:rsidRPr="00EC6292" w:rsidRDefault="00831687" w:rsidP="00831687">
      <w:pPr>
        <w:numPr>
          <w:ilvl w:val="0"/>
          <w:numId w:val="23"/>
        </w:numPr>
        <w:overflowPunct w:val="0"/>
        <w:autoSpaceDE w:val="0"/>
        <w:autoSpaceDN w:val="0"/>
        <w:adjustRightInd w:val="0"/>
        <w:ind w:left="240" w:hanging="240"/>
        <w:jc w:val="both"/>
        <w:textAlignment w:val="baseline"/>
        <w:rPr>
          <w:rFonts w:cs="Arial"/>
          <w:szCs w:val="18"/>
        </w:rPr>
      </w:pPr>
      <w:r w:rsidRPr="00EC6292">
        <w:rPr>
          <w:rFonts w:cs="Arial"/>
          <w:szCs w:val="18"/>
        </w:rPr>
        <w:t xml:space="preserve">profesionální zákazníky </w:t>
      </w:r>
    </w:p>
    <w:p w:rsidR="00831687" w:rsidRPr="00EC6292" w:rsidRDefault="00831687" w:rsidP="00831687">
      <w:pPr>
        <w:numPr>
          <w:ilvl w:val="0"/>
          <w:numId w:val="23"/>
        </w:numPr>
        <w:overflowPunct w:val="0"/>
        <w:autoSpaceDE w:val="0"/>
        <w:autoSpaceDN w:val="0"/>
        <w:adjustRightInd w:val="0"/>
        <w:ind w:left="240" w:hanging="240"/>
        <w:jc w:val="both"/>
        <w:textAlignment w:val="baseline"/>
        <w:rPr>
          <w:rFonts w:cs="Arial"/>
          <w:szCs w:val="18"/>
        </w:rPr>
      </w:pPr>
      <w:r w:rsidRPr="00EC6292">
        <w:rPr>
          <w:rFonts w:cs="Arial"/>
          <w:szCs w:val="18"/>
        </w:rPr>
        <w:t xml:space="preserve">způsobilé protistrany. </w:t>
      </w:r>
    </w:p>
    <w:p w:rsidR="00831687" w:rsidRPr="00EC6292" w:rsidRDefault="00831687" w:rsidP="00831687">
      <w:pPr>
        <w:jc w:val="both"/>
        <w:rPr>
          <w:rFonts w:cs="Arial"/>
          <w:szCs w:val="18"/>
        </w:rPr>
      </w:pPr>
      <w:r>
        <w:rPr>
          <w:rFonts w:cs="Arial"/>
          <w:szCs w:val="18"/>
        </w:rPr>
        <w:t>N</w:t>
      </w:r>
      <w:r w:rsidRPr="00EC6292">
        <w:rPr>
          <w:rFonts w:cs="Arial"/>
          <w:szCs w:val="18"/>
        </w:rPr>
        <w:t>eprofesionální</w:t>
      </w:r>
      <w:r>
        <w:rPr>
          <w:rFonts w:cs="Arial"/>
          <w:szCs w:val="18"/>
        </w:rPr>
        <w:t>m zákazníkům</w:t>
      </w:r>
      <w:r w:rsidRPr="00EC6292">
        <w:rPr>
          <w:rFonts w:cs="Arial"/>
          <w:szCs w:val="18"/>
        </w:rPr>
        <w:t xml:space="preserve"> náleží nejvyšší úroveň právní ochrany. Úroveň ochrany poskytovaná profesionálním zákazníkům je s ohledem na jejich předpokládanou kvalifikaci nižší. Nejnižší stupeň ochrany je poskytován způsobilým protistranám. </w:t>
      </w:r>
    </w:p>
    <w:p w:rsidR="00831687" w:rsidRPr="00EC6292" w:rsidRDefault="00831687" w:rsidP="00831687">
      <w:pPr>
        <w:jc w:val="both"/>
        <w:rPr>
          <w:rFonts w:cs="Arial"/>
          <w:szCs w:val="18"/>
        </w:rPr>
      </w:pPr>
    </w:p>
    <w:p w:rsidR="00831687" w:rsidRPr="00EC6292" w:rsidRDefault="00831687" w:rsidP="00831687">
      <w:pPr>
        <w:jc w:val="both"/>
        <w:rPr>
          <w:rFonts w:cs="Arial"/>
          <w:szCs w:val="18"/>
        </w:rPr>
      </w:pPr>
      <w:r w:rsidRPr="00EC6292">
        <w:rPr>
          <w:rFonts w:cs="Arial"/>
          <w:szCs w:val="18"/>
        </w:rPr>
        <w:t xml:space="preserve">Banka zákazníka považuje za neprofesionálního zákazníka s nejvyšší úrovní ochrany, pokud zákazník neobdrží od banky písemné vyrozumění o zařazení mezi profesionální zákazníky nebo způsobilé protistrany. Zákazník může za určitých, zákonem stanovených podmínek požadovat změnu zařazení. Banka však upozorňuje na to, že při změně zařazení do jiné kategorie zákazníků, zákazník ztrácí část ochrany. Změna kategorie z neprofesionálního zákazníka na profesionálního zákazníka může znamenat ztrátu nároku na náhradu ze </w:t>
      </w:r>
      <w:r w:rsidRPr="00B51AB6">
        <w:rPr>
          <w:rFonts w:cs="Arial"/>
          <w:szCs w:val="18"/>
        </w:rPr>
        <w:t>zahraničního</w:t>
      </w:r>
      <w:r w:rsidRPr="00EC6292">
        <w:rPr>
          <w:rFonts w:cs="Arial"/>
          <w:szCs w:val="18"/>
        </w:rPr>
        <w:t xml:space="preserve"> garančního systému, přičemž banka může dodržovat některé povinnosti podle zákona o podnikání na kapitálovém trhu v užším rozsahu, Při změně kategorie z profesionálního zákazníka na způsobilou protistranu banka již nadále není povinna plnit některé povinnosti podle zákona o podnikání na kapitálovém trhu při poskytování investičních služeb přijímání a předávání pokynů, provádění pokynů na účet zákazníka a obchodování na vlastní účet banky.</w:t>
      </w:r>
    </w:p>
    <w:p w:rsidR="00831687" w:rsidRPr="00EC6292" w:rsidRDefault="00831687" w:rsidP="00831687">
      <w:pPr>
        <w:rPr>
          <w:rFonts w:cs="Arial"/>
          <w:szCs w:val="18"/>
        </w:rPr>
      </w:pPr>
    </w:p>
    <w:p w:rsidR="00831687" w:rsidRPr="00EC6292" w:rsidRDefault="00831687" w:rsidP="00831687">
      <w:pPr>
        <w:jc w:val="center"/>
        <w:rPr>
          <w:rFonts w:cs="Arial"/>
          <w:b/>
          <w:szCs w:val="18"/>
        </w:rPr>
      </w:pPr>
      <w:r w:rsidRPr="00EC6292">
        <w:rPr>
          <w:rFonts w:cs="Arial"/>
          <w:b/>
          <w:szCs w:val="18"/>
        </w:rPr>
        <w:t>Střet zájmů</w:t>
      </w:r>
    </w:p>
    <w:p w:rsidR="00831687" w:rsidRPr="00EC6292" w:rsidRDefault="00831687" w:rsidP="00831687">
      <w:pPr>
        <w:jc w:val="both"/>
        <w:rPr>
          <w:rFonts w:cs="Arial"/>
          <w:szCs w:val="18"/>
        </w:rPr>
      </w:pPr>
    </w:p>
    <w:p w:rsidR="00831687" w:rsidRPr="00EC6292" w:rsidRDefault="00831687" w:rsidP="00831687">
      <w:pPr>
        <w:jc w:val="both"/>
        <w:rPr>
          <w:rFonts w:cs="Arial"/>
          <w:szCs w:val="18"/>
        </w:rPr>
      </w:pPr>
      <w:r w:rsidRPr="00EC6292">
        <w:rPr>
          <w:rFonts w:cs="Arial"/>
          <w:szCs w:val="18"/>
        </w:rPr>
        <w:t>V rámci finanční instituce nabízející různé druhy finančních služeb, může v mnoha situacích docházet ke střetu zájmů, a to jak ke střetu zájmů mezi zákazníky a bankou nebo zaměstnanci banky, tak mezi zákazníky navzájem. Banka se řídí zásadou, že jakýkoli střet zájmů je nezbytné poctivě řešit. Aby se předešlo střetu zájmů v nejvyšší možné míře, banka zavedla pravidla pro řízení střetů zájmů a víceúrovňovou organizační strukturu s odpovídající dělbou odpovědností.</w:t>
      </w:r>
    </w:p>
    <w:p w:rsidR="00831687" w:rsidRPr="00EC6292" w:rsidRDefault="00831687" w:rsidP="00831687">
      <w:pPr>
        <w:jc w:val="both"/>
        <w:rPr>
          <w:rFonts w:cs="Arial"/>
          <w:szCs w:val="18"/>
        </w:rPr>
      </w:pPr>
    </w:p>
    <w:p w:rsidR="00831687" w:rsidRPr="00EC6292" w:rsidRDefault="00831687" w:rsidP="00831687">
      <w:pPr>
        <w:jc w:val="both"/>
        <w:rPr>
          <w:rFonts w:cs="Arial"/>
          <w:szCs w:val="18"/>
        </w:rPr>
      </w:pPr>
      <w:r w:rsidRPr="00EC6292">
        <w:rPr>
          <w:rFonts w:cs="Arial"/>
          <w:szCs w:val="18"/>
        </w:rPr>
        <w:t xml:space="preserve">Mezi oblasti, kterým je věnována zvýšená pozornost, patří obchodování na vlastní účet banky, tvorba investičních doporučení, poskytování úvěrů emitentům cenných papírů a služby privátního bankovnictví. Typickým příkladem vzniku střetu zájmů v oblasti investičních služeb jsou případy, kdy banka na určitém trhu obchoduje na svůj vlastní účet současně se zákazníkem. Střet zájmů může též nastat v případě, že se banka účastní emitování investičních nástrojů určitého emitenta, pokud je současně věřitelem emitenta investičních nástrojů, popřípadě s ním vstupuje do jiných významných transakcí, nebo pokud by zaměstnanci banky od emitenta dostávali jakékoli plnění či výhody, které by mohly ovlivnit jejich rozhodování. </w:t>
      </w:r>
    </w:p>
    <w:p w:rsidR="00831687" w:rsidRPr="00EC6292" w:rsidRDefault="00831687" w:rsidP="00831687">
      <w:pPr>
        <w:pStyle w:val="Standard"/>
        <w:spacing w:after="0"/>
        <w:ind w:left="426"/>
        <w:jc w:val="both"/>
        <w:rPr>
          <w:rFonts w:ascii="Arial" w:hAnsi="Arial" w:cs="Arial"/>
          <w:sz w:val="18"/>
          <w:szCs w:val="18"/>
          <w:lang w:val="cs-CZ"/>
        </w:rPr>
      </w:pPr>
    </w:p>
    <w:p w:rsidR="00831687" w:rsidRPr="00EC6292" w:rsidRDefault="00831687" w:rsidP="00831687">
      <w:pPr>
        <w:pStyle w:val="Standard"/>
        <w:spacing w:after="0"/>
        <w:jc w:val="both"/>
        <w:rPr>
          <w:rFonts w:ascii="Arial" w:hAnsi="Arial" w:cs="Arial"/>
          <w:sz w:val="18"/>
          <w:szCs w:val="18"/>
          <w:lang w:val="cs-CZ"/>
        </w:rPr>
      </w:pPr>
      <w:r w:rsidRPr="00EC6292">
        <w:rPr>
          <w:rFonts w:ascii="Arial" w:hAnsi="Arial" w:cs="Arial"/>
          <w:sz w:val="18"/>
          <w:szCs w:val="18"/>
          <w:lang w:val="cs-CZ"/>
        </w:rPr>
        <w:t xml:space="preserve">Aby bylo dosaženo toho, že investiční služby budou poskytovány vždy s odbornou péčí, čestně, spravedlivě, kvalifikovaně a v nejlepším zájmu zákazníků, banka přijala zejména následující organizační opatření: nastavení organizačních a fyzických bariér pro informační toky, vydání pravidel pro obchody zaměstnanců, vedení seznamů investičních nástrojů, u kterých může dojít ke střetu zájmů, vedení seznamu zaměstnanců, kteří mají k dispozici vnitřní informaci, průběžné monitorování všech obchodů zaměstnanců, provádění pokynů probíhá vždy podle pravidel pro provádění pokynů vydaných bankou, zavedení etického kodexu pro zaměstnance a pravidelná školení zaměstnanců. </w:t>
      </w:r>
    </w:p>
    <w:p w:rsidR="00831687" w:rsidRPr="00EC6292" w:rsidRDefault="00831687" w:rsidP="00831687">
      <w:pPr>
        <w:pStyle w:val="Standard"/>
        <w:spacing w:after="0"/>
        <w:jc w:val="both"/>
        <w:rPr>
          <w:rFonts w:ascii="Arial" w:hAnsi="Arial" w:cs="Arial"/>
          <w:sz w:val="18"/>
          <w:szCs w:val="18"/>
          <w:lang w:val="cs-CZ"/>
        </w:rPr>
      </w:pPr>
    </w:p>
    <w:p w:rsidR="00831687" w:rsidRPr="00EC6292" w:rsidRDefault="00831687" w:rsidP="00831687">
      <w:pPr>
        <w:pStyle w:val="Standard"/>
        <w:spacing w:after="0"/>
        <w:jc w:val="both"/>
        <w:rPr>
          <w:rFonts w:ascii="Arial" w:hAnsi="Arial" w:cs="Arial"/>
          <w:sz w:val="18"/>
          <w:szCs w:val="18"/>
          <w:lang w:val="cs-CZ"/>
        </w:rPr>
      </w:pPr>
      <w:r w:rsidRPr="00EC6292">
        <w:rPr>
          <w:rFonts w:ascii="Arial" w:hAnsi="Arial" w:cs="Arial"/>
          <w:sz w:val="18"/>
          <w:szCs w:val="18"/>
          <w:lang w:val="cs-CZ"/>
        </w:rPr>
        <w:t>Pokud i přes tato opatření dojde ke střetu zájmů, banka o tom zákazníka informuje. V případech, kdy nelze odvrátit střet zájmu banky a zájmu zákazníka, banka vždy dá přednost zájmu zákazníka. Pokud dojde ke střetu zájmů mezi zákazníky navzájem, banka zajistí spravedlivé zacházení se všemi zákazníky. V případě neodvratitelného střetu zájmů může banka také poskytnutí investiční služby odmítnout (například neposkytne investiční poradenství nebo doporučení, které se týká daného investičního nástroje). Na žádost zákazníka banka poskytne další informace o řešení střetu zájmů.</w:t>
      </w:r>
    </w:p>
    <w:p w:rsidR="00831687" w:rsidRPr="00EC6292" w:rsidRDefault="00831687" w:rsidP="00831687">
      <w:pPr>
        <w:pStyle w:val="Standard"/>
        <w:spacing w:after="0"/>
        <w:rPr>
          <w:rFonts w:ascii="Arial" w:hAnsi="Arial" w:cs="Arial"/>
          <w:sz w:val="18"/>
          <w:szCs w:val="18"/>
          <w:lang w:val="cs-CZ"/>
        </w:rPr>
      </w:pPr>
    </w:p>
    <w:p w:rsidR="00831687" w:rsidRPr="00EC6292" w:rsidRDefault="00831687" w:rsidP="00831687">
      <w:pPr>
        <w:pStyle w:val="Standard"/>
        <w:spacing w:after="0"/>
        <w:jc w:val="center"/>
        <w:rPr>
          <w:rFonts w:ascii="Arial" w:hAnsi="Arial" w:cs="Arial"/>
          <w:b/>
          <w:sz w:val="18"/>
          <w:szCs w:val="18"/>
          <w:lang w:val="cs-CZ"/>
        </w:rPr>
      </w:pPr>
      <w:r w:rsidRPr="00EC6292">
        <w:rPr>
          <w:rFonts w:ascii="Arial" w:hAnsi="Arial" w:cs="Arial"/>
          <w:b/>
          <w:sz w:val="18"/>
          <w:szCs w:val="18"/>
          <w:lang w:val="cs-CZ"/>
        </w:rPr>
        <w:t>Základní informace o investičních nástrojích</w:t>
      </w:r>
    </w:p>
    <w:p w:rsidR="00831687" w:rsidRPr="00EC6292" w:rsidRDefault="00831687" w:rsidP="00831687">
      <w:pPr>
        <w:pStyle w:val="Standard"/>
        <w:spacing w:after="0"/>
        <w:jc w:val="both"/>
        <w:rPr>
          <w:rFonts w:ascii="Arial" w:hAnsi="Arial" w:cs="Arial"/>
          <w:sz w:val="18"/>
          <w:szCs w:val="18"/>
          <w:lang w:val="cs-CZ"/>
        </w:rPr>
      </w:pPr>
    </w:p>
    <w:p w:rsidR="00831687" w:rsidRPr="00EC6292" w:rsidRDefault="00831687" w:rsidP="00831687">
      <w:pPr>
        <w:pStyle w:val="Standard"/>
        <w:spacing w:after="0"/>
        <w:jc w:val="both"/>
        <w:rPr>
          <w:rFonts w:ascii="Arial" w:hAnsi="Arial" w:cs="Arial"/>
          <w:sz w:val="18"/>
          <w:szCs w:val="18"/>
          <w:lang w:val="cs-CZ"/>
        </w:rPr>
      </w:pPr>
      <w:r w:rsidRPr="00EC6292">
        <w:rPr>
          <w:rFonts w:ascii="Arial" w:hAnsi="Arial" w:cs="Arial"/>
          <w:b/>
          <w:sz w:val="18"/>
          <w:szCs w:val="18"/>
          <w:lang w:val="cs-CZ"/>
        </w:rPr>
        <w:t>Akcie</w:t>
      </w:r>
      <w:r w:rsidRPr="00EC6292">
        <w:rPr>
          <w:rFonts w:ascii="Arial" w:hAnsi="Arial" w:cs="Arial"/>
          <w:sz w:val="18"/>
          <w:szCs w:val="18"/>
          <w:lang w:val="cs-CZ"/>
        </w:rPr>
        <w:t xml:space="preserve"> je cenný papír, s nímž jsou spojena práva akcionáře podílet se jako společník na řízení akciové společnosti, jejím zisku i na likvidačním zůstatku při jejím zániku. </w:t>
      </w:r>
    </w:p>
    <w:p w:rsidR="00831687" w:rsidRDefault="00831687" w:rsidP="00831687">
      <w:pPr>
        <w:pStyle w:val="Standard"/>
        <w:spacing w:before="60" w:after="0"/>
        <w:jc w:val="both"/>
        <w:rPr>
          <w:rFonts w:ascii="Arial" w:hAnsi="Arial" w:cs="Arial"/>
          <w:bCs/>
          <w:iCs/>
          <w:sz w:val="18"/>
          <w:szCs w:val="18"/>
          <w:lang w:val="cs-CZ"/>
        </w:rPr>
      </w:pPr>
      <w:r w:rsidRPr="00EC6292">
        <w:rPr>
          <w:rFonts w:ascii="Arial" w:hAnsi="Arial" w:cs="Arial"/>
          <w:b/>
          <w:bCs/>
          <w:iCs/>
          <w:sz w:val="18"/>
          <w:szCs w:val="18"/>
          <w:lang w:val="cs-CZ"/>
        </w:rPr>
        <w:t>Dluhopis</w:t>
      </w:r>
      <w:r w:rsidRPr="00EC6292">
        <w:rPr>
          <w:rFonts w:ascii="Arial" w:hAnsi="Arial" w:cs="Arial"/>
          <w:bCs/>
          <w:iCs/>
          <w:sz w:val="18"/>
          <w:szCs w:val="18"/>
          <w:lang w:val="cs-CZ"/>
        </w:rPr>
        <w:t xml:space="preserve"> je cenný papír, s nímž je spojeno právo na splacení dlužné částky</w:t>
      </w:r>
      <w:r>
        <w:rPr>
          <w:rFonts w:ascii="Arial" w:hAnsi="Arial" w:cs="Arial"/>
          <w:bCs/>
          <w:iCs/>
          <w:sz w:val="18"/>
          <w:szCs w:val="18"/>
          <w:lang w:val="cs-CZ"/>
        </w:rPr>
        <w:t xml:space="preserve"> odpovídající jeho jmenovité hodnotě</w:t>
      </w:r>
      <w:r w:rsidRPr="00EC6292">
        <w:rPr>
          <w:rFonts w:ascii="Arial" w:hAnsi="Arial" w:cs="Arial"/>
          <w:bCs/>
          <w:iCs/>
          <w:sz w:val="18"/>
          <w:szCs w:val="18"/>
          <w:lang w:val="cs-CZ"/>
        </w:rPr>
        <w:t>.</w:t>
      </w:r>
    </w:p>
    <w:p w:rsidR="00831687" w:rsidRPr="00EC6292" w:rsidRDefault="00831687" w:rsidP="00831687">
      <w:pPr>
        <w:pStyle w:val="Standard"/>
        <w:spacing w:before="60" w:after="0"/>
        <w:jc w:val="both"/>
        <w:rPr>
          <w:rFonts w:ascii="Arial" w:hAnsi="Arial" w:cs="Arial"/>
          <w:bCs/>
          <w:iCs/>
          <w:sz w:val="18"/>
          <w:szCs w:val="18"/>
          <w:lang w:val="cs-CZ"/>
        </w:rPr>
      </w:pPr>
      <w:r w:rsidRPr="0047255C">
        <w:rPr>
          <w:rFonts w:ascii="Arial" w:hAnsi="Arial" w:cs="Arial"/>
          <w:b/>
          <w:bCs/>
          <w:iCs/>
          <w:sz w:val="18"/>
          <w:szCs w:val="18"/>
          <w:lang w:val="cs-CZ"/>
        </w:rPr>
        <w:t>Dluhový cenný papír</w:t>
      </w:r>
      <w:r w:rsidRPr="0047255C">
        <w:rPr>
          <w:rFonts w:ascii="Arial" w:hAnsi="Arial" w:cs="Arial"/>
          <w:bCs/>
          <w:iCs/>
          <w:sz w:val="18"/>
          <w:szCs w:val="18"/>
          <w:lang w:val="cs-CZ"/>
        </w:rPr>
        <w:t xml:space="preserve"> je cenný papír, s nímž je spojeno právo na splacení dlužné částky, která ale může být nižší než jeho jmenovitá hodnota.</w:t>
      </w:r>
    </w:p>
    <w:p w:rsidR="00831687" w:rsidRPr="00EC6292" w:rsidRDefault="00831687" w:rsidP="00831687">
      <w:pPr>
        <w:pStyle w:val="Standard"/>
        <w:spacing w:before="60" w:after="0"/>
        <w:jc w:val="both"/>
        <w:rPr>
          <w:rFonts w:ascii="Arial" w:hAnsi="Arial" w:cs="Arial"/>
          <w:bCs/>
          <w:iCs/>
          <w:sz w:val="18"/>
          <w:szCs w:val="18"/>
          <w:lang w:val="cs-CZ"/>
        </w:rPr>
      </w:pPr>
      <w:r w:rsidRPr="00EC6292">
        <w:rPr>
          <w:rFonts w:ascii="Arial" w:hAnsi="Arial" w:cs="Arial"/>
          <w:b/>
          <w:bCs/>
          <w:iCs/>
          <w:sz w:val="18"/>
          <w:szCs w:val="18"/>
          <w:lang w:val="cs-CZ"/>
        </w:rPr>
        <w:t>Podřízený dluhopis</w:t>
      </w:r>
      <w:r w:rsidRPr="00EC6292">
        <w:rPr>
          <w:rFonts w:ascii="Arial" w:hAnsi="Arial" w:cs="Arial"/>
          <w:bCs/>
          <w:iCs/>
          <w:sz w:val="18"/>
          <w:szCs w:val="18"/>
          <w:lang w:val="cs-CZ"/>
        </w:rPr>
        <w:t xml:space="preserve"> je zvláštním druhem dluhopisu, má potenciálně vyšší výnos a současně je s ním spojeno vyšší riziko. </w:t>
      </w:r>
      <w:r w:rsidRPr="00EC6292">
        <w:rPr>
          <w:rFonts w:ascii="Arial" w:hAnsi="Arial" w:cs="Arial"/>
          <w:sz w:val="18"/>
          <w:szCs w:val="18"/>
          <w:lang w:val="cs-CZ"/>
        </w:rPr>
        <w:t xml:space="preserve">Dohledový orgán může nařídit přeměnu podřízených dluhopisů na vlastní kapitál (akcie), snížení jejich jistiny, nebo jejich úplné odepsání. </w:t>
      </w:r>
      <w:r w:rsidRPr="00EC6292">
        <w:rPr>
          <w:rFonts w:ascii="Arial" w:hAnsi="Arial" w:cs="Arial"/>
          <w:bCs/>
          <w:iCs/>
          <w:sz w:val="18"/>
          <w:szCs w:val="18"/>
          <w:lang w:val="cs-CZ"/>
        </w:rPr>
        <w:t xml:space="preserve">V případě insolvence či likvidace emitenta bude pohledávka spojená s podřízeným dluhopisem uspokojena až po uspokojení všech ostatních pohledávek. Není bankovním vkladem a nevztahuje se na něj pojištění u Fondu pojištění vkladů. </w:t>
      </w:r>
    </w:p>
    <w:p w:rsidR="00831687" w:rsidRPr="00EC6292" w:rsidRDefault="00831687" w:rsidP="00831687">
      <w:pPr>
        <w:pStyle w:val="Standard"/>
        <w:spacing w:before="60" w:after="0"/>
        <w:jc w:val="both"/>
        <w:rPr>
          <w:rFonts w:ascii="Arial" w:hAnsi="Arial" w:cs="Arial"/>
          <w:bCs/>
          <w:sz w:val="18"/>
          <w:szCs w:val="18"/>
          <w:lang w:val="cs-CZ"/>
        </w:rPr>
      </w:pPr>
      <w:r w:rsidRPr="00EC6292">
        <w:rPr>
          <w:rFonts w:ascii="Arial" w:hAnsi="Arial" w:cs="Arial"/>
          <w:b/>
          <w:bCs/>
          <w:iCs/>
          <w:sz w:val="18"/>
          <w:szCs w:val="18"/>
          <w:lang w:val="cs-CZ"/>
        </w:rPr>
        <w:t>Podílový list</w:t>
      </w:r>
      <w:r w:rsidRPr="00EC6292">
        <w:rPr>
          <w:rFonts w:ascii="Arial" w:hAnsi="Arial" w:cs="Arial"/>
          <w:bCs/>
          <w:iCs/>
          <w:sz w:val="18"/>
          <w:szCs w:val="18"/>
          <w:lang w:val="cs-CZ"/>
        </w:rPr>
        <w:t xml:space="preserve"> je cenný papír, který představuje podíl na majetku v podílovém fondu a se kterým jsou spojena další práva podle právních předpisů nebo statutu fondu.</w:t>
      </w:r>
    </w:p>
    <w:p w:rsidR="00831687" w:rsidRPr="00EC6292" w:rsidRDefault="00831687" w:rsidP="00831687">
      <w:pPr>
        <w:pStyle w:val="Standard"/>
        <w:spacing w:before="60" w:after="0"/>
        <w:jc w:val="both"/>
        <w:rPr>
          <w:rFonts w:ascii="Arial" w:hAnsi="Arial" w:cs="Arial"/>
          <w:bCs/>
          <w:sz w:val="18"/>
          <w:szCs w:val="18"/>
          <w:lang w:val="cs-CZ"/>
        </w:rPr>
      </w:pPr>
      <w:r w:rsidRPr="00EC6292">
        <w:rPr>
          <w:rFonts w:ascii="Arial" w:hAnsi="Arial" w:cs="Arial"/>
          <w:b/>
          <w:bCs/>
          <w:sz w:val="18"/>
          <w:szCs w:val="18"/>
          <w:lang w:val="cs-CZ"/>
        </w:rPr>
        <w:lastRenderedPageBreak/>
        <w:t xml:space="preserve">Derivát </w:t>
      </w:r>
      <w:r w:rsidRPr="00EC6292">
        <w:rPr>
          <w:rFonts w:ascii="Arial" w:hAnsi="Arial" w:cs="Arial"/>
          <w:bCs/>
          <w:sz w:val="18"/>
          <w:szCs w:val="18"/>
          <w:lang w:val="cs-CZ"/>
        </w:rPr>
        <w:t xml:space="preserve">je investiční nástroj, jehož hodnota závisí od určitého podkladového aktiva, </w:t>
      </w:r>
      <w:r w:rsidRPr="00EC6292">
        <w:rPr>
          <w:rFonts w:ascii="Arial" w:hAnsi="Arial" w:cs="Arial"/>
          <w:bCs/>
          <w:iCs/>
          <w:sz w:val="18"/>
          <w:szCs w:val="18"/>
          <w:lang w:val="cs-CZ"/>
        </w:rPr>
        <w:t>podkladovým aktivem mohou být cenné papíry, indexy, úrokové míry, měny, komodity apod.</w:t>
      </w:r>
    </w:p>
    <w:p w:rsidR="00831687" w:rsidRPr="00EC6292" w:rsidRDefault="00831687" w:rsidP="00831687">
      <w:pPr>
        <w:pStyle w:val="Standard"/>
        <w:spacing w:before="60" w:after="0"/>
        <w:jc w:val="both"/>
        <w:rPr>
          <w:rFonts w:ascii="Arial" w:hAnsi="Arial" w:cs="Arial"/>
          <w:bCs/>
          <w:sz w:val="18"/>
          <w:szCs w:val="18"/>
          <w:lang w:val="cs-CZ"/>
        </w:rPr>
      </w:pPr>
      <w:r w:rsidRPr="00EC6292">
        <w:rPr>
          <w:rFonts w:ascii="Arial" w:hAnsi="Arial" w:cs="Arial"/>
          <w:b/>
          <w:bCs/>
          <w:sz w:val="18"/>
          <w:szCs w:val="18"/>
          <w:lang w:val="cs-CZ"/>
        </w:rPr>
        <w:t>Derivátový cenný papír</w:t>
      </w:r>
      <w:r w:rsidRPr="00EC6292">
        <w:rPr>
          <w:rFonts w:ascii="Arial" w:hAnsi="Arial" w:cs="Arial"/>
          <w:bCs/>
          <w:sz w:val="18"/>
          <w:szCs w:val="18"/>
          <w:lang w:val="cs-CZ"/>
        </w:rPr>
        <w:t xml:space="preserve"> je cenný papír, jehož hodnota nebo výnos závisí od určitého podkladového aktiva (např. akciového indexu). </w:t>
      </w:r>
      <w:r w:rsidRPr="00EC6292">
        <w:rPr>
          <w:rFonts w:ascii="Arial" w:hAnsi="Arial" w:cs="Arial"/>
          <w:sz w:val="18"/>
          <w:szCs w:val="18"/>
          <w:lang w:val="cs-CZ"/>
        </w:rPr>
        <w:t>Příkladem takového cenného papíru je investiční certifikát nebo investiční pákový produkt.</w:t>
      </w:r>
    </w:p>
    <w:p w:rsidR="00831687" w:rsidRPr="00EC6292" w:rsidRDefault="00831687" w:rsidP="00831687">
      <w:pPr>
        <w:pStyle w:val="Standard"/>
        <w:spacing w:before="60" w:after="0"/>
        <w:jc w:val="both"/>
        <w:rPr>
          <w:rFonts w:ascii="Arial" w:hAnsi="Arial" w:cs="Arial"/>
          <w:bCs/>
          <w:sz w:val="18"/>
          <w:szCs w:val="18"/>
          <w:lang w:val="cs-CZ"/>
        </w:rPr>
      </w:pPr>
      <w:r w:rsidRPr="00EC6292">
        <w:rPr>
          <w:rFonts w:ascii="Arial" w:hAnsi="Arial" w:cs="Arial"/>
          <w:b/>
          <w:bCs/>
          <w:sz w:val="18"/>
          <w:szCs w:val="18"/>
          <w:lang w:val="cs-CZ"/>
        </w:rPr>
        <w:t xml:space="preserve">Opce </w:t>
      </w:r>
      <w:r w:rsidRPr="00EC6292">
        <w:rPr>
          <w:rFonts w:ascii="Arial" w:hAnsi="Arial" w:cs="Arial"/>
          <w:bCs/>
          <w:iCs/>
          <w:sz w:val="18"/>
          <w:szCs w:val="18"/>
          <w:lang w:val="cs-CZ"/>
        </w:rPr>
        <w:t>je derivát, jehož majitel má právo, ale ne povinnost koupit nebo prodat dohodnuté množství podkladového aktiva za předem stanovených podmínek a předem stanovenou cenu.</w:t>
      </w:r>
    </w:p>
    <w:p w:rsidR="00831687" w:rsidRPr="00EC6292" w:rsidRDefault="00831687" w:rsidP="00831687">
      <w:pPr>
        <w:pStyle w:val="Standard"/>
        <w:spacing w:before="60" w:after="0"/>
        <w:jc w:val="both"/>
        <w:rPr>
          <w:rFonts w:ascii="Arial" w:hAnsi="Arial" w:cs="Arial"/>
          <w:bCs/>
          <w:sz w:val="18"/>
          <w:szCs w:val="18"/>
          <w:lang w:val="cs-CZ"/>
        </w:rPr>
      </w:pPr>
      <w:proofErr w:type="spellStart"/>
      <w:r w:rsidRPr="00EC6292">
        <w:rPr>
          <w:rFonts w:ascii="Arial" w:hAnsi="Arial" w:cs="Arial"/>
          <w:b/>
          <w:bCs/>
          <w:sz w:val="18"/>
          <w:szCs w:val="18"/>
          <w:lang w:val="cs-CZ"/>
        </w:rPr>
        <w:t>Warrant</w:t>
      </w:r>
      <w:proofErr w:type="spellEnd"/>
      <w:r w:rsidRPr="00EC6292">
        <w:rPr>
          <w:rFonts w:ascii="Arial" w:hAnsi="Arial" w:cs="Arial"/>
          <w:b/>
          <w:bCs/>
          <w:sz w:val="18"/>
          <w:szCs w:val="18"/>
          <w:lang w:val="cs-CZ"/>
        </w:rPr>
        <w:t xml:space="preserve"> </w:t>
      </w:r>
      <w:r w:rsidRPr="00EC6292">
        <w:rPr>
          <w:rFonts w:ascii="Arial" w:hAnsi="Arial" w:cs="Arial"/>
          <w:bCs/>
          <w:iCs/>
          <w:sz w:val="18"/>
          <w:szCs w:val="18"/>
          <w:lang w:val="cs-CZ"/>
        </w:rPr>
        <w:t xml:space="preserve">je </w:t>
      </w:r>
      <w:r w:rsidRPr="00EC6292">
        <w:rPr>
          <w:rFonts w:ascii="Arial" w:hAnsi="Arial" w:cs="Arial"/>
          <w:bCs/>
          <w:sz w:val="18"/>
          <w:szCs w:val="18"/>
          <w:lang w:val="cs-CZ"/>
        </w:rPr>
        <w:t xml:space="preserve">cenný papír, který držitele opravňuje k nabití podkladového aktiva (obvykle akcie) od emitenta </w:t>
      </w:r>
      <w:proofErr w:type="spellStart"/>
      <w:r w:rsidRPr="00EC6292">
        <w:rPr>
          <w:rFonts w:ascii="Arial" w:hAnsi="Arial" w:cs="Arial"/>
          <w:bCs/>
          <w:sz w:val="18"/>
          <w:szCs w:val="18"/>
          <w:lang w:val="cs-CZ"/>
        </w:rPr>
        <w:t>warrantu</w:t>
      </w:r>
      <w:proofErr w:type="spellEnd"/>
      <w:r w:rsidRPr="00EC6292">
        <w:rPr>
          <w:rFonts w:ascii="Arial" w:hAnsi="Arial" w:cs="Arial"/>
          <w:bCs/>
          <w:sz w:val="18"/>
          <w:szCs w:val="18"/>
          <w:lang w:val="cs-CZ"/>
        </w:rPr>
        <w:t xml:space="preserve">. </w:t>
      </w:r>
      <w:proofErr w:type="spellStart"/>
      <w:r w:rsidRPr="00EC6292">
        <w:rPr>
          <w:rFonts w:ascii="Arial" w:hAnsi="Arial" w:cs="Arial"/>
          <w:bCs/>
          <w:sz w:val="18"/>
          <w:szCs w:val="18"/>
          <w:lang w:val="cs-CZ"/>
        </w:rPr>
        <w:t>Warrant</w:t>
      </w:r>
      <w:proofErr w:type="spellEnd"/>
      <w:r w:rsidRPr="00EC6292">
        <w:rPr>
          <w:rFonts w:ascii="Arial" w:hAnsi="Arial" w:cs="Arial"/>
          <w:bCs/>
          <w:sz w:val="18"/>
          <w:szCs w:val="18"/>
          <w:lang w:val="cs-CZ"/>
        </w:rPr>
        <w:t xml:space="preserve"> má podobné vlastnosti jako opce, obvykle se však emituje na delší dobu.</w:t>
      </w:r>
    </w:p>
    <w:p w:rsidR="00831687" w:rsidRPr="00EC6292" w:rsidRDefault="00831687" w:rsidP="00831687">
      <w:pPr>
        <w:pStyle w:val="Standard"/>
        <w:spacing w:before="60" w:after="0"/>
        <w:jc w:val="both"/>
        <w:rPr>
          <w:rFonts w:ascii="Arial" w:hAnsi="Arial" w:cs="Arial"/>
          <w:bCs/>
          <w:sz w:val="18"/>
          <w:szCs w:val="18"/>
          <w:lang w:val="cs-CZ"/>
        </w:rPr>
      </w:pPr>
      <w:proofErr w:type="spellStart"/>
      <w:r w:rsidRPr="00EC6292">
        <w:rPr>
          <w:rFonts w:ascii="Arial" w:hAnsi="Arial" w:cs="Arial"/>
          <w:b/>
          <w:bCs/>
          <w:sz w:val="18"/>
          <w:szCs w:val="18"/>
          <w:lang w:val="cs-CZ"/>
        </w:rPr>
        <w:t>Futures</w:t>
      </w:r>
      <w:proofErr w:type="spellEnd"/>
      <w:r w:rsidRPr="00EC6292">
        <w:rPr>
          <w:rFonts w:ascii="Arial" w:hAnsi="Arial" w:cs="Arial"/>
          <w:bCs/>
          <w:sz w:val="18"/>
          <w:szCs w:val="18"/>
          <w:lang w:val="cs-CZ"/>
        </w:rPr>
        <w:t xml:space="preserve"> </w:t>
      </w:r>
      <w:r w:rsidRPr="00EC6292">
        <w:rPr>
          <w:rFonts w:ascii="Arial" w:hAnsi="Arial" w:cs="Arial"/>
          <w:bCs/>
          <w:iCs/>
          <w:sz w:val="18"/>
          <w:szCs w:val="18"/>
          <w:lang w:val="cs-CZ"/>
        </w:rPr>
        <w:t>je standardizovaným derivátem obchodovaným na organizovaných trzích, který je termínovým obchodem; podkladovým aktivem mohou být cenné papíry, indexy, úrokové míry, měny, komodity apod.</w:t>
      </w:r>
    </w:p>
    <w:p w:rsidR="00831687" w:rsidRPr="00EC6292" w:rsidRDefault="00831687" w:rsidP="00831687">
      <w:pPr>
        <w:pStyle w:val="Standard"/>
        <w:spacing w:before="60" w:after="0"/>
        <w:jc w:val="both"/>
        <w:rPr>
          <w:rFonts w:ascii="Arial" w:hAnsi="Arial" w:cs="Arial"/>
          <w:bCs/>
          <w:sz w:val="18"/>
          <w:szCs w:val="18"/>
          <w:lang w:val="cs-CZ"/>
        </w:rPr>
      </w:pPr>
      <w:r w:rsidRPr="00EC6292">
        <w:rPr>
          <w:rFonts w:ascii="Arial" w:hAnsi="Arial" w:cs="Arial"/>
          <w:b/>
          <w:bCs/>
          <w:sz w:val="18"/>
          <w:szCs w:val="18"/>
          <w:lang w:val="cs-CZ"/>
        </w:rPr>
        <w:t>OTC (</w:t>
      </w:r>
      <w:proofErr w:type="spellStart"/>
      <w:r w:rsidRPr="00EC6292">
        <w:rPr>
          <w:rFonts w:ascii="Arial" w:hAnsi="Arial" w:cs="Arial"/>
          <w:b/>
          <w:bCs/>
          <w:sz w:val="18"/>
          <w:szCs w:val="18"/>
          <w:lang w:val="cs-CZ"/>
        </w:rPr>
        <w:t>over</w:t>
      </w:r>
      <w:proofErr w:type="spellEnd"/>
      <w:r w:rsidRPr="00EC6292">
        <w:rPr>
          <w:rFonts w:ascii="Arial" w:hAnsi="Arial" w:cs="Arial"/>
          <w:b/>
          <w:bCs/>
          <w:sz w:val="18"/>
          <w:szCs w:val="18"/>
          <w:lang w:val="cs-CZ"/>
        </w:rPr>
        <w:t>-</w:t>
      </w:r>
      <w:proofErr w:type="spellStart"/>
      <w:r w:rsidRPr="00EC6292">
        <w:rPr>
          <w:rFonts w:ascii="Arial" w:hAnsi="Arial" w:cs="Arial"/>
          <w:b/>
          <w:bCs/>
          <w:sz w:val="18"/>
          <w:szCs w:val="18"/>
          <w:lang w:val="cs-CZ"/>
        </w:rPr>
        <w:t>the</w:t>
      </w:r>
      <w:proofErr w:type="spellEnd"/>
      <w:r w:rsidRPr="00EC6292">
        <w:rPr>
          <w:rFonts w:ascii="Arial" w:hAnsi="Arial" w:cs="Arial"/>
          <w:b/>
          <w:bCs/>
          <w:sz w:val="18"/>
          <w:szCs w:val="18"/>
          <w:lang w:val="cs-CZ"/>
        </w:rPr>
        <w:t>-</w:t>
      </w:r>
      <w:proofErr w:type="spellStart"/>
      <w:r w:rsidRPr="00EC6292">
        <w:rPr>
          <w:rFonts w:ascii="Arial" w:hAnsi="Arial" w:cs="Arial"/>
          <w:b/>
          <w:bCs/>
          <w:sz w:val="18"/>
          <w:szCs w:val="18"/>
          <w:lang w:val="cs-CZ"/>
        </w:rPr>
        <w:t>counter</w:t>
      </w:r>
      <w:proofErr w:type="spellEnd"/>
      <w:r w:rsidRPr="00EC6292">
        <w:rPr>
          <w:rFonts w:ascii="Arial" w:hAnsi="Arial" w:cs="Arial"/>
          <w:b/>
          <w:bCs/>
          <w:sz w:val="18"/>
          <w:szCs w:val="18"/>
          <w:lang w:val="cs-CZ"/>
        </w:rPr>
        <w:t>) derivát</w:t>
      </w:r>
      <w:r w:rsidRPr="00EC6292">
        <w:rPr>
          <w:rFonts w:ascii="Arial" w:hAnsi="Arial" w:cs="Arial"/>
          <w:bCs/>
          <w:sz w:val="18"/>
          <w:szCs w:val="18"/>
          <w:lang w:val="cs-CZ"/>
        </w:rPr>
        <w:t xml:space="preserve"> </w:t>
      </w:r>
      <w:r w:rsidRPr="00EC6292">
        <w:rPr>
          <w:rFonts w:ascii="Arial" w:hAnsi="Arial" w:cs="Arial"/>
          <w:bCs/>
          <w:iCs/>
          <w:sz w:val="18"/>
          <w:szCs w:val="18"/>
          <w:lang w:val="cs-CZ"/>
        </w:rPr>
        <w:t>je investiční nástroj, který není obchodován na organizovaných trzích</w:t>
      </w:r>
      <w:r w:rsidRPr="00EC6292">
        <w:rPr>
          <w:rFonts w:ascii="Arial" w:hAnsi="Arial" w:cs="Arial"/>
          <w:bCs/>
          <w:sz w:val="18"/>
          <w:szCs w:val="18"/>
          <w:lang w:val="cs-CZ"/>
        </w:rPr>
        <w:t xml:space="preserve"> (swapy, forwardy, opce).</w:t>
      </w:r>
    </w:p>
    <w:p w:rsidR="00831687" w:rsidRPr="00EC6292" w:rsidRDefault="00831687" w:rsidP="00831687">
      <w:pPr>
        <w:pStyle w:val="Standard"/>
        <w:spacing w:before="60" w:after="0"/>
        <w:jc w:val="both"/>
        <w:rPr>
          <w:rFonts w:ascii="Arial" w:hAnsi="Arial" w:cs="Arial"/>
          <w:bCs/>
          <w:sz w:val="18"/>
          <w:szCs w:val="18"/>
          <w:lang w:val="cs-CZ"/>
        </w:rPr>
      </w:pPr>
      <w:r w:rsidRPr="00EC6292">
        <w:rPr>
          <w:rFonts w:ascii="Arial" w:hAnsi="Arial" w:cs="Arial"/>
          <w:b/>
          <w:bCs/>
          <w:sz w:val="18"/>
          <w:szCs w:val="18"/>
          <w:lang w:val="cs-CZ"/>
        </w:rPr>
        <w:t>Strukturované nástroje</w:t>
      </w:r>
      <w:r w:rsidRPr="00EC6292">
        <w:rPr>
          <w:rFonts w:ascii="Arial" w:hAnsi="Arial" w:cs="Arial"/>
          <w:bCs/>
          <w:sz w:val="18"/>
          <w:szCs w:val="18"/>
          <w:lang w:val="cs-CZ"/>
        </w:rPr>
        <w:t xml:space="preserve"> </w:t>
      </w:r>
      <w:r w:rsidRPr="00EC6292">
        <w:rPr>
          <w:rFonts w:ascii="Arial" w:hAnsi="Arial" w:cs="Arial"/>
          <w:bCs/>
          <w:iCs/>
          <w:sz w:val="18"/>
          <w:szCs w:val="18"/>
          <w:lang w:val="cs-CZ"/>
        </w:rPr>
        <w:t>jsou nástroje, které jsou vytvořeny z více finančních nástrojů</w:t>
      </w:r>
      <w:r w:rsidRPr="00EC6292">
        <w:rPr>
          <w:rFonts w:ascii="Arial" w:hAnsi="Arial" w:cs="Arial"/>
          <w:bCs/>
          <w:sz w:val="18"/>
          <w:szCs w:val="18"/>
          <w:lang w:val="cs-CZ"/>
        </w:rPr>
        <w:t>.</w:t>
      </w:r>
    </w:p>
    <w:p w:rsidR="00831687" w:rsidRPr="00EC6292" w:rsidRDefault="00831687" w:rsidP="00831687">
      <w:pPr>
        <w:spacing w:before="60"/>
        <w:jc w:val="both"/>
        <w:rPr>
          <w:rFonts w:cs="Arial"/>
          <w:szCs w:val="18"/>
        </w:rPr>
      </w:pPr>
      <w:r w:rsidRPr="00793557">
        <w:rPr>
          <w:rFonts w:cs="Arial"/>
          <w:szCs w:val="18"/>
        </w:rPr>
        <w:t>Výše u</w:t>
      </w:r>
      <w:r w:rsidRPr="00EC6292">
        <w:rPr>
          <w:rFonts w:cs="Arial"/>
          <w:szCs w:val="18"/>
        </w:rPr>
        <w:t>vedené investiční nástroje jsou určené profesionálním i neprofesionálním zákazníkům.</w:t>
      </w:r>
    </w:p>
    <w:p w:rsidR="00831687" w:rsidRPr="00EC6292" w:rsidRDefault="00831687" w:rsidP="00831687">
      <w:pPr>
        <w:pStyle w:val="Standard"/>
        <w:spacing w:after="0"/>
        <w:jc w:val="both"/>
        <w:rPr>
          <w:rFonts w:ascii="Arial" w:hAnsi="Arial" w:cs="Arial"/>
          <w:sz w:val="18"/>
          <w:szCs w:val="18"/>
          <w:lang w:val="cs-CZ"/>
        </w:rPr>
      </w:pPr>
    </w:p>
    <w:p w:rsidR="00831687" w:rsidRPr="00EC6292" w:rsidRDefault="00831687" w:rsidP="00831687">
      <w:pPr>
        <w:pStyle w:val="Standard"/>
        <w:spacing w:after="0"/>
        <w:jc w:val="center"/>
        <w:rPr>
          <w:rFonts w:ascii="Arial" w:hAnsi="Arial" w:cs="Arial"/>
          <w:b/>
          <w:sz w:val="18"/>
          <w:szCs w:val="18"/>
          <w:lang w:val="cs-CZ"/>
        </w:rPr>
      </w:pPr>
      <w:r w:rsidRPr="00EC6292">
        <w:rPr>
          <w:rFonts w:ascii="Arial" w:hAnsi="Arial" w:cs="Arial"/>
          <w:b/>
          <w:sz w:val="18"/>
          <w:szCs w:val="18"/>
          <w:lang w:val="cs-CZ"/>
        </w:rPr>
        <w:t>Rizika spojená s investičními nástroji a investičními službami</w:t>
      </w:r>
    </w:p>
    <w:p w:rsidR="00831687" w:rsidRPr="00EC6292" w:rsidRDefault="00831687" w:rsidP="00831687">
      <w:pPr>
        <w:pStyle w:val="Standard"/>
        <w:spacing w:after="0"/>
        <w:ind w:left="426" w:hanging="426"/>
        <w:jc w:val="both"/>
        <w:rPr>
          <w:rFonts w:ascii="Arial" w:hAnsi="Arial" w:cs="Arial"/>
          <w:sz w:val="18"/>
          <w:szCs w:val="18"/>
          <w:lang w:val="cs-CZ"/>
        </w:rPr>
      </w:pPr>
    </w:p>
    <w:p w:rsidR="00831687" w:rsidRPr="00EC6292" w:rsidRDefault="00831687" w:rsidP="00831687">
      <w:pPr>
        <w:jc w:val="both"/>
        <w:rPr>
          <w:rFonts w:cs="Arial"/>
          <w:szCs w:val="18"/>
        </w:rPr>
      </w:pPr>
      <w:r w:rsidRPr="00EC6292">
        <w:rPr>
          <w:rFonts w:cs="Arial"/>
          <w:szCs w:val="18"/>
        </w:rPr>
        <w:t xml:space="preserve">Obchody s investičními nástroji jsou spojeny s riziky, která mohou mít vliv na výnosnost nebo ztrátovost každé investice. Investování do investičních nástrojů není vhodné pro každého a u každé investice je možnost, že investor nedosáhne očekávaného výnosu nebo ztratí část nebo dokonce celou investovanou částku, a to i v případě, že se jedná o tzv. zajištěné produkty. Některé investiční nástroje v sobě nesou riziko vzniku dodatečných finančních povinností. </w:t>
      </w:r>
    </w:p>
    <w:p w:rsidR="00831687" w:rsidRPr="00EC6292" w:rsidRDefault="00831687" w:rsidP="00831687">
      <w:pPr>
        <w:jc w:val="both"/>
        <w:rPr>
          <w:rFonts w:cs="Arial"/>
          <w:szCs w:val="18"/>
        </w:rPr>
      </w:pPr>
    </w:p>
    <w:p w:rsidR="00831687" w:rsidRPr="00EC6292" w:rsidRDefault="00831687" w:rsidP="00831687">
      <w:pPr>
        <w:jc w:val="both"/>
        <w:rPr>
          <w:rFonts w:cs="Arial"/>
          <w:szCs w:val="18"/>
        </w:rPr>
      </w:pPr>
      <w:r w:rsidRPr="00EC6292">
        <w:rPr>
          <w:rFonts w:cs="Arial"/>
          <w:szCs w:val="18"/>
        </w:rPr>
        <w:t>Obecně platí, že čím větší je riziko, tím větší je i možný zisk, ale i ztráta. Riziko zpravidla klesá s dobou trvání investice, tzv. investičním horizontem. Žádný investiční horizont ale nezaručuje snížení rizika na nulu. Výnosy investičních nástrojů dosažené v minulém období nejsou zárukou budoucích výnosů. Celkové riziko investic je možné snížit investováním do různých druhů investičních nástrojů. Obchodování s investičními nástroji s využitím tzv. pákového efektu je spojeno s ještě výrazně vyšším rizikem. Zvláštní rizika mohou být spojena též s daňovými důsledky obchodů s investičními nástroji. Za plnění daňových povinností souvisejících s investicemi odpovídá zákazník. Banka doporučuje zákazníkovi, aby nikdy nenakupoval takové investiční nástroje, u kterých plně nerozumí jejich podmínkám a rizikům včetně rozsahu potenciální ztráty.</w:t>
      </w:r>
    </w:p>
    <w:p w:rsidR="00831687" w:rsidRPr="00EC6292" w:rsidRDefault="00831687" w:rsidP="00831687">
      <w:pPr>
        <w:rPr>
          <w:rFonts w:cs="Arial"/>
          <w:szCs w:val="18"/>
        </w:rPr>
      </w:pPr>
    </w:p>
    <w:p w:rsidR="00831687" w:rsidRPr="00EC6292" w:rsidRDefault="00831687" w:rsidP="00831687">
      <w:pPr>
        <w:jc w:val="both"/>
        <w:rPr>
          <w:rFonts w:cs="Arial"/>
          <w:color w:val="221E25"/>
          <w:szCs w:val="18"/>
        </w:rPr>
      </w:pPr>
      <w:r w:rsidRPr="00EC6292">
        <w:rPr>
          <w:rFonts w:cs="Arial"/>
          <w:color w:val="221E25"/>
          <w:szCs w:val="18"/>
        </w:rPr>
        <w:t xml:space="preserve">Obvyklá rizika </w:t>
      </w:r>
      <w:r w:rsidRPr="00EC6292">
        <w:rPr>
          <w:rFonts w:cs="Arial"/>
          <w:szCs w:val="18"/>
        </w:rPr>
        <w:t>spojená</w:t>
      </w:r>
      <w:r w:rsidRPr="00EC6292">
        <w:rPr>
          <w:rFonts w:cs="Arial"/>
          <w:color w:val="221E25"/>
          <w:szCs w:val="18"/>
        </w:rPr>
        <w:t xml:space="preserve"> s investováním do investičních nástrojů jsou:</w:t>
      </w:r>
    </w:p>
    <w:p w:rsidR="00831687" w:rsidRPr="00EC6292" w:rsidRDefault="00831687" w:rsidP="00831687">
      <w:pPr>
        <w:numPr>
          <w:ilvl w:val="0"/>
          <w:numId w:val="22"/>
        </w:numPr>
        <w:overflowPunct w:val="0"/>
        <w:autoSpaceDE w:val="0"/>
        <w:autoSpaceDN w:val="0"/>
        <w:adjustRightInd w:val="0"/>
        <w:spacing w:before="60"/>
        <w:ind w:left="284" w:hanging="284"/>
        <w:jc w:val="both"/>
        <w:textAlignment w:val="baseline"/>
        <w:rPr>
          <w:rFonts w:cs="Arial"/>
          <w:color w:val="221E25"/>
          <w:szCs w:val="18"/>
        </w:rPr>
      </w:pPr>
      <w:r w:rsidRPr="00EC6292">
        <w:rPr>
          <w:rFonts w:cs="Arial"/>
          <w:b/>
          <w:color w:val="221E25"/>
          <w:szCs w:val="18"/>
        </w:rPr>
        <w:t>kreditní riziko</w:t>
      </w:r>
      <w:r w:rsidRPr="00EC6292">
        <w:rPr>
          <w:rFonts w:cs="Arial"/>
          <w:color w:val="221E25"/>
          <w:szCs w:val="18"/>
        </w:rPr>
        <w:t xml:space="preserve"> (riziko emitenta nebo riziko protistrany) - riziko, že protistrana nesplní svůj dluh (nebo nebude schopna platit v důsledku insolvence); v krajním případě hrozí ztráta celé investice;</w:t>
      </w:r>
    </w:p>
    <w:p w:rsidR="00831687" w:rsidRPr="00EC6292" w:rsidRDefault="00831687" w:rsidP="00831687">
      <w:pPr>
        <w:numPr>
          <w:ilvl w:val="0"/>
          <w:numId w:val="22"/>
        </w:numPr>
        <w:overflowPunct w:val="0"/>
        <w:autoSpaceDE w:val="0"/>
        <w:autoSpaceDN w:val="0"/>
        <w:adjustRightInd w:val="0"/>
        <w:spacing w:before="60"/>
        <w:ind w:left="284" w:hanging="284"/>
        <w:jc w:val="both"/>
        <w:textAlignment w:val="baseline"/>
        <w:rPr>
          <w:rFonts w:cs="Arial"/>
          <w:color w:val="221E25"/>
          <w:szCs w:val="18"/>
        </w:rPr>
      </w:pPr>
      <w:r w:rsidRPr="00EC6292">
        <w:rPr>
          <w:rFonts w:cs="Arial"/>
          <w:b/>
          <w:bCs/>
          <w:iCs/>
          <w:szCs w:val="18"/>
        </w:rPr>
        <w:t>riziko</w:t>
      </w:r>
      <w:r w:rsidRPr="00EC6292">
        <w:rPr>
          <w:rFonts w:cs="Arial"/>
          <w:b/>
          <w:szCs w:val="18"/>
        </w:rPr>
        <w:t xml:space="preserve"> </w:t>
      </w:r>
      <w:r w:rsidRPr="00EC6292">
        <w:rPr>
          <w:rFonts w:cs="Arial"/>
          <w:b/>
          <w:color w:val="221E25"/>
          <w:szCs w:val="18"/>
        </w:rPr>
        <w:t>vypořádání</w:t>
      </w:r>
      <w:r w:rsidRPr="00EC6292">
        <w:rPr>
          <w:rFonts w:cs="Arial"/>
          <w:color w:val="221E25"/>
          <w:szCs w:val="18"/>
        </w:rPr>
        <w:t xml:space="preserve"> </w:t>
      </w:r>
      <w:r w:rsidRPr="00EC6292">
        <w:rPr>
          <w:rFonts w:cs="Arial"/>
          <w:szCs w:val="18"/>
        </w:rPr>
        <w:t>- riziko, že sjednaný obchod nebude řádně vypořádán (např. nebude uhrazena kupní cena nebo nebudou dodány cenné papíry);</w:t>
      </w:r>
    </w:p>
    <w:p w:rsidR="00831687" w:rsidRPr="00EC6292" w:rsidRDefault="00831687" w:rsidP="00831687">
      <w:pPr>
        <w:numPr>
          <w:ilvl w:val="0"/>
          <w:numId w:val="22"/>
        </w:numPr>
        <w:overflowPunct w:val="0"/>
        <w:autoSpaceDE w:val="0"/>
        <w:autoSpaceDN w:val="0"/>
        <w:adjustRightInd w:val="0"/>
        <w:spacing w:before="60"/>
        <w:ind w:left="284" w:hanging="284"/>
        <w:jc w:val="both"/>
        <w:textAlignment w:val="baseline"/>
        <w:rPr>
          <w:rFonts w:cs="Arial"/>
          <w:color w:val="221E25"/>
          <w:szCs w:val="18"/>
        </w:rPr>
      </w:pPr>
      <w:r w:rsidRPr="00EC6292">
        <w:rPr>
          <w:rFonts w:cs="Arial"/>
          <w:b/>
          <w:color w:val="221E25"/>
          <w:szCs w:val="18"/>
        </w:rPr>
        <w:t>tržní riziko</w:t>
      </w:r>
      <w:r w:rsidRPr="00EC6292">
        <w:rPr>
          <w:rFonts w:cs="Arial"/>
          <w:color w:val="221E25"/>
          <w:szCs w:val="18"/>
        </w:rPr>
        <w:t xml:space="preserve"> - hrozba ztráty při nepříznivé změně tržních podmínek, zejména úrokové míry (úrokové riziko), cen akcií (akciové riziko), cen komodit (komoditní riziko), kurzů měn (kurzové nebo též měnové riziko); mezi tržní rizika patří také:</w:t>
      </w:r>
    </w:p>
    <w:p w:rsidR="00831687" w:rsidRPr="00EC6292" w:rsidRDefault="00831687" w:rsidP="00831687">
      <w:pPr>
        <w:numPr>
          <w:ilvl w:val="1"/>
          <w:numId w:val="22"/>
        </w:numPr>
        <w:overflowPunct w:val="0"/>
        <w:autoSpaceDE w:val="0"/>
        <w:autoSpaceDN w:val="0"/>
        <w:adjustRightInd w:val="0"/>
        <w:spacing w:before="60"/>
        <w:ind w:left="567" w:hanging="283"/>
        <w:jc w:val="both"/>
        <w:textAlignment w:val="baseline"/>
        <w:rPr>
          <w:rFonts w:cs="Arial"/>
          <w:color w:val="221E25"/>
          <w:szCs w:val="18"/>
        </w:rPr>
      </w:pPr>
      <w:r w:rsidRPr="00EC6292">
        <w:rPr>
          <w:rFonts w:cs="Arial"/>
          <w:color w:val="221E25"/>
          <w:szCs w:val="18"/>
        </w:rPr>
        <w:t>riziko likvidity - hrozí ztráta pokud daný investiční nástroj není možné ve zvoleném okamžiku prodat nebo koupit, nebo je možné obchod realizovat pouze za nevýhodnou cenu; a</w:t>
      </w:r>
    </w:p>
    <w:p w:rsidR="00831687" w:rsidRPr="00EC6292" w:rsidRDefault="00831687" w:rsidP="00831687">
      <w:pPr>
        <w:numPr>
          <w:ilvl w:val="1"/>
          <w:numId w:val="22"/>
        </w:numPr>
        <w:overflowPunct w:val="0"/>
        <w:autoSpaceDE w:val="0"/>
        <w:autoSpaceDN w:val="0"/>
        <w:adjustRightInd w:val="0"/>
        <w:spacing w:before="60"/>
        <w:ind w:left="567" w:hanging="283"/>
        <w:jc w:val="both"/>
        <w:textAlignment w:val="baseline"/>
        <w:rPr>
          <w:rFonts w:cs="Arial"/>
          <w:color w:val="221E25"/>
          <w:szCs w:val="18"/>
        </w:rPr>
      </w:pPr>
      <w:r w:rsidRPr="00EC6292">
        <w:rPr>
          <w:rFonts w:cs="Arial"/>
          <w:color w:val="221E25"/>
          <w:szCs w:val="18"/>
        </w:rPr>
        <w:t>riziko volatility (kolísavosti) - riziko krátkodobých nebo dlouhodobých výkyvů cen (špatné načasování investice může vést ke značným ztrátám);</w:t>
      </w:r>
    </w:p>
    <w:p w:rsidR="00831687" w:rsidRPr="00EC6292" w:rsidRDefault="00831687" w:rsidP="00831687">
      <w:pPr>
        <w:numPr>
          <w:ilvl w:val="0"/>
          <w:numId w:val="22"/>
        </w:numPr>
        <w:overflowPunct w:val="0"/>
        <w:autoSpaceDE w:val="0"/>
        <w:autoSpaceDN w:val="0"/>
        <w:adjustRightInd w:val="0"/>
        <w:spacing w:before="60"/>
        <w:ind w:left="284" w:hanging="284"/>
        <w:jc w:val="both"/>
        <w:textAlignment w:val="baseline"/>
        <w:rPr>
          <w:rFonts w:cs="Arial"/>
          <w:color w:val="221E25"/>
          <w:szCs w:val="18"/>
        </w:rPr>
      </w:pPr>
      <w:r w:rsidRPr="00EC6292">
        <w:rPr>
          <w:rFonts w:cs="Arial"/>
          <w:b/>
          <w:color w:val="221E25"/>
          <w:szCs w:val="18"/>
        </w:rPr>
        <w:t>operační riziko</w:t>
      </w:r>
      <w:r w:rsidRPr="00EC6292">
        <w:rPr>
          <w:rFonts w:cs="Arial"/>
          <w:color w:val="221E25"/>
          <w:szCs w:val="18"/>
        </w:rPr>
        <w:t xml:space="preserve"> - riziko ztráty v případě lidských chyb, podvodů nebo nedostatků informačních systémů;</w:t>
      </w:r>
    </w:p>
    <w:p w:rsidR="00831687" w:rsidRPr="00EC6292" w:rsidRDefault="00831687" w:rsidP="00831687">
      <w:pPr>
        <w:numPr>
          <w:ilvl w:val="0"/>
          <w:numId w:val="22"/>
        </w:numPr>
        <w:overflowPunct w:val="0"/>
        <w:autoSpaceDE w:val="0"/>
        <w:autoSpaceDN w:val="0"/>
        <w:adjustRightInd w:val="0"/>
        <w:spacing w:before="60"/>
        <w:ind w:left="284" w:hanging="284"/>
        <w:jc w:val="both"/>
        <w:textAlignment w:val="baseline"/>
        <w:rPr>
          <w:rFonts w:cs="Arial"/>
          <w:color w:val="221E25"/>
          <w:szCs w:val="18"/>
        </w:rPr>
      </w:pPr>
      <w:r w:rsidRPr="00EC6292">
        <w:rPr>
          <w:rFonts w:cs="Arial"/>
          <w:b/>
          <w:color w:val="221E25"/>
          <w:szCs w:val="18"/>
        </w:rPr>
        <w:t>právní riziko</w:t>
      </w:r>
      <w:r w:rsidRPr="00EC6292">
        <w:rPr>
          <w:rFonts w:cs="Arial"/>
          <w:color w:val="221E25"/>
          <w:szCs w:val="18"/>
        </w:rPr>
        <w:t xml:space="preserve"> - hrozba ztráty v případě právní nevymahatelnosti smluvních podmínek;</w:t>
      </w:r>
    </w:p>
    <w:p w:rsidR="00831687" w:rsidRPr="00EC6292" w:rsidRDefault="00831687" w:rsidP="00831687">
      <w:pPr>
        <w:numPr>
          <w:ilvl w:val="0"/>
          <w:numId w:val="22"/>
        </w:numPr>
        <w:overflowPunct w:val="0"/>
        <w:autoSpaceDE w:val="0"/>
        <w:autoSpaceDN w:val="0"/>
        <w:adjustRightInd w:val="0"/>
        <w:spacing w:before="60"/>
        <w:ind w:left="284" w:hanging="284"/>
        <w:jc w:val="both"/>
        <w:textAlignment w:val="baseline"/>
        <w:rPr>
          <w:rFonts w:cs="Arial"/>
          <w:color w:val="221E25"/>
          <w:szCs w:val="18"/>
        </w:rPr>
      </w:pPr>
      <w:r w:rsidRPr="00EC6292">
        <w:rPr>
          <w:rFonts w:cs="Arial"/>
          <w:b/>
          <w:color w:val="221E25"/>
          <w:szCs w:val="18"/>
        </w:rPr>
        <w:t>riziko názvosloví</w:t>
      </w:r>
      <w:r w:rsidRPr="00EC6292">
        <w:rPr>
          <w:rFonts w:cs="Arial"/>
          <w:color w:val="221E25"/>
          <w:szCs w:val="18"/>
        </w:rPr>
        <w:t xml:space="preserve"> - různé pojmy jsou na různých finančních trzích vykládány různě a v některých případech nemusí být zcela jasná skutečná povaha investičního nástroje;</w:t>
      </w:r>
    </w:p>
    <w:p w:rsidR="00831687" w:rsidRPr="00EC6292" w:rsidRDefault="00831687" w:rsidP="00831687">
      <w:pPr>
        <w:numPr>
          <w:ilvl w:val="0"/>
          <w:numId w:val="22"/>
        </w:numPr>
        <w:overflowPunct w:val="0"/>
        <w:autoSpaceDE w:val="0"/>
        <w:autoSpaceDN w:val="0"/>
        <w:adjustRightInd w:val="0"/>
        <w:spacing w:before="60"/>
        <w:ind w:left="284" w:hanging="284"/>
        <w:jc w:val="both"/>
        <w:textAlignment w:val="baseline"/>
        <w:rPr>
          <w:rFonts w:cs="Arial"/>
          <w:color w:val="221E25"/>
          <w:szCs w:val="18"/>
        </w:rPr>
      </w:pPr>
      <w:r w:rsidRPr="00EC6292">
        <w:rPr>
          <w:rFonts w:cs="Arial"/>
          <w:b/>
          <w:color w:val="221E25"/>
          <w:szCs w:val="18"/>
        </w:rPr>
        <w:t>inflační riziko</w:t>
      </w:r>
      <w:r w:rsidRPr="00EC6292">
        <w:rPr>
          <w:rFonts w:cs="Arial"/>
          <w:color w:val="221E25"/>
          <w:szCs w:val="18"/>
        </w:rPr>
        <w:t xml:space="preserve"> - ovlivňuje reálný výnos zákazníkem držených investičních nástrojů; vysoká inflace může způsobit, že zákazník reálně dosáhne menšího výnosu nebo dokonce ztráty;</w:t>
      </w:r>
    </w:p>
    <w:p w:rsidR="00831687" w:rsidRPr="00EC6292" w:rsidRDefault="00831687" w:rsidP="00831687">
      <w:pPr>
        <w:numPr>
          <w:ilvl w:val="0"/>
          <w:numId w:val="22"/>
        </w:numPr>
        <w:overflowPunct w:val="0"/>
        <w:autoSpaceDE w:val="0"/>
        <w:autoSpaceDN w:val="0"/>
        <w:adjustRightInd w:val="0"/>
        <w:spacing w:before="60"/>
        <w:ind w:left="284" w:hanging="284"/>
        <w:jc w:val="both"/>
        <w:textAlignment w:val="baseline"/>
        <w:rPr>
          <w:rFonts w:cs="Arial"/>
          <w:color w:val="221E25"/>
          <w:szCs w:val="18"/>
        </w:rPr>
      </w:pPr>
      <w:r w:rsidRPr="00EC6292">
        <w:rPr>
          <w:rFonts w:cs="Arial"/>
          <w:b/>
          <w:color w:val="221E25"/>
          <w:szCs w:val="18"/>
        </w:rPr>
        <w:t>globální riziko</w:t>
      </w:r>
      <w:r w:rsidRPr="00EC6292">
        <w:rPr>
          <w:rFonts w:cs="Arial"/>
          <w:color w:val="221E25"/>
          <w:szCs w:val="18"/>
        </w:rPr>
        <w:t xml:space="preserve"> - nebezpečí změny ceny investičních nástrojů v rámci globálního poklesu ekonomik a finančních trhů;</w:t>
      </w:r>
    </w:p>
    <w:p w:rsidR="00831687" w:rsidRPr="00EC6292" w:rsidRDefault="00831687" w:rsidP="00831687">
      <w:pPr>
        <w:numPr>
          <w:ilvl w:val="0"/>
          <w:numId w:val="22"/>
        </w:numPr>
        <w:overflowPunct w:val="0"/>
        <w:autoSpaceDE w:val="0"/>
        <w:autoSpaceDN w:val="0"/>
        <w:adjustRightInd w:val="0"/>
        <w:spacing w:before="60"/>
        <w:ind w:left="284" w:hanging="284"/>
        <w:jc w:val="both"/>
        <w:textAlignment w:val="baseline"/>
        <w:rPr>
          <w:rFonts w:cs="Arial"/>
          <w:color w:val="221E25"/>
          <w:szCs w:val="18"/>
        </w:rPr>
      </w:pPr>
      <w:r w:rsidRPr="00EC6292">
        <w:rPr>
          <w:rFonts w:cs="Arial"/>
          <w:b/>
          <w:color w:val="221E25"/>
          <w:szCs w:val="18"/>
        </w:rPr>
        <w:t>sektorové riziko</w:t>
      </w:r>
      <w:r w:rsidRPr="00EC6292">
        <w:rPr>
          <w:rFonts w:cs="Arial"/>
          <w:color w:val="221E25"/>
          <w:szCs w:val="18"/>
        </w:rPr>
        <w:t xml:space="preserve"> - nebezpečí změny ceny investičních nástrojů  při poklesu daného odvětví;</w:t>
      </w:r>
    </w:p>
    <w:p w:rsidR="00831687" w:rsidRPr="00EC6292" w:rsidRDefault="00831687" w:rsidP="00831687">
      <w:pPr>
        <w:numPr>
          <w:ilvl w:val="0"/>
          <w:numId w:val="22"/>
        </w:numPr>
        <w:overflowPunct w:val="0"/>
        <w:autoSpaceDE w:val="0"/>
        <w:autoSpaceDN w:val="0"/>
        <w:adjustRightInd w:val="0"/>
        <w:spacing w:before="60"/>
        <w:ind w:left="284" w:hanging="284"/>
        <w:jc w:val="both"/>
        <w:textAlignment w:val="baseline"/>
        <w:rPr>
          <w:rFonts w:cs="Arial"/>
          <w:color w:val="221E25"/>
          <w:szCs w:val="18"/>
        </w:rPr>
      </w:pPr>
      <w:r w:rsidRPr="00EC6292">
        <w:rPr>
          <w:rFonts w:cs="Arial"/>
          <w:b/>
          <w:color w:val="221E25"/>
          <w:szCs w:val="18"/>
        </w:rPr>
        <w:t>politické riziko</w:t>
      </w:r>
      <w:r w:rsidRPr="00EC6292">
        <w:rPr>
          <w:rFonts w:cs="Arial"/>
          <w:color w:val="221E25"/>
          <w:szCs w:val="18"/>
        </w:rPr>
        <w:t xml:space="preserve"> - znamená nebezpečí změny ceny nebo převoditelnosti investičních nástrojů při změně politické situace;</w:t>
      </w:r>
    </w:p>
    <w:p w:rsidR="00831687" w:rsidRPr="00EC6292" w:rsidRDefault="00831687" w:rsidP="00831687">
      <w:pPr>
        <w:numPr>
          <w:ilvl w:val="0"/>
          <w:numId w:val="22"/>
        </w:numPr>
        <w:overflowPunct w:val="0"/>
        <w:autoSpaceDE w:val="0"/>
        <w:autoSpaceDN w:val="0"/>
        <w:adjustRightInd w:val="0"/>
        <w:spacing w:before="60"/>
        <w:ind w:left="284" w:hanging="284"/>
        <w:jc w:val="both"/>
        <w:textAlignment w:val="baseline"/>
        <w:rPr>
          <w:rFonts w:cs="Arial"/>
          <w:color w:val="221E25"/>
          <w:szCs w:val="18"/>
        </w:rPr>
      </w:pPr>
      <w:r w:rsidRPr="00EC6292">
        <w:rPr>
          <w:rFonts w:cs="Arial"/>
          <w:b/>
          <w:color w:val="221E25"/>
          <w:szCs w:val="18"/>
        </w:rPr>
        <w:t xml:space="preserve">riziko derivátů - </w:t>
      </w:r>
      <w:r w:rsidRPr="00EC6292">
        <w:rPr>
          <w:rFonts w:cs="Arial"/>
          <w:color w:val="221E25"/>
          <w:szCs w:val="18"/>
        </w:rPr>
        <w:t>jejich hodnota závisí na ceně podkladového aktiva; některé derivátové investiční nástroje využívají pákového efektu, tj. jejich hodnota závisí na růstu nebo poklesu ceny podkladového aktiva podle dohodnutého poměru, proto i malá změna ceny podkladového aktiva může vyvolat významné snížení hodnoty investičního nástroje nebo i ztrátu celé investice.</w:t>
      </w:r>
    </w:p>
    <w:p w:rsidR="00831687" w:rsidRPr="00EC6292" w:rsidRDefault="00831687" w:rsidP="00831687">
      <w:pPr>
        <w:rPr>
          <w:rFonts w:cs="Arial"/>
          <w:szCs w:val="18"/>
        </w:rPr>
      </w:pPr>
    </w:p>
    <w:p w:rsidR="00831687" w:rsidRPr="00EC6292" w:rsidRDefault="00831687" w:rsidP="00831687">
      <w:pPr>
        <w:jc w:val="both"/>
        <w:rPr>
          <w:rFonts w:cs="Arial"/>
          <w:szCs w:val="18"/>
        </w:rPr>
      </w:pPr>
      <w:r w:rsidRPr="00EC6292">
        <w:rPr>
          <w:rFonts w:cs="Arial"/>
          <w:szCs w:val="18"/>
        </w:rPr>
        <w:t>Tato rizika se v různé míře vztahují na všechny investice a investiční nástroje. Rizika typická pro jednotlivé skupiny investičních nástrojů jsou specifikována v následující tabulce:</w:t>
      </w:r>
    </w:p>
    <w:p w:rsidR="00831687" w:rsidRPr="00EC6292" w:rsidRDefault="00831687" w:rsidP="00831687">
      <w:pPr>
        <w:rPr>
          <w:rFonts w:cs="Arial"/>
          <w:szCs w:val="18"/>
        </w:rPr>
      </w:pPr>
    </w:p>
    <w:p w:rsidR="00831687" w:rsidRPr="00EC6292" w:rsidRDefault="00831687" w:rsidP="00831687">
      <w:pPr>
        <w:ind w:firstLine="426"/>
        <w:jc w:val="both"/>
        <w:rPr>
          <w:rFonts w:cs="Arial"/>
          <w:b/>
          <w:szCs w:val="18"/>
        </w:rPr>
      </w:pPr>
      <w:r w:rsidRPr="00EC6292">
        <w:rPr>
          <w:rFonts w:cs="Arial"/>
          <w:b/>
          <w:szCs w:val="18"/>
        </w:rPr>
        <w:t>Investiční nástroj</w:t>
      </w:r>
      <w:r w:rsidRPr="00EC6292">
        <w:rPr>
          <w:rFonts w:cs="Arial"/>
          <w:b/>
          <w:szCs w:val="18"/>
        </w:rPr>
        <w:tab/>
      </w:r>
      <w:r w:rsidRPr="00EC6292">
        <w:rPr>
          <w:rFonts w:cs="Arial"/>
          <w:b/>
          <w:szCs w:val="18"/>
        </w:rPr>
        <w:tab/>
      </w:r>
      <w:r w:rsidRPr="00EC6292">
        <w:rPr>
          <w:rFonts w:cs="Arial"/>
          <w:b/>
          <w:szCs w:val="18"/>
        </w:rPr>
        <w:tab/>
      </w:r>
      <w:r w:rsidRPr="00EC6292">
        <w:rPr>
          <w:rFonts w:cs="Arial"/>
          <w:b/>
          <w:szCs w:val="18"/>
        </w:rPr>
        <w:tab/>
      </w:r>
      <w:r w:rsidRPr="00EC6292">
        <w:rPr>
          <w:rFonts w:cs="Arial"/>
          <w:b/>
          <w:szCs w:val="18"/>
        </w:rPr>
        <w:tab/>
      </w:r>
      <w:r w:rsidRPr="00EC6292">
        <w:rPr>
          <w:rFonts w:cs="Arial"/>
          <w:b/>
          <w:szCs w:val="18"/>
        </w:rPr>
        <w:tab/>
        <w:t xml:space="preserve">Typická rizika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4"/>
        <w:gridCol w:w="5982"/>
      </w:tblGrid>
      <w:tr w:rsidR="00831687" w:rsidRPr="00EC6292" w:rsidTr="007D71B8">
        <w:tc>
          <w:tcPr>
            <w:tcW w:w="4224" w:type="dxa"/>
          </w:tcPr>
          <w:p w:rsidR="00831687" w:rsidRPr="00EC6292" w:rsidRDefault="00831687" w:rsidP="007D71B8">
            <w:pPr>
              <w:tabs>
                <w:tab w:val="center" w:pos="4153"/>
                <w:tab w:val="right" w:pos="8306"/>
              </w:tabs>
              <w:rPr>
                <w:rFonts w:cs="Arial"/>
                <w:szCs w:val="18"/>
              </w:rPr>
            </w:pPr>
            <w:r w:rsidRPr="00EC6292">
              <w:rPr>
                <w:rFonts w:cs="Arial"/>
                <w:szCs w:val="18"/>
              </w:rPr>
              <w:t>Akcie</w:t>
            </w:r>
          </w:p>
        </w:tc>
        <w:tc>
          <w:tcPr>
            <w:tcW w:w="5982" w:type="dxa"/>
          </w:tcPr>
          <w:p w:rsidR="00831687" w:rsidRPr="00EC6292" w:rsidRDefault="00831687" w:rsidP="007D71B8">
            <w:pPr>
              <w:tabs>
                <w:tab w:val="center" w:pos="4153"/>
                <w:tab w:val="right" w:pos="8306"/>
              </w:tabs>
              <w:rPr>
                <w:rFonts w:cs="Arial"/>
                <w:szCs w:val="18"/>
              </w:rPr>
            </w:pPr>
            <w:r w:rsidRPr="00EC6292">
              <w:rPr>
                <w:rFonts w:cs="Arial"/>
                <w:szCs w:val="18"/>
              </w:rPr>
              <w:t>akciové riziko a riziko volatility; u akcií v cizí měně i měnové riziko</w:t>
            </w:r>
          </w:p>
        </w:tc>
      </w:tr>
      <w:tr w:rsidR="00831687" w:rsidRPr="00EC6292" w:rsidTr="007D71B8">
        <w:tc>
          <w:tcPr>
            <w:tcW w:w="4224" w:type="dxa"/>
          </w:tcPr>
          <w:p w:rsidR="00831687" w:rsidRPr="00EC6292" w:rsidRDefault="00831687" w:rsidP="007D71B8">
            <w:pPr>
              <w:tabs>
                <w:tab w:val="center" w:pos="4153"/>
                <w:tab w:val="right" w:pos="8306"/>
              </w:tabs>
              <w:rPr>
                <w:rFonts w:cs="Arial"/>
                <w:szCs w:val="18"/>
              </w:rPr>
            </w:pPr>
            <w:r w:rsidRPr="00EC6292">
              <w:rPr>
                <w:rFonts w:cs="Arial"/>
                <w:szCs w:val="18"/>
              </w:rPr>
              <w:t>Cenné papíry derivátové</w:t>
            </w:r>
          </w:p>
        </w:tc>
        <w:tc>
          <w:tcPr>
            <w:tcW w:w="5982" w:type="dxa"/>
          </w:tcPr>
          <w:p w:rsidR="00831687" w:rsidRPr="00EC6292" w:rsidRDefault="00831687" w:rsidP="007D71B8">
            <w:pPr>
              <w:tabs>
                <w:tab w:val="center" w:pos="4153"/>
                <w:tab w:val="right" w:pos="8306"/>
              </w:tabs>
              <w:rPr>
                <w:rFonts w:cs="Arial"/>
                <w:szCs w:val="18"/>
              </w:rPr>
            </w:pPr>
            <w:r w:rsidRPr="00EC6292">
              <w:rPr>
                <w:rFonts w:cs="Arial"/>
                <w:szCs w:val="18"/>
              </w:rPr>
              <w:t xml:space="preserve">kreditní riziko, riziko názvosloví, riziko likvidity a volatility, riziko derivátů; u cenných papírů v cizí měně i měnové riziko </w:t>
            </w:r>
          </w:p>
        </w:tc>
      </w:tr>
      <w:tr w:rsidR="00831687" w:rsidRPr="00EC6292" w:rsidTr="007D71B8">
        <w:tc>
          <w:tcPr>
            <w:tcW w:w="4224" w:type="dxa"/>
          </w:tcPr>
          <w:p w:rsidR="00831687" w:rsidRPr="00EC6292" w:rsidRDefault="00831687" w:rsidP="007D71B8">
            <w:pPr>
              <w:tabs>
                <w:tab w:val="center" w:pos="4153"/>
                <w:tab w:val="right" w:pos="8306"/>
              </w:tabs>
              <w:rPr>
                <w:rFonts w:cs="Arial"/>
                <w:szCs w:val="18"/>
              </w:rPr>
            </w:pPr>
            <w:r w:rsidRPr="00EC6292">
              <w:rPr>
                <w:rFonts w:cs="Arial"/>
                <w:szCs w:val="18"/>
              </w:rPr>
              <w:t xml:space="preserve">Dluhopisy státní </w:t>
            </w:r>
          </w:p>
        </w:tc>
        <w:tc>
          <w:tcPr>
            <w:tcW w:w="5982" w:type="dxa"/>
          </w:tcPr>
          <w:p w:rsidR="00831687" w:rsidRPr="00EC6292" w:rsidRDefault="00831687" w:rsidP="007D71B8">
            <w:pPr>
              <w:tabs>
                <w:tab w:val="center" w:pos="4153"/>
                <w:tab w:val="right" w:pos="8306"/>
              </w:tabs>
              <w:rPr>
                <w:rFonts w:cs="Arial"/>
                <w:szCs w:val="18"/>
              </w:rPr>
            </w:pPr>
            <w:r w:rsidRPr="00EC6292">
              <w:rPr>
                <w:rFonts w:cs="Arial"/>
                <w:szCs w:val="18"/>
              </w:rPr>
              <w:t>kreditní riziko a úrokové riziko; u dluhopisů v cizí měně i měnové riziko</w:t>
            </w:r>
          </w:p>
        </w:tc>
      </w:tr>
      <w:tr w:rsidR="00831687" w:rsidRPr="00EC6292" w:rsidTr="007D71B8">
        <w:tc>
          <w:tcPr>
            <w:tcW w:w="4224" w:type="dxa"/>
          </w:tcPr>
          <w:p w:rsidR="00831687" w:rsidRPr="00EC6292" w:rsidRDefault="00831687" w:rsidP="007D71B8">
            <w:pPr>
              <w:tabs>
                <w:tab w:val="center" w:pos="4153"/>
                <w:tab w:val="right" w:pos="8306"/>
              </w:tabs>
              <w:rPr>
                <w:rFonts w:cs="Arial"/>
                <w:szCs w:val="18"/>
              </w:rPr>
            </w:pPr>
            <w:r w:rsidRPr="00EC6292">
              <w:rPr>
                <w:rFonts w:cs="Arial"/>
                <w:szCs w:val="18"/>
              </w:rPr>
              <w:lastRenderedPageBreak/>
              <w:t xml:space="preserve">Dluhopisy korporátní </w:t>
            </w:r>
          </w:p>
        </w:tc>
        <w:tc>
          <w:tcPr>
            <w:tcW w:w="5982" w:type="dxa"/>
          </w:tcPr>
          <w:p w:rsidR="00831687" w:rsidRPr="00EC6292" w:rsidRDefault="00831687" w:rsidP="007D71B8">
            <w:pPr>
              <w:tabs>
                <w:tab w:val="center" w:pos="4153"/>
                <w:tab w:val="right" w:pos="8306"/>
              </w:tabs>
              <w:rPr>
                <w:rFonts w:cs="Arial"/>
                <w:szCs w:val="18"/>
              </w:rPr>
            </w:pPr>
            <w:r w:rsidRPr="00EC6292">
              <w:rPr>
                <w:rFonts w:cs="Arial"/>
                <w:szCs w:val="18"/>
              </w:rPr>
              <w:t>kreditní riziko a úrokové riziko; u dluhopisů v cizí měně i měnové riziko</w:t>
            </w:r>
          </w:p>
        </w:tc>
      </w:tr>
      <w:tr w:rsidR="00831687" w:rsidRPr="00EC6292" w:rsidTr="007D71B8">
        <w:tc>
          <w:tcPr>
            <w:tcW w:w="4224" w:type="dxa"/>
          </w:tcPr>
          <w:p w:rsidR="00831687" w:rsidRPr="00EC6292" w:rsidRDefault="00831687" w:rsidP="007D71B8">
            <w:pPr>
              <w:tabs>
                <w:tab w:val="center" w:pos="4153"/>
                <w:tab w:val="right" w:pos="8306"/>
              </w:tabs>
              <w:rPr>
                <w:rFonts w:cs="Arial"/>
                <w:szCs w:val="18"/>
              </w:rPr>
            </w:pPr>
            <w:r w:rsidRPr="00EC6292">
              <w:rPr>
                <w:rFonts w:cs="Arial"/>
                <w:szCs w:val="18"/>
              </w:rPr>
              <w:t>Deriváty veřejně obchodované (</w:t>
            </w:r>
            <w:proofErr w:type="spellStart"/>
            <w:r w:rsidRPr="00EC6292">
              <w:rPr>
                <w:rFonts w:cs="Arial"/>
                <w:szCs w:val="18"/>
              </w:rPr>
              <w:t>futures</w:t>
            </w:r>
            <w:proofErr w:type="spellEnd"/>
            <w:r w:rsidRPr="00EC6292">
              <w:rPr>
                <w:rFonts w:cs="Arial"/>
                <w:szCs w:val="18"/>
              </w:rPr>
              <w:t>, opce)</w:t>
            </w:r>
          </w:p>
        </w:tc>
        <w:tc>
          <w:tcPr>
            <w:tcW w:w="5982" w:type="dxa"/>
          </w:tcPr>
          <w:p w:rsidR="00831687" w:rsidRPr="00EC6292" w:rsidRDefault="00831687" w:rsidP="007D71B8">
            <w:pPr>
              <w:tabs>
                <w:tab w:val="center" w:pos="4153"/>
                <w:tab w:val="right" w:pos="8306"/>
              </w:tabs>
              <w:rPr>
                <w:rFonts w:cs="Arial"/>
                <w:szCs w:val="18"/>
              </w:rPr>
            </w:pPr>
            <w:r w:rsidRPr="00EC6292">
              <w:rPr>
                <w:rFonts w:cs="Arial"/>
                <w:szCs w:val="18"/>
              </w:rPr>
              <w:t xml:space="preserve">riziko derivátových investičních nástrojů </w:t>
            </w:r>
          </w:p>
        </w:tc>
      </w:tr>
      <w:tr w:rsidR="00831687" w:rsidRPr="00EC6292" w:rsidTr="007D71B8">
        <w:tc>
          <w:tcPr>
            <w:tcW w:w="4224" w:type="dxa"/>
          </w:tcPr>
          <w:p w:rsidR="00831687" w:rsidRPr="00EC6292" w:rsidRDefault="00831687" w:rsidP="007D71B8">
            <w:pPr>
              <w:tabs>
                <w:tab w:val="center" w:pos="4153"/>
                <w:tab w:val="right" w:pos="8306"/>
              </w:tabs>
              <w:rPr>
                <w:rFonts w:cs="Arial"/>
                <w:szCs w:val="18"/>
              </w:rPr>
            </w:pPr>
            <w:r w:rsidRPr="00EC6292">
              <w:rPr>
                <w:rFonts w:cs="Arial"/>
                <w:szCs w:val="18"/>
              </w:rPr>
              <w:t>Deriváty OTC (forwardy, opce, swapy)</w:t>
            </w:r>
          </w:p>
        </w:tc>
        <w:tc>
          <w:tcPr>
            <w:tcW w:w="5982" w:type="dxa"/>
          </w:tcPr>
          <w:p w:rsidR="00831687" w:rsidRPr="00EC6292" w:rsidRDefault="00831687" w:rsidP="007D71B8">
            <w:pPr>
              <w:tabs>
                <w:tab w:val="center" w:pos="4153"/>
                <w:tab w:val="right" w:pos="8306"/>
              </w:tabs>
              <w:rPr>
                <w:rFonts w:cs="Arial"/>
                <w:szCs w:val="18"/>
              </w:rPr>
            </w:pPr>
            <w:r w:rsidRPr="00EC6292">
              <w:rPr>
                <w:rFonts w:cs="Arial"/>
                <w:szCs w:val="18"/>
              </w:rPr>
              <w:t xml:space="preserve">riziko derivátových investičních nástrojů a kreditní riziko </w:t>
            </w:r>
          </w:p>
        </w:tc>
      </w:tr>
      <w:tr w:rsidR="00831687" w:rsidRPr="00EC6292" w:rsidTr="007D71B8">
        <w:tc>
          <w:tcPr>
            <w:tcW w:w="4224" w:type="dxa"/>
          </w:tcPr>
          <w:p w:rsidR="00831687" w:rsidRPr="00EC6292" w:rsidRDefault="00831687" w:rsidP="007D71B8">
            <w:pPr>
              <w:tabs>
                <w:tab w:val="center" w:pos="4153"/>
                <w:tab w:val="right" w:pos="8306"/>
              </w:tabs>
              <w:rPr>
                <w:rFonts w:cs="Arial"/>
                <w:szCs w:val="18"/>
              </w:rPr>
            </w:pPr>
            <w:r w:rsidRPr="00EC6292">
              <w:rPr>
                <w:rFonts w:cs="Arial"/>
                <w:szCs w:val="18"/>
              </w:rPr>
              <w:t>Fondy peněžního trhu a krátkodobých dluhopisů</w:t>
            </w:r>
          </w:p>
        </w:tc>
        <w:tc>
          <w:tcPr>
            <w:tcW w:w="5982" w:type="dxa"/>
          </w:tcPr>
          <w:p w:rsidR="00831687" w:rsidRPr="00EC6292" w:rsidRDefault="00831687" w:rsidP="007D71B8">
            <w:pPr>
              <w:tabs>
                <w:tab w:val="center" w:pos="4153"/>
                <w:tab w:val="right" w:pos="8306"/>
              </w:tabs>
              <w:rPr>
                <w:rFonts w:cs="Arial"/>
                <w:szCs w:val="18"/>
              </w:rPr>
            </w:pPr>
            <w:r w:rsidRPr="00EC6292">
              <w:rPr>
                <w:rFonts w:cs="Arial"/>
                <w:szCs w:val="18"/>
              </w:rPr>
              <w:t>úrokové riziko</w:t>
            </w:r>
          </w:p>
        </w:tc>
      </w:tr>
      <w:tr w:rsidR="00831687" w:rsidRPr="00EC6292" w:rsidTr="007D71B8">
        <w:tc>
          <w:tcPr>
            <w:tcW w:w="4224" w:type="dxa"/>
          </w:tcPr>
          <w:p w:rsidR="00831687" w:rsidRPr="00EC6292" w:rsidRDefault="00831687" w:rsidP="007D71B8">
            <w:pPr>
              <w:tabs>
                <w:tab w:val="center" w:pos="4153"/>
                <w:tab w:val="right" w:pos="8306"/>
              </w:tabs>
              <w:rPr>
                <w:rFonts w:cs="Arial"/>
                <w:szCs w:val="18"/>
              </w:rPr>
            </w:pPr>
            <w:r w:rsidRPr="00EC6292">
              <w:rPr>
                <w:rFonts w:cs="Arial"/>
                <w:szCs w:val="18"/>
              </w:rPr>
              <w:t>Fondy dluhopisové</w:t>
            </w:r>
          </w:p>
        </w:tc>
        <w:tc>
          <w:tcPr>
            <w:tcW w:w="5982" w:type="dxa"/>
          </w:tcPr>
          <w:p w:rsidR="00831687" w:rsidRPr="00EC6292" w:rsidRDefault="00831687" w:rsidP="007D71B8">
            <w:pPr>
              <w:tabs>
                <w:tab w:val="center" w:pos="4153"/>
                <w:tab w:val="right" w:pos="8306"/>
              </w:tabs>
              <w:rPr>
                <w:rFonts w:cs="Arial"/>
                <w:szCs w:val="18"/>
              </w:rPr>
            </w:pPr>
            <w:r w:rsidRPr="00EC6292">
              <w:rPr>
                <w:rFonts w:cs="Arial"/>
                <w:szCs w:val="18"/>
              </w:rPr>
              <w:t>kreditní riziko a úrokové riziko</w:t>
            </w:r>
          </w:p>
        </w:tc>
      </w:tr>
      <w:tr w:rsidR="00831687" w:rsidRPr="00EC6292" w:rsidTr="007D71B8">
        <w:tc>
          <w:tcPr>
            <w:tcW w:w="4224" w:type="dxa"/>
          </w:tcPr>
          <w:p w:rsidR="00831687" w:rsidRPr="00EC6292" w:rsidRDefault="00831687" w:rsidP="007D71B8">
            <w:pPr>
              <w:tabs>
                <w:tab w:val="center" w:pos="4153"/>
                <w:tab w:val="right" w:pos="8306"/>
              </w:tabs>
              <w:rPr>
                <w:rFonts w:cs="Arial"/>
                <w:szCs w:val="18"/>
              </w:rPr>
            </w:pPr>
            <w:r w:rsidRPr="00EC6292">
              <w:rPr>
                <w:rFonts w:cs="Arial"/>
                <w:szCs w:val="18"/>
              </w:rPr>
              <w:t>Fondy smíšené</w:t>
            </w:r>
          </w:p>
        </w:tc>
        <w:tc>
          <w:tcPr>
            <w:tcW w:w="5982" w:type="dxa"/>
          </w:tcPr>
          <w:p w:rsidR="00831687" w:rsidRPr="00EC6292" w:rsidRDefault="00831687" w:rsidP="007D71B8">
            <w:pPr>
              <w:tabs>
                <w:tab w:val="center" w:pos="4153"/>
                <w:tab w:val="right" w:pos="8306"/>
              </w:tabs>
              <w:rPr>
                <w:rFonts w:cs="Arial"/>
                <w:szCs w:val="18"/>
              </w:rPr>
            </w:pPr>
            <w:r w:rsidRPr="00EC6292">
              <w:rPr>
                <w:rFonts w:cs="Arial"/>
                <w:szCs w:val="18"/>
              </w:rPr>
              <w:t>kreditní riziko, úrokové riziko a akciové riziko</w:t>
            </w:r>
          </w:p>
        </w:tc>
      </w:tr>
      <w:tr w:rsidR="00831687" w:rsidRPr="00EC6292" w:rsidTr="007D71B8">
        <w:tc>
          <w:tcPr>
            <w:tcW w:w="4224" w:type="dxa"/>
          </w:tcPr>
          <w:p w:rsidR="00831687" w:rsidRPr="00EC6292" w:rsidRDefault="00831687" w:rsidP="007D71B8">
            <w:pPr>
              <w:tabs>
                <w:tab w:val="center" w:pos="4153"/>
                <w:tab w:val="right" w:pos="8306"/>
              </w:tabs>
              <w:rPr>
                <w:rFonts w:cs="Arial"/>
                <w:szCs w:val="18"/>
              </w:rPr>
            </w:pPr>
            <w:r w:rsidRPr="00EC6292">
              <w:rPr>
                <w:rFonts w:cs="Arial"/>
                <w:szCs w:val="18"/>
              </w:rPr>
              <w:t>Fondy akciové</w:t>
            </w:r>
          </w:p>
        </w:tc>
        <w:tc>
          <w:tcPr>
            <w:tcW w:w="5982" w:type="dxa"/>
          </w:tcPr>
          <w:p w:rsidR="00831687" w:rsidRPr="00EC6292" w:rsidRDefault="00831687" w:rsidP="007D71B8">
            <w:pPr>
              <w:tabs>
                <w:tab w:val="center" w:pos="4153"/>
                <w:tab w:val="right" w:pos="8306"/>
              </w:tabs>
              <w:rPr>
                <w:rFonts w:cs="Arial"/>
                <w:szCs w:val="18"/>
              </w:rPr>
            </w:pPr>
            <w:r w:rsidRPr="00EC6292">
              <w:rPr>
                <w:rFonts w:cs="Arial"/>
                <w:szCs w:val="18"/>
              </w:rPr>
              <w:t>kreditní riziko, úrokové riziko, akciové riziko a riziko volatility</w:t>
            </w:r>
          </w:p>
        </w:tc>
      </w:tr>
      <w:tr w:rsidR="00831687" w:rsidRPr="00EC6292" w:rsidTr="007D71B8">
        <w:tc>
          <w:tcPr>
            <w:tcW w:w="4224" w:type="dxa"/>
          </w:tcPr>
          <w:p w:rsidR="00831687" w:rsidRPr="00EC6292" w:rsidRDefault="00831687" w:rsidP="007D71B8">
            <w:pPr>
              <w:tabs>
                <w:tab w:val="center" w:pos="4153"/>
                <w:tab w:val="right" w:pos="8306"/>
              </w:tabs>
              <w:rPr>
                <w:rFonts w:cs="Arial"/>
                <w:szCs w:val="18"/>
              </w:rPr>
            </w:pPr>
            <w:r w:rsidRPr="00EC6292">
              <w:rPr>
                <w:rFonts w:cs="Arial"/>
                <w:szCs w:val="18"/>
              </w:rPr>
              <w:t>Fondy v cizí měně</w:t>
            </w:r>
          </w:p>
        </w:tc>
        <w:tc>
          <w:tcPr>
            <w:tcW w:w="5982" w:type="dxa"/>
          </w:tcPr>
          <w:p w:rsidR="00831687" w:rsidRPr="00EC6292" w:rsidRDefault="00831687" w:rsidP="007D71B8">
            <w:pPr>
              <w:tabs>
                <w:tab w:val="center" w:pos="4153"/>
                <w:tab w:val="right" w:pos="8306"/>
              </w:tabs>
              <w:rPr>
                <w:rFonts w:cs="Arial"/>
                <w:szCs w:val="18"/>
              </w:rPr>
            </w:pPr>
            <w:r w:rsidRPr="00EC6292">
              <w:rPr>
                <w:rFonts w:cs="Arial"/>
                <w:szCs w:val="18"/>
              </w:rPr>
              <w:t>výše uvedená rizika dle typu fondu a měnové riziko</w:t>
            </w:r>
          </w:p>
        </w:tc>
      </w:tr>
      <w:tr w:rsidR="00831687" w:rsidRPr="00EC6292" w:rsidTr="007D71B8">
        <w:tc>
          <w:tcPr>
            <w:tcW w:w="4224" w:type="dxa"/>
          </w:tcPr>
          <w:p w:rsidR="00831687" w:rsidRPr="00EC6292" w:rsidRDefault="00831687" w:rsidP="007D71B8">
            <w:pPr>
              <w:tabs>
                <w:tab w:val="center" w:pos="4153"/>
                <w:tab w:val="right" w:pos="8306"/>
              </w:tabs>
              <w:rPr>
                <w:rFonts w:cs="Arial"/>
                <w:szCs w:val="18"/>
              </w:rPr>
            </w:pPr>
            <w:r w:rsidRPr="00EC6292">
              <w:rPr>
                <w:rFonts w:cs="Arial"/>
                <w:szCs w:val="18"/>
              </w:rPr>
              <w:t>Fondy speciální (např. nemovitostní, komoditní)</w:t>
            </w:r>
          </w:p>
        </w:tc>
        <w:tc>
          <w:tcPr>
            <w:tcW w:w="5982" w:type="dxa"/>
          </w:tcPr>
          <w:p w:rsidR="00831687" w:rsidRPr="00EC6292" w:rsidRDefault="00831687" w:rsidP="007D71B8">
            <w:pPr>
              <w:tabs>
                <w:tab w:val="center" w:pos="4153"/>
                <w:tab w:val="right" w:pos="8306"/>
              </w:tabs>
              <w:rPr>
                <w:rFonts w:cs="Arial"/>
                <w:szCs w:val="18"/>
              </w:rPr>
            </w:pPr>
            <w:r w:rsidRPr="00EC6292">
              <w:rPr>
                <w:rFonts w:cs="Arial"/>
                <w:szCs w:val="18"/>
              </w:rPr>
              <w:t>tržní riziko dle investičního portfolia</w:t>
            </w:r>
          </w:p>
        </w:tc>
      </w:tr>
      <w:tr w:rsidR="00831687" w:rsidRPr="00EC6292" w:rsidTr="007D71B8">
        <w:tc>
          <w:tcPr>
            <w:tcW w:w="4224" w:type="dxa"/>
          </w:tcPr>
          <w:p w:rsidR="00831687" w:rsidRPr="00EC6292" w:rsidRDefault="00831687" w:rsidP="007D71B8">
            <w:pPr>
              <w:tabs>
                <w:tab w:val="center" w:pos="4153"/>
                <w:tab w:val="right" w:pos="8306"/>
              </w:tabs>
              <w:rPr>
                <w:rFonts w:cs="Arial"/>
                <w:szCs w:val="18"/>
              </w:rPr>
            </w:pPr>
            <w:r w:rsidRPr="00EC6292">
              <w:rPr>
                <w:rFonts w:cs="Arial"/>
                <w:szCs w:val="18"/>
              </w:rPr>
              <w:t xml:space="preserve">Fondy </w:t>
            </w:r>
            <w:proofErr w:type="spellStart"/>
            <w:r w:rsidRPr="00EC6292">
              <w:rPr>
                <w:rFonts w:cs="Arial"/>
                <w:szCs w:val="18"/>
              </w:rPr>
              <w:t>hedge</w:t>
            </w:r>
            <w:proofErr w:type="spellEnd"/>
          </w:p>
        </w:tc>
        <w:tc>
          <w:tcPr>
            <w:tcW w:w="5982" w:type="dxa"/>
          </w:tcPr>
          <w:p w:rsidR="00831687" w:rsidRPr="00EC6292" w:rsidRDefault="00831687" w:rsidP="007D71B8">
            <w:pPr>
              <w:tabs>
                <w:tab w:val="center" w:pos="4153"/>
                <w:tab w:val="right" w:pos="8306"/>
              </w:tabs>
              <w:rPr>
                <w:rFonts w:cs="Arial"/>
                <w:szCs w:val="18"/>
              </w:rPr>
            </w:pPr>
            <w:r w:rsidRPr="00EC6292">
              <w:rPr>
                <w:rFonts w:cs="Arial"/>
                <w:szCs w:val="18"/>
              </w:rPr>
              <w:t xml:space="preserve">riziko derivátových investičních nástrojů </w:t>
            </w:r>
          </w:p>
        </w:tc>
      </w:tr>
      <w:tr w:rsidR="00831687" w:rsidRPr="00EC6292" w:rsidTr="007D71B8">
        <w:tc>
          <w:tcPr>
            <w:tcW w:w="4224" w:type="dxa"/>
          </w:tcPr>
          <w:p w:rsidR="00831687" w:rsidRPr="00EC6292" w:rsidRDefault="00831687" w:rsidP="007D71B8">
            <w:pPr>
              <w:tabs>
                <w:tab w:val="center" w:pos="4153"/>
                <w:tab w:val="right" w:pos="8306"/>
              </w:tabs>
              <w:rPr>
                <w:rFonts w:cs="Arial"/>
                <w:szCs w:val="18"/>
              </w:rPr>
            </w:pPr>
            <w:r w:rsidRPr="00EC6292">
              <w:rPr>
                <w:rFonts w:cs="Arial"/>
                <w:szCs w:val="18"/>
              </w:rPr>
              <w:t>Strukturované vklady</w:t>
            </w:r>
          </w:p>
        </w:tc>
        <w:tc>
          <w:tcPr>
            <w:tcW w:w="5982" w:type="dxa"/>
          </w:tcPr>
          <w:p w:rsidR="00831687" w:rsidRPr="00EC6292" w:rsidRDefault="00831687" w:rsidP="007D71B8">
            <w:pPr>
              <w:tabs>
                <w:tab w:val="center" w:pos="4153"/>
                <w:tab w:val="right" w:pos="8306"/>
              </w:tabs>
              <w:rPr>
                <w:rFonts w:cs="Arial"/>
                <w:szCs w:val="18"/>
              </w:rPr>
            </w:pPr>
            <w:r w:rsidRPr="00EC6292">
              <w:rPr>
                <w:rFonts w:cs="Arial"/>
                <w:szCs w:val="18"/>
              </w:rPr>
              <w:t>omezené kreditní riziko (vklad je pojištěn do zákonem stanovené výše)</w:t>
            </w:r>
            <w:r>
              <w:rPr>
                <w:rFonts w:cs="Arial"/>
                <w:szCs w:val="18"/>
              </w:rPr>
              <w:t>,</w:t>
            </w:r>
            <w:r w:rsidRPr="00EC6292">
              <w:rPr>
                <w:rFonts w:cs="Arial"/>
                <w:szCs w:val="18"/>
              </w:rPr>
              <w:t xml:space="preserve"> tržní riziko (týká se pouze výnosu)</w:t>
            </w:r>
            <w:r>
              <w:rPr>
                <w:rFonts w:cs="Arial"/>
                <w:szCs w:val="18"/>
              </w:rPr>
              <w:t>, případně měnové riziko</w:t>
            </w:r>
            <w:r w:rsidRPr="00EC6292">
              <w:rPr>
                <w:rFonts w:cs="Arial"/>
                <w:szCs w:val="18"/>
              </w:rPr>
              <w:t xml:space="preserve"> </w:t>
            </w:r>
          </w:p>
        </w:tc>
      </w:tr>
    </w:tbl>
    <w:p w:rsidR="00831687" w:rsidRPr="00EC6292" w:rsidRDefault="00831687" w:rsidP="00831687">
      <w:pPr>
        <w:pStyle w:val="Standard"/>
        <w:spacing w:after="0"/>
        <w:ind w:left="426" w:hanging="426"/>
        <w:jc w:val="both"/>
        <w:rPr>
          <w:rFonts w:ascii="Arial" w:hAnsi="Arial" w:cs="Arial"/>
          <w:sz w:val="18"/>
          <w:szCs w:val="18"/>
          <w:lang w:val="cs-CZ"/>
        </w:rPr>
      </w:pPr>
    </w:p>
    <w:p w:rsidR="00831687" w:rsidRPr="00EC6292" w:rsidRDefault="00831687" w:rsidP="00831687">
      <w:pPr>
        <w:pStyle w:val="Standard"/>
        <w:spacing w:after="0"/>
        <w:jc w:val="center"/>
        <w:rPr>
          <w:rFonts w:ascii="Arial" w:hAnsi="Arial" w:cs="Arial"/>
          <w:b/>
          <w:sz w:val="18"/>
          <w:szCs w:val="18"/>
          <w:lang w:val="cs-CZ"/>
        </w:rPr>
      </w:pPr>
      <w:r w:rsidRPr="00EC6292">
        <w:rPr>
          <w:rFonts w:ascii="Arial" w:hAnsi="Arial" w:cs="Arial"/>
          <w:b/>
          <w:sz w:val="18"/>
          <w:szCs w:val="18"/>
          <w:lang w:val="cs-CZ"/>
        </w:rPr>
        <w:t xml:space="preserve">Ochrana majetku zákazníka </w:t>
      </w:r>
    </w:p>
    <w:p w:rsidR="00831687" w:rsidRPr="00EC6292" w:rsidRDefault="00831687" w:rsidP="00831687">
      <w:pPr>
        <w:pStyle w:val="Standard"/>
        <w:spacing w:after="0"/>
        <w:ind w:left="426" w:hanging="426"/>
        <w:jc w:val="both"/>
        <w:rPr>
          <w:rFonts w:ascii="Arial" w:hAnsi="Arial" w:cs="Arial"/>
          <w:sz w:val="18"/>
          <w:szCs w:val="18"/>
          <w:lang w:val="cs-CZ"/>
        </w:rPr>
      </w:pPr>
    </w:p>
    <w:p w:rsidR="00831687" w:rsidRPr="00EC6292" w:rsidRDefault="00831687" w:rsidP="00831687">
      <w:pPr>
        <w:jc w:val="both"/>
        <w:rPr>
          <w:rFonts w:cs="Arial"/>
          <w:szCs w:val="18"/>
        </w:rPr>
      </w:pPr>
      <w:r w:rsidRPr="00EC6292">
        <w:rPr>
          <w:rFonts w:cs="Arial"/>
          <w:szCs w:val="18"/>
        </w:rPr>
        <w:t xml:space="preserve">Pohledávky zákazníka vůči bance z peněžního účtu používaného k obchodům s investičními nástroji, stejně jako pohledávky ze smlouvy o prémiovém vkladu jsou, za podmínek a v rozsahu stanoveném zákonem o bankách, pojištěny v rámci systému pojištění pohledávek z vkladů, který provozuje Fond pojištění vkladů. Investiční nástroje držené bankou pro zákazníka jsou za podmínek a v rozsahu stanovených zákonem o podnikání na kapitálovém trhu chráněny záručním systémem, který provozuje Garanční fond obchodníků s cennými papíry. </w:t>
      </w:r>
    </w:p>
    <w:p w:rsidR="00831687" w:rsidRPr="00EC6292" w:rsidRDefault="00831687" w:rsidP="00831687">
      <w:pPr>
        <w:jc w:val="both"/>
        <w:rPr>
          <w:rFonts w:cs="Arial"/>
          <w:szCs w:val="18"/>
        </w:rPr>
      </w:pPr>
    </w:p>
    <w:p w:rsidR="00831687" w:rsidRPr="00EC6292" w:rsidRDefault="00831687" w:rsidP="00831687">
      <w:pPr>
        <w:jc w:val="both"/>
        <w:rPr>
          <w:rFonts w:cs="Arial"/>
          <w:szCs w:val="18"/>
        </w:rPr>
      </w:pPr>
      <w:r w:rsidRPr="00EC6292">
        <w:rPr>
          <w:rFonts w:cs="Arial"/>
          <w:szCs w:val="18"/>
        </w:rPr>
        <w:t>Investiční nástroje koupené v ČR jsou uloženy nebo evidovány v ČR v příslušné evidenci investičních nástrojů podle českého práva. Investiční nástroje koupené v zahraničí jsou uloženy u zahraničních depozitářů cenných papírů. Banka vybírá depozitáře cenných papírů s veškerou odbornou péčí a pouze z okruhu renomovaných bank působících na příslušném trhu. Banka odpovídá za porušení odborné péče při výběru depozitáře cenných papírů, ale neodpovídá za porušení právních povinností depozitáře, ani za jeho případný úpadek.</w:t>
      </w:r>
    </w:p>
    <w:p w:rsidR="00831687" w:rsidRPr="00EC6292" w:rsidRDefault="00831687" w:rsidP="00831687">
      <w:pPr>
        <w:jc w:val="both"/>
        <w:rPr>
          <w:rFonts w:cs="Arial"/>
          <w:szCs w:val="18"/>
        </w:rPr>
      </w:pPr>
    </w:p>
    <w:p w:rsidR="00831687" w:rsidRPr="00EC6292" w:rsidRDefault="00831687" w:rsidP="00831687">
      <w:pPr>
        <w:jc w:val="both"/>
        <w:rPr>
          <w:rFonts w:cs="Arial"/>
          <w:szCs w:val="18"/>
        </w:rPr>
      </w:pPr>
      <w:r w:rsidRPr="00EC6292">
        <w:rPr>
          <w:rFonts w:cs="Arial"/>
          <w:szCs w:val="18"/>
        </w:rPr>
        <w:t>Investiční nástroje zákazníka jsou drženy na účtech u stejných depozitářů cenných papírů jako vlastní investiční nástroje banky. Obvykle jsou evidovány na zákaznických sběrných účtech otevřených bankou na její jméno, ale vždy jsou při tom investiční nástroje banky a zákazníka striktně odděleny. Každý zákazník má právo na podíl z investičních nástrojů držených v zahraničí na sběrném účtu, který odpovídá počtu investičních nástrojů držených pro zákazníka bankou, a to za podmínek vyplývajících z právního řádu, kterým se řídí dané investiční nástroje a sběrný účet.</w:t>
      </w:r>
    </w:p>
    <w:p w:rsidR="00831687" w:rsidRPr="00EC6292" w:rsidRDefault="00831687" w:rsidP="00831687">
      <w:pPr>
        <w:jc w:val="both"/>
        <w:rPr>
          <w:rFonts w:cs="Arial"/>
          <w:szCs w:val="18"/>
        </w:rPr>
      </w:pPr>
    </w:p>
    <w:p w:rsidR="00831687" w:rsidRPr="00EC6292" w:rsidRDefault="00831687" w:rsidP="00831687">
      <w:pPr>
        <w:jc w:val="both"/>
        <w:rPr>
          <w:rFonts w:cs="Arial"/>
          <w:szCs w:val="18"/>
        </w:rPr>
      </w:pPr>
      <w:r w:rsidRPr="00EC6292">
        <w:rPr>
          <w:rFonts w:cs="Arial"/>
          <w:szCs w:val="18"/>
        </w:rPr>
        <w:t>Na investiční nástroje se vztahuje příslušné zahraniční právo a obchodní zvyklosti. Proto práva zákazníka k investičním nástrojům drženým v zahraničí mohou lišit. Někteří depozitáři cenných papírů mohou mít k jimi drženým investičním nástrojům zástavní nebo obdobné právo k zajištění svých pohledávek vůči svým zákazníkům. Zahraniční právní řády obvykle poskytují investorům ochranu v případě úpadku depozitáře cenných papírů tím, že investiční nástroje držené depozitářem cenných papírů se nestanou součástí majetkové podstaty úpadce. Pokud ale zahraniční právní řád neposkytuje investorům dostatečnou právní ochranu nebo pokud depozitář cenných papírů neplní řádně své povinnosti nebo pokud investiční nástroje určitého investora z jakéhokoliv důvodu nejsou identifikovatelné nebo rozlišitelné od majetku depozitáře, který se ocitne v úpadku, existuje riziko, že se investiční nástroje stanou součástí majetkové podstaty úpadce a investor bude muset své pohledávky uplatnit v úpadkovém řízení.</w:t>
      </w:r>
    </w:p>
    <w:p w:rsidR="00831687" w:rsidRPr="00EC6292" w:rsidRDefault="00831687" w:rsidP="00831687">
      <w:pPr>
        <w:jc w:val="both"/>
        <w:rPr>
          <w:rFonts w:cs="Arial"/>
          <w:szCs w:val="18"/>
        </w:rPr>
      </w:pPr>
    </w:p>
    <w:p w:rsidR="00831687" w:rsidRPr="00EC6292" w:rsidRDefault="00831687" w:rsidP="00831687">
      <w:pPr>
        <w:jc w:val="both"/>
        <w:rPr>
          <w:rFonts w:cs="Arial"/>
          <w:szCs w:val="18"/>
        </w:rPr>
      </w:pPr>
      <w:r w:rsidRPr="00EC6292">
        <w:rPr>
          <w:rFonts w:cs="Arial"/>
          <w:szCs w:val="18"/>
        </w:rPr>
        <w:t>Bez souhlasu zákazníka banka nepoužije jeho investiční nástroje k obchodům na vlastní účet banky nebo k obchodům na účet jiného zákazníka. V případě použití investičních nástrojů zákazníka k takovýmto obchodům bude banka informovat zákazníka o svých povinnostech vyplývajících z právních předpisů.</w:t>
      </w:r>
    </w:p>
    <w:p w:rsidR="00831687" w:rsidRPr="00EC6292" w:rsidRDefault="00831687" w:rsidP="00831687">
      <w:pPr>
        <w:jc w:val="center"/>
        <w:rPr>
          <w:rFonts w:cs="Arial"/>
          <w:b/>
          <w:szCs w:val="18"/>
        </w:rPr>
      </w:pPr>
    </w:p>
    <w:p w:rsidR="00831687" w:rsidRPr="00EC6292" w:rsidRDefault="00831687" w:rsidP="00831687">
      <w:pPr>
        <w:jc w:val="center"/>
        <w:rPr>
          <w:rFonts w:cs="Arial"/>
          <w:b/>
          <w:szCs w:val="18"/>
        </w:rPr>
      </w:pPr>
      <w:r w:rsidRPr="00EC6292">
        <w:rPr>
          <w:rFonts w:cs="Arial"/>
          <w:b/>
          <w:szCs w:val="18"/>
        </w:rPr>
        <w:t>Finanční zajištění</w:t>
      </w:r>
    </w:p>
    <w:p w:rsidR="00831687" w:rsidRPr="00EC6292" w:rsidRDefault="00831687" w:rsidP="00831687">
      <w:pPr>
        <w:jc w:val="both"/>
        <w:rPr>
          <w:rFonts w:cs="Arial"/>
          <w:szCs w:val="18"/>
        </w:rPr>
      </w:pPr>
    </w:p>
    <w:p w:rsidR="00831687" w:rsidRPr="00EC6292" w:rsidRDefault="00831687" w:rsidP="00831687">
      <w:pPr>
        <w:jc w:val="both"/>
        <w:rPr>
          <w:rFonts w:cs="Arial"/>
          <w:szCs w:val="18"/>
        </w:rPr>
      </w:pPr>
      <w:r w:rsidRPr="00EC6292">
        <w:rPr>
          <w:rFonts w:cs="Arial"/>
          <w:szCs w:val="18"/>
        </w:rPr>
        <w:t xml:space="preserve">Pokud je v souvislosti s určitými obchody sjednáno poskytování finančního zajištění v investičních nástrojích, pak je poskytnutím takového finančního zajištění zákazníkem na banku převedeno vlastnické právo k příslušným investičním nástrojům a zároveň vzniká závazek banky převést tyto investiční nástroje zpět na zákazníka při splnění podmínek stanovených v dohodě o poskytování finančního zajištění. Banka upozorňuje, že toto může mít důsledky v oblasti daní. Zákazník také není oprávněn po dobu držení investičních nástrojů bankou vykonávat žádná práva s nimi spojená a banka není povinna informovat zákazníka o korporátních nebo obdobných událostech ve vztahu k těmto investičním nástrojům. </w:t>
      </w:r>
    </w:p>
    <w:p w:rsidR="00831687" w:rsidRPr="00EC6292" w:rsidRDefault="00831687" w:rsidP="00831687">
      <w:pPr>
        <w:jc w:val="both"/>
        <w:rPr>
          <w:rFonts w:cs="Arial"/>
          <w:szCs w:val="18"/>
        </w:rPr>
      </w:pPr>
    </w:p>
    <w:p w:rsidR="00831687" w:rsidRPr="00EC6292" w:rsidRDefault="00831687" w:rsidP="00831687">
      <w:pPr>
        <w:jc w:val="both"/>
        <w:rPr>
          <w:rFonts w:cs="Arial"/>
          <w:szCs w:val="18"/>
        </w:rPr>
      </w:pPr>
      <w:r w:rsidRPr="00EC6292">
        <w:rPr>
          <w:rFonts w:cs="Arial"/>
          <w:szCs w:val="18"/>
        </w:rPr>
        <w:t xml:space="preserve">Na investiční nástroje držené bankou jako finanční zajištění se nevztahují pravidla ochrany majetku zákazníka a v případě úpadku banky tak může dojít k tomu, že pohledávka zákazníka na vydání investičních nástrojů (nebo odpovídající hodnoty) nebude uspokojena v celém rozsahu. Na rozsah uspokojení pak mohou mít dopad i kroky České národní banky jako příslušného orgánu dle předpisů upravujících ozdravné postupy a řešení krize úvěrových institucí. Výše ztráty v případě úpadku banky může být snížena započtením vzájemných pohledávek na základě ujednání o závěrečném vyrovnání, které je uznatelné i v případě úpadku a to v závislosti na výše uvedených předpisech. Pokud banka v rozporu s dohodou o poskytování finančního zajištění nepřevede držené investiční nástroje zpět na zákazníka (ať už z důvodu úpadku či jiného pochybení), může nastat situace, kdy v důsledku toho zákazník nebude schopen dostát svým závazkům plynoucím z jiných obchodů s těmito investičními nástroji. </w:t>
      </w:r>
    </w:p>
    <w:p w:rsidR="00831687" w:rsidRPr="00EC6292" w:rsidRDefault="00831687" w:rsidP="00831687">
      <w:pPr>
        <w:jc w:val="both"/>
        <w:rPr>
          <w:rFonts w:cs="Arial"/>
          <w:szCs w:val="18"/>
        </w:rPr>
      </w:pPr>
    </w:p>
    <w:p w:rsidR="00831687" w:rsidRPr="00EC6292" w:rsidRDefault="00831687" w:rsidP="00831687">
      <w:pPr>
        <w:jc w:val="both"/>
        <w:rPr>
          <w:rFonts w:cs="Arial"/>
          <w:szCs w:val="18"/>
        </w:rPr>
      </w:pPr>
      <w:r w:rsidRPr="00EC6292">
        <w:rPr>
          <w:rFonts w:cs="Arial"/>
          <w:szCs w:val="18"/>
        </w:rPr>
        <w:t xml:space="preserve">Banka neuzavře s neprofesionálními zákazníky dohody o finančním zajištění s převedením vlastnického práva za účelem zajištění nebo krytí závazků neprofesionálních zákazníků. </w:t>
      </w:r>
    </w:p>
    <w:p w:rsidR="00831687" w:rsidRPr="00EC6292" w:rsidRDefault="00831687" w:rsidP="00831687">
      <w:pPr>
        <w:jc w:val="center"/>
        <w:rPr>
          <w:rFonts w:cs="Arial"/>
          <w:b/>
          <w:szCs w:val="18"/>
        </w:rPr>
      </w:pPr>
    </w:p>
    <w:p w:rsidR="00831687" w:rsidRPr="00EC6292" w:rsidRDefault="00831687" w:rsidP="00831687">
      <w:pPr>
        <w:jc w:val="center"/>
        <w:rPr>
          <w:rFonts w:cs="Arial"/>
          <w:b/>
          <w:szCs w:val="18"/>
        </w:rPr>
      </w:pPr>
      <w:r w:rsidRPr="00EC6292">
        <w:rPr>
          <w:rFonts w:cs="Arial"/>
          <w:b/>
          <w:szCs w:val="18"/>
        </w:rPr>
        <w:t>Pravidla provádění pokynů</w:t>
      </w:r>
    </w:p>
    <w:p w:rsidR="00831687" w:rsidRPr="00EC6292" w:rsidRDefault="00831687" w:rsidP="00831687">
      <w:pPr>
        <w:pStyle w:val="Standard"/>
        <w:spacing w:after="0"/>
        <w:jc w:val="both"/>
        <w:rPr>
          <w:rFonts w:ascii="Arial" w:hAnsi="Arial" w:cs="Arial"/>
          <w:sz w:val="18"/>
          <w:szCs w:val="18"/>
          <w:lang w:val="cs-CZ"/>
        </w:rPr>
      </w:pPr>
    </w:p>
    <w:p w:rsidR="00831687" w:rsidRPr="00EC6292" w:rsidRDefault="00831687" w:rsidP="00831687">
      <w:pPr>
        <w:jc w:val="both"/>
        <w:rPr>
          <w:rFonts w:cs="Arial"/>
          <w:szCs w:val="18"/>
        </w:rPr>
      </w:pPr>
      <w:r w:rsidRPr="00EC6292">
        <w:rPr>
          <w:rFonts w:cs="Arial"/>
          <w:szCs w:val="18"/>
        </w:rPr>
        <w:t>Banka vypracovala pravidla a postupy pro provádění pokynů při obchodování s investičními nástroji, jejichž cílem je dosažení nejlepších možných výsledků vzhledem k podmínkám na trhu. Mezi jejich hlavní zásady patří:</w:t>
      </w:r>
    </w:p>
    <w:p w:rsidR="00831687" w:rsidRPr="00EC6292" w:rsidRDefault="00831687" w:rsidP="00831687">
      <w:pPr>
        <w:numPr>
          <w:ilvl w:val="0"/>
          <w:numId w:val="22"/>
        </w:numPr>
        <w:tabs>
          <w:tab w:val="num" w:pos="-840"/>
        </w:tabs>
        <w:overflowPunct w:val="0"/>
        <w:autoSpaceDE w:val="0"/>
        <w:autoSpaceDN w:val="0"/>
        <w:adjustRightInd w:val="0"/>
        <w:spacing w:before="60"/>
        <w:ind w:left="284" w:hanging="284"/>
        <w:jc w:val="both"/>
        <w:textAlignment w:val="baseline"/>
        <w:rPr>
          <w:rFonts w:cs="Arial"/>
          <w:color w:val="221E25"/>
          <w:szCs w:val="18"/>
        </w:rPr>
      </w:pPr>
      <w:r w:rsidRPr="00EC6292">
        <w:rPr>
          <w:rFonts w:cs="Arial"/>
          <w:color w:val="221E25"/>
          <w:szCs w:val="18"/>
        </w:rPr>
        <w:t>Důsledná kontrola dodržování podrobných postupů pro zpracování pokynů k nákupu nebo prodeji investičních nástrojů v závislosti na kategorii zákazníka, typu distribučního kanálu, typu investičního nástroje a dalších faktorech.</w:t>
      </w:r>
    </w:p>
    <w:p w:rsidR="00831687" w:rsidRPr="00EC6292" w:rsidRDefault="00831687" w:rsidP="00831687">
      <w:pPr>
        <w:numPr>
          <w:ilvl w:val="0"/>
          <w:numId w:val="22"/>
        </w:numPr>
        <w:tabs>
          <w:tab w:val="num" w:pos="-840"/>
        </w:tabs>
        <w:overflowPunct w:val="0"/>
        <w:autoSpaceDE w:val="0"/>
        <w:autoSpaceDN w:val="0"/>
        <w:adjustRightInd w:val="0"/>
        <w:spacing w:before="60"/>
        <w:ind w:left="284" w:hanging="284"/>
        <w:jc w:val="both"/>
        <w:textAlignment w:val="baseline"/>
        <w:rPr>
          <w:rFonts w:cs="Arial"/>
          <w:color w:val="221E25"/>
          <w:szCs w:val="18"/>
        </w:rPr>
      </w:pPr>
      <w:r w:rsidRPr="00EC6292">
        <w:rPr>
          <w:rFonts w:cs="Arial"/>
          <w:color w:val="221E25"/>
          <w:szCs w:val="18"/>
        </w:rPr>
        <w:t>Pokyny k nákupu nebo prodeji jsou bankou prováděny v obchodních systémech nebo mimo tato převodní místa, přičemž volba mezi těmito místy je dána pravidly provádění pokynů nebo je ovlivněna podmínkami, které zákazník pro realizaci pokynu stanoví.</w:t>
      </w:r>
    </w:p>
    <w:p w:rsidR="00831687" w:rsidRPr="00EC6292" w:rsidRDefault="00831687" w:rsidP="00831687">
      <w:pPr>
        <w:numPr>
          <w:ilvl w:val="0"/>
          <w:numId w:val="22"/>
        </w:numPr>
        <w:tabs>
          <w:tab w:val="num" w:pos="-840"/>
        </w:tabs>
        <w:overflowPunct w:val="0"/>
        <w:autoSpaceDE w:val="0"/>
        <w:autoSpaceDN w:val="0"/>
        <w:adjustRightInd w:val="0"/>
        <w:spacing w:before="60"/>
        <w:ind w:left="284" w:hanging="284"/>
        <w:jc w:val="both"/>
        <w:textAlignment w:val="baseline"/>
        <w:rPr>
          <w:rFonts w:cs="Arial"/>
          <w:color w:val="221E25"/>
          <w:szCs w:val="18"/>
        </w:rPr>
      </w:pPr>
      <w:r w:rsidRPr="00EC6292">
        <w:rPr>
          <w:rFonts w:cs="Arial"/>
          <w:color w:val="221E25"/>
          <w:szCs w:val="18"/>
        </w:rPr>
        <w:t>Výběr převodního místa ovlivňuje hlavně cena a celkové náklady na provedení pokynu, dále rychlost a pravděpodobnost provedení pokynu (likvidita trhu), případně další okolnosti jako obchodní hodiny trhů, technické limitace trhů při zadávání pokynů, standardy vypořádání obchodů, atd.</w:t>
      </w:r>
    </w:p>
    <w:p w:rsidR="00831687" w:rsidRPr="00EC6292" w:rsidRDefault="00831687" w:rsidP="00831687">
      <w:pPr>
        <w:numPr>
          <w:ilvl w:val="0"/>
          <w:numId w:val="22"/>
        </w:numPr>
        <w:tabs>
          <w:tab w:val="num" w:pos="-840"/>
        </w:tabs>
        <w:overflowPunct w:val="0"/>
        <w:autoSpaceDE w:val="0"/>
        <w:autoSpaceDN w:val="0"/>
        <w:adjustRightInd w:val="0"/>
        <w:spacing w:before="60"/>
        <w:ind w:left="284" w:hanging="284"/>
        <w:jc w:val="both"/>
        <w:textAlignment w:val="baseline"/>
        <w:rPr>
          <w:rFonts w:cs="Arial"/>
          <w:color w:val="221E25"/>
          <w:szCs w:val="18"/>
        </w:rPr>
      </w:pPr>
      <w:r w:rsidRPr="00EC6292">
        <w:rPr>
          <w:rFonts w:cs="Arial"/>
          <w:color w:val="221E25"/>
          <w:szCs w:val="18"/>
        </w:rPr>
        <w:t>V případě akcií banka provádí pokyn na převodním místě, kde je akcie obchodována. Pokud je obchodována na více místech, banka provádí pokyn na převodním místě s nejvyšší likviditou. Pokud je akcie obchodována na Burze cenných papírů Praha, banka provádí pokyn zásadně zde, protože se jedná o obchodní systém s nejvyšší likviditou v ČR. Pokud je akcie obchodována na převodním místě, na který banka nemá přímý přístup, předává pokyn k provedení finančnímu zprostředkovateli, který provádí pokyny na převodním místě s nejvyšší likviditou.</w:t>
      </w:r>
    </w:p>
    <w:p w:rsidR="00831687" w:rsidRPr="00EC6292" w:rsidRDefault="00831687" w:rsidP="00831687">
      <w:pPr>
        <w:numPr>
          <w:ilvl w:val="0"/>
          <w:numId w:val="22"/>
        </w:numPr>
        <w:tabs>
          <w:tab w:val="num" w:pos="-840"/>
        </w:tabs>
        <w:overflowPunct w:val="0"/>
        <w:autoSpaceDE w:val="0"/>
        <w:autoSpaceDN w:val="0"/>
        <w:adjustRightInd w:val="0"/>
        <w:spacing w:before="60"/>
        <w:ind w:left="284" w:hanging="284"/>
        <w:jc w:val="both"/>
        <w:textAlignment w:val="baseline"/>
        <w:rPr>
          <w:rFonts w:cs="Arial"/>
          <w:color w:val="221E25"/>
          <w:szCs w:val="18"/>
        </w:rPr>
      </w:pPr>
      <w:r w:rsidRPr="00EC6292">
        <w:rPr>
          <w:rFonts w:cs="Arial"/>
          <w:color w:val="221E25"/>
          <w:szCs w:val="18"/>
        </w:rPr>
        <w:t>Pokyny k nákupu nebo prodeji dluhopisů banka obvykle provádí na svůj vlastní účet, a to i v případě, že je daný dluhopis přijatý k obchodování v obchodním systému, protože likvidita ohledně dluhopisů je na těchto trzích obvykle velmi nízká a nelze na nich dosáhnout nejlepších podmínek. Cena každého dluhopisu je v takovém případě stanovena bankou podle aktuální situace na trhu. U některých dluhopisů pokyny k nákupu banka provádí tak, že předmětné dluhopisy koupí od obchodníka s cennými papíry, který je na trhu prodává, a pokyny k prodeji banka provádí tak, že předmětné dluhopisy prodá obchodníkovi s cennými papíry, který je na trhu kupuje.</w:t>
      </w:r>
    </w:p>
    <w:p w:rsidR="00831687" w:rsidRPr="00EC6292" w:rsidRDefault="00831687" w:rsidP="00831687">
      <w:pPr>
        <w:numPr>
          <w:ilvl w:val="0"/>
          <w:numId w:val="22"/>
        </w:numPr>
        <w:tabs>
          <w:tab w:val="num" w:pos="-840"/>
        </w:tabs>
        <w:overflowPunct w:val="0"/>
        <w:autoSpaceDE w:val="0"/>
        <w:autoSpaceDN w:val="0"/>
        <w:adjustRightInd w:val="0"/>
        <w:spacing w:before="60"/>
        <w:ind w:left="284" w:hanging="284"/>
        <w:jc w:val="both"/>
        <w:textAlignment w:val="baseline"/>
        <w:rPr>
          <w:rFonts w:cs="Arial"/>
          <w:color w:val="221E25"/>
          <w:szCs w:val="18"/>
        </w:rPr>
      </w:pPr>
      <w:r w:rsidRPr="00EC6292">
        <w:rPr>
          <w:rFonts w:cs="Arial"/>
          <w:color w:val="221E25"/>
          <w:szCs w:val="18"/>
        </w:rPr>
        <w:t xml:space="preserve">V případě fondů kolektivního investování, se kterými se obchoduje v obchodních systémech (Exchange </w:t>
      </w:r>
      <w:proofErr w:type="spellStart"/>
      <w:r w:rsidRPr="00EC6292">
        <w:rPr>
          <w:rFonts w:cs="Arial"/>
          <w:color w:val="221E25"/>
          <w:szCs w:val="18"/>
        </w:rPr>
        <w:t>Traded</w:t>
      </w:r>
      <w:proofErr w:type="spellEnd"/>
      <w:r w:rsidRPr="00EC6292">
        <w:rPr>
          <w:rFonts w:cs="Arial"/>
          <w:color w:val="221E25"/>
          <w:szCs w:val="18"/>
        </w:rPr>
        <w:t xml:space="preserve"> </w:t>
      </w:r>
      <w:proofErr w:type="spellStart"/>
      <w:r w:rsidRPr="00EC6292">
        <w:rPr>
          <w:rFonts w:cs="Arial"/>
          <w:color w:val="221E25"/>
          <w:szCs w:val="18"/>
        </w:rPr>
        <w:t>Funds</w:t>
      </w:r>
      <w:proofErr w:type="spellEnd"/>
      <w:r w:rsidRPr="00EC6292">
        <w:rPr>
          <w:rFonts w:cs="Arial"/>
          <w:color w:val="221E25"/>
          <w:szCs w:val="18"/>
        </w:rPr>
        <w:t xml:space="preserve"> - ETF), banka předává pokyny k provedení finančnímu zprostředkovateli, který provádí pokyny týkající se daného ETF na převodním místě s nejvyšší likviditou.</w:t>
      </w:r>
    </w:p>
    <w:p w:rsidR="00831687" w:rsidRPr="00EC6292" w:rsidRDefault="00831687" w:rsidP="00831687">
      <w:pPr>
        <w:numPr>
          <w:ilvl w:val="0"/>
          <w:numId w:val="22"/>
        </w:numPr>
        <w:tabs>
          <w:tab w:val="num" w:pos="-840"/>
        </w:tabs>
        <w:overflowPunct w:val="0"/>
        <w:autoSpaceDE w:val="0"/>
        <w:autoSpaceDN w:val="0"/>
        <w:adjustRightInd w:val="0"/>
        <w:spacing w:before="60"/>
        <w:ind w:left="284" w:hanging="284"/>
        <w:jc w:val="both"/>
        <w:textAlignment w:val="baseline"/>
        <w:rPr>
          <w:rFonts w:cs="Arial"/>
          <w:color w:val="221E25"/>
          <w:szCs w:val="18"/>
        </w:rPr>
      </w:pPr>
      <w:r w:rsidRPr="00EC6292">
        <w:rPr>
          <w:rFonts w:cs="Arial"/>
          <w:color w:val="221E25"/>
          <w:szCs w:val="18"/>
        </w:rPr>
        <w:t xml:space="preserve">V případě dalších investičních nástrojů obchodovaných na převodních místech (např. </w:t>
      </w:r>
      <w:proofErr w:type="spellStart"/>
      <w:r w:rsidRPr="00EC6292">
        <w:rPr>
          <w:rFonts w:cs="Arial"/>
          <w:color w:val="221E25"/>
          <w:szCs w:val="18"/>
        </w:rPr>
        <w:t>warranty</w:t>
      </w:r>
      <w:proofErr w:type="spellEnd"/>
      <w:r w:rsidRPr="00EC6292">
        <w:rPr>
          <w:rFonts w:cs="Arial"/>
          <w:color w:val="221E25"/>
          <w:szCs w:val="18"/>
        </w:rPr>
        <w:t>, investiční certifikáty, burzovní deriváty), banka provádí pokyn na převodním místě s nejvyšší likviditou. Pokud je takový investiční nástroj obchodován na Burze cenných papírů Praha, banka provádí pokyn zásadně zde, protože se jedná o obchodní systém s nejvyšší likviditou v ČR. Pokud je obchodován na převodním místě, na který banka nemá přímý přístup, předává pokyn finančnímu zprostředkovateli, který provádí pokyny na převodním místě s nejvyšší likviditou.</w:t>
      </w:r>
    </w:p>
    <w:p w:rsidR="00831687" w:rsidRPr="00EC6292" w:rsidRDefault="00831687" w:rsidP="00831687">
      <w:pPr>
        <w:numPr>
          <w:ilvl w:val="0"/>
          <w:numId w:val="22"/>
        </w:numPr>
        <w:tabs>
          <w:tab w:val="num" w:pos="-840"/>
        </w:tabs>
        <w:overflowPunct w:val="0"/>
        <w:autoSpaceDE w:val="0"/>
        <w:autoSpaceDN w:val="0"/>
        <w:adjustRightInd w:val="0"/>
        <w:spacing w:before="60"/>
        <w:ind w:left="284" w:hanging="284"/>
        <w:jc w:val="both"/>
        <w:textAlignment w:val="baseline"/>
        <w:rPr>
          <w:rFonts w:cs="Arial"/>
          <w:color w:val="221E25"/>
          <w:szCs w:val="18"/>
        </w:rPr>
      </w:pPr>
      <w:r w:rsidRPr="00EC6292">
        <w:rPr>
          <w:rFonts w:cs="Arial"/>
          <w:color w:val="221E25"/>
          <w:szCs w:val="18"/>
        </w:rPr>
        <w:t>V případě investičních nástrojů (jiných než cenných papírů kolektivního investování), se kterými se na žádných převodních místech neobchoduje (např. OTC deriváty), banka provádí pokyn uzavřením obchodu se zákazníkem na svůj vlastní účet. Cena a další podmínky takového investičního nástroje jsou stanoveny podle aktuální situace na trhu a bonity zákazníka.</w:t>
      </w:r>
    </w:p>
    <w:p w:rsidR="00831687" w:rsidRPr="00EC6292" w:rsidRDefault="00831687" w:rsidP="00831687">
      <w:pPr>
        <w:numPr>
          <w:ilvl w:val="0"/>
          <w:numId w:val="22"/>
        </w:numPr>
        <w:tabs>
          <w:tab w:val="num" w:pos="-840"/>
        </w:tabs>
        <w:overflowPunct w:val="0"/>
        <w:autoSpaceDE w:val="0"/>
        <w:autoSpaceDN w:val="0"/>
        <w:adjustRightInd w:val="0"/>
        <w:spacing w:before="60"/>
        <w:ind w:left="284" w:hanging="284"/>
        <w:jc w:val="both"/>
        <w:textAlignment w:val="baseline"/>
        <w:rPr>
          <w:rFonts w:cs="Arial"/>
          <w:color w:val="221E25"/>
          <w:szCs w:val="18"/>
        </w:rPr>
      </w:pPr>
      <w:r w:rsidRPr="00EC6292">
        <w:rPr>
          <w:rFonts w:cs="Arial"/>
          <w:color w:val="221E25"/>
          <w:szCs w:val="18"/>
        </w:rPr>
        <w:t>Vzhledem ke komplexnosti a proměnlivosti finančních trhů banka nemůže zajistit nejlepší možný výsledek pro každý jednotlivý pokyn. Cílem pravidel provádění pokynů je dosahovat trvale vysokého podílu pokynů provedených s nejlepším možným výsledkem.</w:t>
      </w:r>
    </w:p>
    <w:p w:rsidR="00831687" w:rsidRPr="00EC6292" w:rsidRDefault="00831687" w:rsidP="00831687">
      <w:pPr>
        <w:numPr>
          <w:ilvl w:val="0"/>
          <w:numId w:val="22"/>
        </w:numPr>
        <w:tabs>
          <w:tab w:val="num" w:pos="-840"/>
        </w:tabs>
        <w:overflowPunct w:val="0"/>
        <w:autoSpaceDE w:val="0"/>
        <w:autoSpaceDN w:val="0"/>
        <w:adjustRightInd w:val="0"/>
        <w:spacing w:before="60"/>
        <w:ind w:left="284" w:hanging="284"/>
        <w:jc w:val="both"/>
        <w:textAlignment w:val="baseline"/>
        <w:rPr>
          <w:rFonts w:cs="Arial"/>
          <w:color w:val="221E25"/>
          <w:szCs w:val="18"/>
        </w:rPr>
      </w:pPr>
      <w:r w:rsidRPr="00EC6292">
        <w:rPr>
          <w:rFonts w:cs="Arial"/>
          <w:color w:val="221E25"/>
          <w:szCs w:val="18"/>
        </w:rPr>
        <w:t>Pokud zákazník zadá bance pokyn s výslovnou podmínkou pro jeho provedení (např. zákazník určí převodní místo), banka bude postupovat podle instrukcí zákazníka. Avšak, taková instrukce může někdy zabránit v dosažení nejlepšího možného výsledku.</w:t>
      </w:r>
    </w:p>
    <w:p w:rsidR="00831687" w:rsidRPr="00EC6292" w:rsidRDefault="00831687" w:rsidP="00831687">
      <w:pPr>
        <w:numPr>
          <w:ilvl w:val="0"/>
          <w:numId w:val="22"/>
        </w:numPr>
        <w:tabs>
          <w:tab w:val="num" w:pos="-840"/>
        </w:tabs>
        <w:overflowPunct w:val="0"/>
        <w:autoSpaceDE w:val="0"/>
        <w:autoSpaceDN w:val="0"/>
        <w:adjustRightInd w:val="0"/>
        <w:spacing w:before="60"/>
        <w:ind w:left="284" w:hanging="284"/>
        <w:jc w:val="both"/>
        <w:textAlignment w:val="baseline"/>
        <w:rPr>
          <w:rFonts w:cs="Arial"/>
          <w:color w:val="221E25"/>
          <w:szCs w:val="18"/>
        </w:rPr>
      </w:pPr>
      <w:r w:rsidRPr="00EC6292">
        <w:rPr>
          <w:rFonts w:cs="Arial"/>
          <w:color w:val="221E25"/>
          <w:szCs w:val="18"/>
        </w:rPr>
        <w:t>Komplexnost a proměnlivost finančních trhů, stejně jako výskyt mimořádných událostí, mohou způsobit, že se v odůvodněných případech banka může výjimečně rozhodnout provést pokyn jiným způsobem, než jak je uveden v pravidlech provádění pokynů.</w:t>
      </w:r>
    </w:p>
    <w:p w:rsidR="00831687" w:rsidRPr="00EC6292" w:rsidRDefault="00831687" w:rsidP="00831687">
      <w:pPr>
        <w:jc w:val="both"/>
        <w:rPr>
          <w:rFonts w:cs="Arial"/>
          <w:color w:val="221E25"/>
          <w:szCs w:val="18"/>
        </w:rPr>
      </w:pPr>
    </w:p>
    <w:p w:rsidR="00831687" w:rsidRPr="00EC6292" w:rsidRDefault="00831687" w:rsidP="00831687">
      <w:pPr>
        <w:jc w:val="both"/>
        <w:rPr>
          <w:rFonts w:cs="Arial"/>
          <w:color w:val="221E25"/>
          <w:szCs w:val="18"/>
        </w:rPr>
      </w:pPr>
      <w:r w:rsidRPr="00EC6292">
        <w:rPr>
          <w:rFonts w:cs="Arial"/>
          <w:color w:val="221E25"/>
          <w:szCs w:val="18"/>
        </w:rPr>
        <w:t xml:space="preserve">Pravidla provádění pokynů a jejich efektivitu banka přezkoumává v pravidelných intervalech, a také po každé významné změně situace na finančních trzích nebo změně jiného faktoru, schopného ovlivnit dosažení nejlepšího možného výsledku pro zákazníky. </w:t>
      </w:r>
    </w:p>
    <w:p w:rsidR="00831687" w:rsidRPr="00EC6292" w:rsidRDefault="00831687" w:rsidP="00831687">
      <w:pPr>
        <w:jc w:val="both"/>
        <w:rPr>
          <w:rFonts w:cs="Arial"/>
          <w:color w:val="221E25"/>
          <w:szCs w:val="18"/>
        </w:rPr>
      </w:pPr>
    </w:p>
    <w:p w:rsidR="00831687" w:rsidRPr="00EC6292" w:rsidRDefault="00831687" w:rsidP="00831687">
      <w:pPr>
        <w:jc w:val="both"/>
        <w:rPr>
          <w:rFonts w:cs="Arial"/>
          <w:color w:val="221E25"/>
          <w:szCs w:val="18"/>
        </w:rPr>
      </w:pPr>
      <w:r w:rsidRPr="00EC6292">
        <w:rPr>
          <w:rFonts w:cs="Arial"/>
          <w:color w:val="221E25"/>
          <w:szCs w:val="18"/>
        </w:rPr>
        <w:t>Pokyny profesionálních i neprofesionálních zákazníků banka provádí na převodních místech, jejichž seznam je uveden níže. Tento seznam je pravidelně vyhodnocován. Banka může k provedení pokynu využít i převodní místa zde neuvedená, je-li to nutné s ohledem na specifický pokyn zákazníka.</w:t>
      </w:r>
    </w:p>
    <w:p w:rsidR="00831687" w:rsidRPr="00EC6292" w:rsidRDefault="00831687" w:rsidP="00831687">
      <w:pPr>
        <w:jc w:val="both"/>
        <w:rPr>
          <w:rFonts w:cs="Arial"/>
          <w:color w:val="221E25"/>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9"/>
        <w:gridCol w:w="3400"/>
        <w:gridCol w:w="3400"/>
      </w:tblGrid>
      <w:tr w:rsidR="00831687" w:rsidRPr="00EC6292" w:rsidTr="007D71B8">
        <w:tc>
          <w:tcPr>
            <w:tcW w:w="3399" w:type="dxa"/>
            <w:shd w:val="clear" w:color="auto" w:fill="auto"/>
          </w:tcPr>
          <w:p w:rsidR="00831687" w:rsidRPr="00EC6292" w:rsidRDefault="00831687" w:rsidP="007D71B8">
            <w:pPr>
              <w:spacing w:before="60"/>
              <w:rPr>
                <w:rFonts w:cs="Arial"/>
                <w:b/>
                <w:color w:val="221E25"/>
                <w:szCs w:val="18"/>
              </w:rPr>
            </w:pPr>
            <w:r w:rsidRPr="00EC6292">
              <w:rPr>
                <w:rFonts w:cs="Arial"/>
                <w:b/>
                <w:color w:val="221E25"/>
                <w:szCs w:val="18"/>
              </w:rPr>
              <w:t>Země</w:t>
            </w:r>
          </w:p>
        </w:tc>
        <w:tc>
          <w:tcPr>
            <w:tcW w:w="3400" w:type="dxa"/>
            <w:shd w:val="clear" w:color="auto" w:fill="auto"/>
          </w:tcPr>
          <w:p w:rsidR="00831687" w:rsidRPr="00EC6292" w:rsidRDefault="00831687" w:rsidP="007D71B8">
            <w:pPr>
              <w:spacing w:before="60"/>
              <w:rPr>
                <w:rFonts w:cs="Arial"/>
                <w:b/>
                <w:color w:val="221E25"/>
                <w:szCs w:val="18"/>
              </w:rPr>
            </w:pPr>
            <w:r w:rsidRPr="00EC6292">
              <w:rPr>
                <w:rFonts w:cs="Arial"/>
                <w:b/>
                <w:color w:val="221E25"/>
                <w:szCs w:val="18"/>
              </w:rPr>
              <w:t>Převodní místo</w:t>
            </w:r>
          </w:p>
        </w:tc>
        <w:tc>
          <w:tcPr>
            <w:tcW w:w="3400" w:type="dxa"/>
            <w:shd w:val="clear" w:color="auto" w:fill="auto"/>
          </w:tcPr>
          <w:p w:rsidR="00831687" w:rsidRPr="00EC6292" w:rsidRDefault="00831687" w:rsidP="007D71B8">
            <w:pPr>
              <w:spacing w:before="60"/>
              <w:rPr>
                <w:rFonts w:cs="Arial"/>
                <w:b/>
                <w:color w:val="221E25"/>
                <w:szCs w:val="18"/>
              </w:rPr>
            </w:pPr>
            <w:r w:rsidRPr="00EC6292">
              <w:rPr>
                <w:rFonts w:cs="Arial"/>
                <w:b/>
                <w:color w:val="221E25"/>
                <w:szCs w:val="18"/>
              </w:rPr>
              <w:t>Investiční nástroje</w:t>
            </w:r>
          </w:p>
        </w:tc>
      </w:tr>
      <w:tr w:rsidR="00831687" w:rsidRPr="00EC6292" w:rsidTr="007D71B8">
        <w:tc>
          <w:tcPr>
            <w:tcW w:w="3399" w:type="dxa"/>
            <w:shd w:val="clear" w:color="auto" w:fill="auto"/>
          </w:tcPr>
          <w:p w:rsidR="00831687" w:rsidRPr="00EC6292" w:rsidRDefault="00831687" w:rsidP="007D71B8">
            <w:pPr>
              <w:spacing w:before="60"/>
              <w:rPr>
                <w:rFonts w:cs="Arial"/>
                <w:color w:val="221E25"/>
                <w:szCs w:val="18"/>
              </w:rPr>
            </w:pPr>
            <w:r>
              <w:rPr>
                <w:rFonts w:cs="Arial"/>
                <w:color w:val="221E25"/>
                <w:szCs w:val="18"/>
              </w:rPr>
              <w:t xml:space="preserve">Česká republika </w:t>
            </w:r>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Burza cenných papírů Praha</w:t>
            </w:r>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Akcie, dluhopisy, investiční certifikáty</w:t>
            </w:r>
          </w:p>
        </w:tc>
      </w:tr>
      <w:tr w:rsidR="00831687" w:rsidRPr="00EC6292" w:rsidTr="007D71B8">
        <w:tc>
          <w:tcPr>
            <w:tcW w:w="3399" w:type="dxa"/>
            <w:shd w:val="clear" w:color="auto" w:fill="auto"/>
          </w:tcPr>
          <w:p w:rsidR="00831687" w:rsidRPr="00EC6292" w:rsidRDefault="00831687" w:rsidP="007D71B8">
            <w:pPr>
              <w:spacing w:before="60"/>
              <w:rPr>
                <w:rFonts w:cs="Arial"/>
                <w:color w:val="221E25"/>
                <w:szCs w:val="18"/>
              </w:rPr>
            </w:pPr>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Česká spořitelna</w:t>
            </w:r>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Fondy EAM ČR* a REICO**, strukturované nástroje (dluhopisy, dluhové cenné papíry), podřízené dluhopisy</w:t>
            </w:r>
          </w:p>
        </w:tc>
      </w:tr>
      <w:tr w:rsidR="00831687" w:rsidRPr="00EC6292" w:rsidTr="007D71B8">
        <w:tc>
          <w:tcPr>
            <w:tcW w:w="3399" w:type="dxa"/>
            <w:shd w:val="clear" w:color="auto" w:fill="auto"/>
          </w:tcPr>
          <w:p w:rsidR="00831687" w:rsidRPr="00EC6292" w:rsidRDefault="00831687" w:rsidP="007D71B8">
            <w:pPr>
              <w:spacing w:before="60"/>
              <w:rPr>
                <w:rFonts w:cs="Arial"/>
                <w:color w:val="221E25"/>
                <w:szCs w:val="18"/>
              </w:rPr>
            </w:pPr>
            <w:r>
              <w:rPr>
                <w:rFonts w:cs="Arial"/>
                <w:color w:val="221E25"/>
                <w:szCs w:val="18"/>
              </w:rPr>
              <w:t>Rakousko</w:t>
            </w:r>
          </w:p>
        </w:tc>
        <w:tc>
          <w:tcPr>
            <w:tcW w:w="3400" w:type="dxa"/>
            <w:shd w:val="clear" w:color="auto" w:fill="auto"/>
          </w:tcPr>
          <w:p w:rsidR="00831687" w:rsidRPr="00EC6292" w:rsidRDefault="00831687" w:rsidP="007D71B8">
            <w:pPr>
              <w:spacing w:before="60"/>
              <w:rPr>
                <w:rFonts w:cs="Arial"/>
                <w:color w:val="221E25"/>
                <w:szCs w:val="18"/>
              </w:rPr>
            </w:pPr>
            <w:proofErr w:type="spellStart"/>
            <w:r>
              <w:rPr>
                <w:rFonts w:cs="Arial"/>
                <w:color w:val="221E25"/>
                <w:szCs w:val="18"/>
              </w:rPr>
              <w:t>Erste</w:t>
            </w:r>
            <w:proofErr w:type="spellEnd"/>
            <w:r>
              <w:rPr>
                <w:rFonts w:cs="Arial"/>
                <w:color w:val="221E25"/>
                <w:szCs w:val="18"/>
              </w:rPr>
              <w:t xml:space="preserve"> </w:t>
            </w:r>
            <w:proofErr w:type="spellStart"/>
            <w:r>
              <w:rPr>
                <w:rFonts w:cs="Arial"/>
                <w:color w:val="221E25"/>
                <w:szCs w:val="18"/>
              </w:rPr>
              <w:t>Group</w:t>
            </w:r>
            <w:proofErr w:type="spellEnd"/>
            <w:r>
              <w:rPr>
                <w:rFonts w:cs="Arial"/>
                <w:color w:val="221E25"/>
                <w:szCs w:val="18"/>
              </w:rPr>
              <w:t xml:space="preserve"> Bank </w:t>
            </w:r>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Fondy ESPA*** a fondy třetích stran</w:t>
            </w:r>
          </w:p>
        </w:tc>
      </w:tr>
      <w:tr w:rsidR="00831687" w:rsidRPr="00EC6292" w:rsidTr="007D71B8">
        <w:tc>
          <w:tcPr>
            <w:tcW w:w="3399" w:type="dxa"/>
            <w:shd w:val="clear" w:color="auto" w:fill="auto"/>
          </w:tcPr>
          <w:p w:rsidR="00831687" w:rsidRPr="00EC6292" w:rsidRDefault="00831687" w:rsidP="007D71B8">
            <w:pPr>
              <w:spacing w:before="60"/>
              <w:rPr>
                <w:rFonts w:cs="Arial"/>
                <w:color w:val="221E25"/>
                <w:szCs w:val="18"/>
              </w:rPr>
            </w:pPr>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 xml:space="preserve">XETRA </w:t>
            </w:r>
            <w:proofErr w:type="spellStart"/>
            <w:r>
              <w:rPr>
                <w:rFonts w:cs="Arial"/>
                <w:color w:val="221E25"/>
                <w:szCs w:val="18"/>
              </w:rPr>
              <w:t>Wien</w:t>
            </w:r>
            <w:proofErr w:type="spellEnd"/>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Akcie</w:t>
            </w:r>
          </w:p>
        </w:tc>
      </w:tr>
      <w:tr w:rsidR="00831687" w:rsidRPr="00EC6292" w:rsidTr="007D71B8">
        <w:tc>
          <w:tcPr>
            <w:tcW w:w="3399" w:type="dxa"/>
            <w:shd w:val="clear" w:color="auto" w:fill="auto"/>
          </w:tcPr>
          <w:p w:rsidR="00831687" w:rsidRPr="00EC6292" w:rsidRDefault="00831687" w:rsidP="007D71B8">
            <w:pPr>
              <w:spacing w:before="60"/>
              <w:rPr>
                <w:rFonts w:cs="Arial"/>
                <w:color w:val="221E25"/>
                <w:szCs w:val="18"/>
              </w:rPr>
            </w:pPr>
            <w:r>
              <w:rPr>
                <w:rFonts w:cs="Arial"/>
                <w:color w:val="221E25"/>
                <w:szCs w:val="18"/>
              </w:rPr>
              <w:t>Německo</w:t>
            </w:r>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XETRA Frankfurt</w:t>
            </w:r>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Akcie, investiční certifikáty, ETF</w:t>
            </w:r>
          </w:p>
        </w:tc>
      </w:tr>
      <w:tr w:rsidR="00831687" w:rsidRPr="00EC6292" w:rsidTr="007D71B8">
        <w:tc>
          <w:tcPr>
            <w:tcW w:w="3399" w:type="dxa"/>
            <w:shd w:val="clear" w:color="auto" w:fill="auto"/>
          </w:tcPr>
          <w:p w:rsidR="00831687" w:rsidRDefault="00831687" w:rsidP="007D71B8">
            <w:pPr>
              <w:spacing w:before="60"/>
              <w:rPr>
                <w:rFonts w:cs="Arial"/>
                <w:color w:val="221E25"/>
                <w:szCs w:val="18"/>
              </w:rPr>
            </w:pPr>
          </w:p>
        </w:tc>
        <w:tc>
          <w:tcPr>
            <w:tcW w:w="3400" w:type="dxa"/>
            <w:shd w:val="clear" w:color="auto" w:fill="auto"/>
          </w:tcPr>
          <w:p w:rsidR="00831687" w:rsidRDefault="00831687" w:rsidP="007D71B8">
            <w:pPr>
              <w:spacing w:before="60"/>
              <w:rPr>
                <w:rFonts w:cs="Arial"/>
                <w:color w:val="221E25"/>
                <w:szCs w:val="18"/>
              </w:rPr>
            </w:pPr>
            <w:proofErr w:type="spellStart"/>
            <w:r>
              <w:rPr>
                <w:rFonts w:cs="Arial"/>
                <w:color w:val="221E25"/>
                <w:szCs w:val="18"/>
              </w:rPr>
              <w:t>Tradegate</w:t>
            </w:r>
            <w:proofErr w:type="spellEnd"/>
            <w:r>
              <w:rPr>
                <w:rFonts w:cs="Arial"/>
                <w:color w:val="221E25"/>
                <w:szCs w:val="18"/>
              </w:rPr>
              <w:t xml:space="preserve"> Exchange</w:t>
            </w:r>
          </w:p>
        </w:tc>
        <w:tc>
          <w:tcPr>
            <w:tcW w:w="3400" w:type="dxa"/>
            <w:shd w:val="clear" w:color="auto" w:fill="auto"/>
          </w:tcPr>
          <w:p w:rsidR="00831687" w:rsidRDefault="00831687" w:rsidP="007D71B8">
            <w:pPr>
              <w:spacing w:before="60"/>
              <w:rPr>
                <w:rFonts w:cs="Arial"/>
                <w:color w:val="221E25"/>
                <w:szCs w:val="18"/>
              </w:rPr>
            </w:pPr>
            <w:r>
              <w:rPr>
                <w:rFonts w:cs="Arial"/>
                <w:color w:val="221E25"/>
                <w:szCs w:val="18"/>
              </w:rPr>
              <w:t>ETF</w:t>
            </w:r>
          </w:p>
        </w:tc>
      </w:tr>
      <w:tr w:rsidR="00831687" w:rsidRPr="00EC6292" w:rsidTr="007D71B8">
        <w:tc>
          <w:tcPr>
            <w:tcW w:w="3399" w:type="dxa"/>
            <w:shd w:val="clear" w:color="auto" w:fill="auto"/>
          </w:tcPr>
          <w:p w:rsidR="00831687" w:rsidRPr="00EC6292" w:rsidRDefault="00831687" w:rsidP="007D71B8">
            <w:pPr>
              <w:spacing w:before="60"/>
              <w:rPr>
                <w:rFonts w:cs="Arial"/>
                <w:color w:val="221E25"/>
                <w:szCs w:val="18"/>
              </w:rPr>
            </w:pPr>
          </w:p>
        </w:tc>
        <w:tc>
          <w:tcPr>
            <w:tcW w:w="3400" w:type="dxa"/>
            <w:shd w:val="clear" w:color="auto" w:fill="auto"/>
          </w:tcPr>
          <w:p w:rsidR="00831687" w:rsidRPr="00EC6292" w:rsidRDefault="00831687" w:rsidP="007D71B8">
            <w:pPr>
              <w:spacing w:before="60"/>
              <w:rPr>
                <w:rFonts w:cs="Arial"/>
                <w:color w:val="221E25"/>
                <w:szCs w:val="18"/>
              </w:rPr>
            </w:pPr>
            <w:proofErr w:type="spellStart"/>
            <w:r>
              <w:rPr>
                <w:rFonts w:cs="Arial"/>
                <w:color w:val="221E25"/>
                <w:szCs w:val="18"/>
              </w:rPr>
              <w:t>Börse</w:t>
            </w:r>
            <w:proofErr w:type="spellEnd"/>
            <w:r>
              <w:rPr>
                <w:rFonts w:cs="Arial"/>
                <w:color w:val="221E25"/>
                <w:szCs w:val="18"/>
              </w:rPr>
              <w:t xml:space="preserve"> Stuttgart</w:t>
            </w:r>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Akcie, investiční certifikáty. ETF</w:t>
            </w:r>
          </w:p>
        </w:tc>
      </w:tr>
      <w:tr w:rsidR="00831687" w:rsidRPr="00EC6292" w:rsidTr="007D71B8">
        <w:tc>
          <w:tcPr>
            <w:tcW w:w="3399" w:type="dxa"/>
            <w:shd w:val="clear" w:color="auto" w:fill="auto"/>
          </w:tcPr>
          <w:p w:rsidR="00831687" w:rsidRPr="00EC6292" w:rsidRDefault="00831687" w:rsidP="007D71B8">
            <w:pPr>
              <w:spacing w:before="60"/>
              <w:rPr>
                <w:rFonts w:cs="Arial"/>
                <w:color w:val="221E25"/>
                <w:szCs w:val="18"/>
              </w:rPr>
            </w:pPr>
          </w:p>
        </w:tc>
        <w:tc>
          <w:tcPr>
            <w:tcW w:w="3400" w:type="dxa"/>
            <w:shd w:val="clear" w:color="auto" w:fill="auto"/>
          </w:tcPr>
          <w:p w:rsidR="00831687" w:rsidRDefault="00831687" w:rsidP="007D71B8">
            <w:pPr>
              <w:spacing w:before="60"/>
              <w:rPr>
                <w:rFonts w:cs="Arial"/>
                <w:color w:val="221E25"/>
                <w:szCs w:val="18"/>
              </w:rPr>
            </w:pPr>
            <w:proofErr w:type="spellStart"/>
            <w:r>
              <w:rPr>
                <w:rFonts w:cs="Arial"/>
                <w:color w:val="221E25"/>
                <w:szCs w:val="18"/>
              </w:rPr>
              <w:t>Börse</w:t>
            </w:r>
            <w:proofErr w:type="spellEnd"/>
            <w:r>
              <w:rPr>
                <w:rFonts w:cs="Arial"/>
                <w:color w:val="221E25"/>
                <w:szCs w:val="18"/>
              </w:rPr>
              <w:t xml:space="preserve"> Frankfurt</w:t>
            </w:r>
          </w:p>
        </w:tc>
        <w:tc>
          <w:tcPr>
            <w:tcW w:w="3400" w:type="dxa"/>
            <w:shd w:val="clear" w:color="auto" w:fill="auto"/>
          </w:tcPr>
          <w:p w:rsidR="00831687" w:rsidRDefault="00831687" w:rsidP="007D71B8">
            <w:pPr>
              <w:spacing w:before="60"/>
              <w:rPr>
                <w:rFonts w:cs="Arial"/>
                <w:color w:val="221E25"/>
                <w:szCs w:val="18"/>
              </w:rPr>
            </w:pPr>
            <w:r>
              <w:rPr>
                <w:rFonts w:cs="Arial"/>
                <w:color w:val="221E25"/>
                <w:szCs w:val="18"/>
              </w:rPr>
              <w:t>Akcie, investiční certifikáty, ETF</w:t>
            </w:r>
          </w:p>
        </w:tc>
      </w:tr>
      <w:tr w:rsidR="00831687" w:rsidRPr="00EC6292" w:rsidTr="007D71B8">
        <w:tc>
          <w:tcPr>
            <w:tcW w:w="3399" w:type="dxa"/>
            <w:shd w:val="clear" w:color="auto" w:fill="auto"/>
          </w:tcPr>
          <w:p w:rsidR="00831687" w:rsidRPr="00EC6292" w:rsidRDefault="00831687" w:rsidP="007D71B8">
            <w:pPr>
              <w:spacing w:before="60"/>
              <w:rPr>
                <w:rFonts w:cs="Arial"/>
                <w:color w:val="221E25"/>
                <w:szCs w:val="18"/>
              </w:rPr>
            </w:pPr>
          </w:p>
        </w:tc>
        <w:tc>
          <w:tcPr>
            <w:tcW w:w="3400" w:type="dxa"/>
            <w:shd w:val="clear" w:color="auto" w:fill="auto"/>
          </w:tcPr>
          <w:p w:rsidR="00831687" w:rsidRDefault="00831687" w:rsidP="007D71B8">
            <w:pPr>
              <w:spacing w:before="60"/>
              <w:rPr>
                <w:rFonts w:cs="Arial"/>
                <w:color w:val="221E25"/>
                <w:szCs w:val="18"/>
              </w:rPr>
            </w:pPr>
            <w:proofErr w:type="spellStart"/>
            <w:r>
              <w:rPr>
                <w:rFonts w:cs="Arial"/>
                <w:color w:val="221E25"/>
                <w:szCs w:val="18"/>
              </w:rPr>
              <w:t>Börse</w:t>
            </w:r>
            <w:proofErr w:type="spellEnd"/>
            <w:r>
              <w:rPr>
                <w:rFonts w:cs="Arial"/>
                <w:color w:val="221E25"/>
                <w:szCs w:val="18"/>
              </w:rPr>
              <w:t xml:space="preserve"> </w:t>
            </w:r>
            <w:proofErr w:type="spellStart"/>
            <w:r w:rsidRPr="009F3B45">
              <w:rPr>
                <w:rFonts w:cs="Arial"/>
                <w:color w:val="221E25"/>
                <w:szCs w:val="18"/>
              </w:rPr>
              <w:t>München</w:t>
            </w:r>
            <w:proofErr w:type="spellEnd"/>
          </w:p>
        </w:tc>
        <w:tc>
          <w:tcPr>
            <w:tcW w:w="3400" w:type="dxa"/>
            <w:shd w:val="clear" w:color="auto" w:fill="auto"/>
          </w:tcPr>
          <w:p w:rsidR="00831687" w:rsidRDefault="00831687" w:rsidP="007D71B8">
            <w:pPr>
              <w:spacing w:before="60"/>
              <w:rPr>
                <w:rFonts w:cs="Arial"/>
                <w:color w:val="221E25"/>
                <w:szCs w:val="18"/>
              </w:rPr>
            </w:pPr>
            <w:r>
              <w:rPr>
                <w:rFonts w:cs="Arial"/>
                <w:color w:val="221E25"/>
                <w:szCs w:val="18"/>
              </w:rPr>
              <w:t>Akcie, investiční certifikáty, ETF</w:t>
            </w:r>
          </w:p>
        </w:tc>
      </w:tr>
      <w:tr w:rsidR="00831687" w:rsidRPr="00EC6292" w:rsidTr="007D71B8">
        <w:tc>
          <w:tcPr>
            <w:tcW w:w="3399" w:type="dxa"/>
            <w:shd w:val="clear" w:color="auto" w:fill="auto"/>
          </w:tcPr>
          <w:p w:rsidR="00831687" w:rsidRPr="00EC6292" w:rsidRDefault="00831687" w:rsidP="007D71B8">
            <w:pPr>
              <w:spacing w:before="60"/>
              <w:rPr>
                <w:rFonts w:cs="Arial"/>
                <w:color w:val="221E25"/>
                <w:szCs w:val="18"/>
              </w:rPr>
            </w:pPr>
          </w:p>
        </w:tc>
        <w:tc>
          <w:tcPr>
            <w:tcW w:w="3400" w:type="dxa"/>
            <w:shd w:val="clear" w:color="auto" w:fill="auto"/>
          </w:tcPr>
          <w:p w:rsidR="00831687" w:rsidRDefault="00831687" w:rsidP="007D71B8">
            <w:pPr>
              <w:spacing w:before="60"/>
              <w:rPr>
                <w:rFonts w:cs="Arial"/>
                <w:color w:val="221E25"/>
                <w:szCs w:val="18"/>
              </w:rPr>
            </w:pPr>
            <w:proofErr w:type="spellStart"/>
            <w:r>
              <w:rPr>
                <w:rFonts w:cs="Arial"/>
                <w:color w:val="221E25"/>
                <w:szCs w:val="18"/>
              </w:rPr>
              <w:t>Börse</w:t>
            </w:r>
            <w:proofErr w:type="spellEnd"/>
            <w:r>
              <w:rPr>
                <w:rFonts w:cs="Arial"/>
                <w:color w:val="221E25"/>
                <w:szCs w:val="18"/>
              </w:rPr>
              <w:t xml:space="preserve"> Hamburg</w:t>
            </w:r>
          </w:p>
        </w:tc>
        <w:tc>
          <w:tcPr>
            <w:tcW w:w="3400" w:type="dxa"/>
            <w:shd w:val="clear" w:color="auto" w:fill="auto"/>
          </w:tcPr>
          <w:p w:rsidR="00831687" w:rsidRDefault="00831687" w:rsidP="007D71B8">
            <w:pPr>
              <w:spacing w:before="60"/>
              <w:rPr>
                <w:rFonts w:cs="Arial"/>
                <w:color w:val="221E25"/>
                <w:szCs w:val="18"/>
              </w:rPr>
            </w:pPr>
            <w:r>
              <w:rPr>
                <w:rFonts w:cs="Arial"/>
                <w:color w:val="221E25"/>
                <w:szCs w:val="18"/>
              </w:rPr>
              <w:t>Akcie, investiční certifikáty, ETF</w:t>
            </w:r>
          </w:p>
        </w:tc>
      </w:tr>
      <w:tr w:rsidR="00831687" w:rsidRPr="00EC6292" w:rsidTr="007D71B8">
        <w:tc>
          <w:tcPr>
            <w:tcW w:w="3399" w:type="dxa"/>
            <w:shd w:val="clear" w:color="auto" w:fill="auto"/>
          </w:tcPr>
          <w:p w:rsidR="00831687" w:rsidRPr="00EC6292" w:rsidRDefault="00831687" w:rsidP="007D71B8">
            <w:pPr>
              <w:spacing w:before="60"/>
              <w:rPr>
                <w:rFonts w:cs="Arial"/>
                <w:color w:val="221E25"/>
                <w:szCs w:val="18"/>
              </w:rPr>
            </w:pPr>
          </w:p>
        </w:tc>
        <w:tc>
          <w:tcPr>
            <w:tcW w:w="3400" w:type="dxa"/>
            <w:shd w:val="clear" w:color="auto" w:fill="auto"/>
          </w:tcPr>
          <w:p w:rsidR="00831687" w:rsidRDefault="00831687" w:rsidP="007D71B8">
            <w:pPr>
              <w:spacing w:before="60"/>
              <w:rPr>
                <w:rFonts w:cs="Arial"/>
                <w:color w:val="221E25"/>
                <w:szCs w:val="18"/>
              </w:rPr>
            </w:pPr>
            <w:proofErr w:type="spellStart"/>
            <w:r>
              <w:rPr>
                <w:rFonts w:cs="Arial"/>
                <w:color w:val="221E25"/>
                <w:szCs w:val="18"/>
              </w:rPr>
              <w:t>Börse</w:t>
            </w:r>
            <w:proofErr w:type="spellEnd"/>
            <w:r>
              <w:rPr>
                <w:rFonts w:cs="Arial"/>
                <w:color w:val="221E25"/>
                <w:szCs w:val="18"/>
              </w:rPr>
              <w:t xml:space="preserve"> Düsseldorf</w:t>
            </w:r>
          </w:p>
        </w:tc>
        <w:tc>
          <w:tcPr>
            <w:tcW w:w="3400" w:type="dxa"/>
            <w:shd w:val="clear" w:color="auto" w:fill="auto"/>
          </w:tcPr>
          <w:p w:rsidR="00831687" w:rsidRDefault="00831687" w:rsidP="007D71B8">
            <w:pPr>
              <w:spacing w:before="60"/>
              <w:rPr>
                <w:rFonts w:cs="Arial"/>
                <w:color w:val="221E25"/>
                <w:szCs w:val="18"/>
              </w:rPr>
            </w:pPr>
            <w:r>
              <w:rPr>
                <w:rFonts w:cs="Arial"/>
                <w:color w:val="221E25"/>
                <w:szCs w:val="18"/>
              </w:rPr>
              <w:t>Akcie, investiční certifikáty, ETF</w:t>
            </w:r>
          </w:p>
        </w:tc>
      </w:tr>
      <w:tr w:rsidR="00831687" w:rsidRPr="00EC6292" w:rsidTr="007D71B8">
        <w:tc>
          <w:tcPr>
            <w:tcW w:w="3399" w:type="dxa"/>
            <w:shd w:val="clear" w:color="auto" w:fill="auto"/>
          </w:tcPr>
          <w:p w:rsidR="00831687" w:rsidRPr="00EC6292" w:rsidRDefault="00831687" w:rsidP="007D71B8">
            <w:pPr>
              <w:spacing w:before="60"/>
              <w:rPr>
                <w:rFonts w:cs="Arial"/>
                <w:color w:val="221E25"/>
                <w:szCs w:val="18"/>
              </w:rPr>
            </w:pPr>
          </w:p>
        </w:tc>
        <w:tc>
          <w:tcPr>
            <w:tcW w:w="3400" w:type="dxa"/>
            <w:shd w:val="clear" w:color="auto" w:fill="auto"/>
          </w:tcPr>
          <w:p w:rsidR="00831687" w:rsidRPr="00EC6292" w:rsidRDefault="00831687" w:rsidP="007D71B8">
            <w:pPr>
              <w:spacing w:before="60"/>
              <w:rPr>
                <w:rFonts w:cs="Arial"/>
                <w:color w:val="221E25"/>
                <w:szCs w:val="18"/>
              </w:rPr>
            </w:pPr>
            <w:proofErr w:type="spellStart"/>
            <w:r>
              <w:rPr>
                <w:rFonts w:cs="Arial"/>
                <w:color w:val="221E25"/>
                <w:szCs w:val="18"/>
              </w:rPr>
              <w:t>Börse</w:t>
            </w:r>
            <w:proofErr w:type="spellEnd"/>
            <w:r>
              <w:rPr>
                <w:rFonts w:cs="Arial"/>
                <w:color w:val="221E25"/>
                <w:szCs w:val="18"/>
              </w:rPr>
              <w:t xml:space="preserve"> Berlin</w:t>
            </w:r>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Akcie, investiční certifikáty, ETF</w:t>
            </w:r>
          </w:p>
        </w:tc>
      </w:tr>
      <w:tr w:rsidR="00831687" w:rsidRPr="00EC6292" w:rsidTr="007D71B8">
        <w:tc>
          <w:tcPr>
            <w:tcW w:w="3399" w:type="dxa"/>
            <w:shd w:val="clear" w:color="auto" w:fill="auto"/>
          </w:tcPr>
          <w:p w:rsidR="00831687" w:rsidRPr="00EC6292" w:rsidRDefault="00831687" w:rsidP="007D71B8">
            <w:pPr>
              <w:spacing w:before="60"/>
              <w:rPr>
                <w:rFonts w:cs="Arial"/>
                <w:color w:val="221E25"/>
                <w:szCs w:val="18"/>
              </w:rPr>
            </w:pPr>
            <w:r>
              <w:rPr>
                <w:rFonts w:cs="Arial"/>
                <w:color w:val="221E25"/>
                <w:szCs w:val="18"/>
              </w:rPr>
              <w:t>Maďarsko</w:t>
            </w:r>
          </w:p>
        </w:tc>
        <w:tc>
          <w:tcPr>
            <w:tcW w:w="3400" w:type="dxa"/>
            <w:shd w:val="clear" w:color="auto" w:fill="auto"/>
          </w:tcPr>
          <w:p w:rsidR="00831687" w:rsidRPr="00EC6292" w:rsidRDefault="00831687" w:rsidP="007D71B8">
            <w:pPr>
              <w:spacing w:before="60"/>
              <w:rPr>
                <w:rFonts w:cs="Arial"/>
                <w:color w:val="221E25"/>
                <w:szCs w:val="18"/>
              </w:rPr>
            </w:pPr>
            <w:proofErr w:type="spellStart"/>
            <w:r>
              <w:rPr>
                <w:rFonts w:cs="Arial"/>
                <w:color w:val="221E25"/>
                <w:szCs w:val="18"/>
              </w:rPr>
              <w:t>Budapest</w:t>
            </w:r>
            <w:proofErr w:type="spellEnd"/>
            <w:r>
              <w:rPr>
                <w:rFonts w:cs="Arial"/>
                <w:color w:val="221E25"/>
                <w:szCs w:val="18"/>
              </w:rPr>
              <w:t xml:space="preserve"> </w:t>
            </w:r>
            <w:proofErr w:type="spellStart"/>
            <w:r>
              <w:rPr>
                <w:rFonts w:cs="Arial"/>
                <w:color w:val="221E25"/>
                <w:szCs w:val="18"/>
              </w:rPr>
              <w:t>Stock</w:t>
            </w:r>
            <w:proofErr w:type="spellEnd"/>
            <w:r>
              <w:rPr>
                <w:rFonts w:cs="Arial"/>
                <w:color w:val="221E25"/>
                <w:szCs w:val="18"/>
              </w:rPr>
              <w:t xml:space="preserve"> Exchange</w:t>
            </w:r>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Akcie</w:t>
            </w:r>
          </w:p>
        </w:tc>
      </w:tr>
      <w:tr w:rsidR="00831687" w:rsidRPr="00EC6292" w:rsidTr="007D71B8">
        <w:tc>
          <w:tcPr>
            <w:tcW w:w="3399" w:type="dxa"/>
            <w:shd w:val="clear" w:color="auto" w:fill="auto"/>
          </w:tcPr>
          <w:p w:rsidR="00831687" w:rsidRPr="00EC6292" w:rsidRDefault="00831687" w:rsidP="007D71B8">
            <w:pPr>
              <w:spacing w:before="60"/>
              <w:rPr>
                <w:rFonts w:cs="Arial"/>
                <w:color w:val="221E25"/>
                <w:szCs w:val="18"/>
              </w:rPr>
            </w:pPr>
            <w:r>
              <w:rPr>
                <w:rFonts w:cs="Arial"/>
                <w:color w:val="221E25"/>
                <w:szCs w:val="18"/>
              </w:rPr>
              <w:t>Francie</w:t>
            </w:r>
          </w:p>
        </w:tc>
        <w:tc>
          <w:tcPr>
            <w:tcW w:w="3400" w:type="dxa"/>
            <w:shd w:val="clear" w:color="auto" w:fill="auto"/>
          </w:tcPr>
          <w:p w:rsidR="00831687" w:rsidRPr="00EC6292" w:rsidRDefault="00831687" w:rsidP="007D71B8">
            <w:pPr>
              <w:spacing w:before="60"/>
              <w:rPr>
                <w:rFonts w:cs="Arial"/>
                <w:color w:val="221E25"/>
                <w:szCs w:val="18"/>
              </w:rPr>
            </w:pPr>
            <w:proofErr w:type="spellStart"/>
            <w:r>
              <w:rPr>
                <w:rFonts w:cs="Arial"/>
                <w:color w:val="221E25"/>
                <w:szCs w:val="18"/>
              </w:rPr>
              <w:t>Euronext</w:t>
            </w:r>
            <w:proofErr w:type="spellEnd"/>
            <w:r>
              <w:rPr>
                <w:rFonts w:cs="Arial"/>
                <w:color w:val="221E25"/>
                <w:szCs w:val="18"/>
              </w:rPr>
              <w:t xml:space="preserve"> Paris</w:t>
            </w:r>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Akcie, ETF</w:t>
            </w:r>
          </w:p>
        </w:tc>
      </w:tr>
      <w:tr w:rsidR="00831687" w:rsidRPr="00EC6292" w:rsidTr="007D71B8">
        <w:tc>
          <w:tcPr>
            <w:tcW w:w="3399" w:type="dxa"/>
            <w:shd w:val="clear" w:color="auto" w:fill="auto"/>
          </w:tcPr>
          <w:p w:rsidR="00831687" w:rsidRPr="00EC6292" w:rsidRDefault="00831687" w:rsidP="007D71B8">
            <w:pPr>
              <w:spacing w:before="60"/>
              <w:rPr>
                <w:rFonts w:cs="Arial"/>
                <w:color w:val="221E25"/>
                <w:szCs w:val="18"/>
              </w:rPr>
            </w:pPr>
            <w:r>
              <w:rPr>
                <w:rFonts w:cs="Arial"/>
                <w:color w:val="221E25"/>
                <w:szCs w:val="18"/>
              </w:rPr>
              <w:t>Polsko</w:t>
            </w:r>
          </w:p>
        </w:tc>
        <w:tc>
          <w:tcPr>
            <w:tcW w:w="3400" w:type="dxa"/>
            <w:shd w:val="clear" w:color="auto" w:fill="auto"/>
          </w:tcPr>
          <w:p w:rsidR="00831687" w:rsidRPr="00EC6292" w:rsidRDefault="00831687" w:rsidP="007D71B8">
            <w:pPr>
              <w:spacing w:before="60"/>
              <w:rPr>
                <w:rFonts w:cs="Arial"/>
                <w:color w:val="221E25"/>
                <w:szCs w:val="18"/>
              </w:rPr>
            </w:pPr>
            <w:proofErr w:type="spellStart"/>
            <w:r>
              <w:rPr>
                <w:rFonts w:cs="Arial"/>
                <w:color w:val="221E25"/>
                <w:szCs w:val="18"/>
              </w:rPr>
              <w:t>Warsaw</w:t>
            </w:r>
            <w:proofErr w:type="spellEnd"/>
            <w:r>
              <w:rPr>
                <w:rFonts w:cs="Arial"/>
                <w:color w:val="221E25"/>
                <w:szCs w:val="18"/>
              </w:rPr>
              <w:t xml:space="preserve"> </w:t>
            </w:r>
            <w:proofErr w:type="spellStart"/>
            <w:r>
              <w:rPr>
                <w:rFonts w:cs="Arial"/>
                <w:color w:val="221E25"/>
                <w:szCs w:val="18"/>
              </w:rPr>
              <w:t>Stock</w:t>
            </w:r>
            <w:proofErr w:type="spellEnd"/>
            <w:r>
              <w:rPr>
                <w:rFonts w:cs="Arial"/>
                <w:color w:val="221E25"/>
                <w:szCs w:val="18"/>
              </w:rPr>
              <w:t xml:space="preserve"> Exchange</w:t>
            </w:r>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Akcie</w:t>
            </w:r>
          </w:p>
        </w:tc>
      </w:tr>
      <w:tr w:rsidR="00831687" w:rsidRPr="00EC6292" w:rsidTr="007D71B8">
        <w:tc>
          <w:tcPr>
            <w:tcW w:w="3399" w:type="dxa"/>
            <w:shd w:val="clear" w:color="auto" w:fill="auto"/>
          </w:tcPr>
          <w:p w:rsidR="00831687" w:rsidRPr="00EC6292" w:rsidRDefault="00831687" w:rsidP="007D71B8">
            <w:pPr>
              <w:spacing w:before="60"/>
              <w:rPr>
                <w:rFonts w:cs="Arial"/>
                <w:color w:val="221E25"/>
                <w:szCs w:val="18"/>
              </w:rPr>
            </w:pPr>
            <w:r>
              <w:rPr>
                <w:rFonts w:cs="Arial"/>
                <w:color w:val="221E25"/>
                <w:szCs w:val="18"/>
              </w:rPr>
              <w:t>Velká Británie</w:t>
            </w:r>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 xml:space="preserve">London </w:t>
            </w:r>
            <w:proofErr w:type="spellStart"/>
            <w:r>
              <w:rPr>
                <w:rFonts w:cs="Arial"/>
                <w:color w:val="221E25"/>
                <w:szCs w:val="18"/>
              </w:rPr>
              <w:t>Stock</w:t>
            </w:r>
            <w:proofErr w:type="spellEnd"/>
            <w:r>
              <w:rPr>
                <w:rFonts w:cs="Arial"/>
                <w:color w:val="221E25"/>
                <w:szCs w:val="18"/>
              </w:rPr>
              <w:t xml:space="preserve"> Exchange</w:t>
            </w:r>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Akcie, ETF</w:t>
            </w:r>
          </w:p>
        </w:tc>
      </w:tr>
      <w:tr w:rsidR="00831687" w:rsidRPr="00EC6292" w:rsidTr="007D71B8">
        <w:tc>
          <w:tcPr>
            <w:tcW w:w="3399" w:type="dxa"/>
            <w:shd w:val="clear" w:color="auto" w:fill="auto"/>
          </w:tcPr>
          <w:p w:rsidR="00831687" w:rsidRPr="00EC6292" w:rsidRDefault="00831687" w:rsidP="007D71B8">
            <w:pPr>
              <w:spacing w:before="60"/>
              <w:rPr>
                <w:rFonts w:cs="Arial"/>
                <w:color w:val="221E25"/>
                <w:szCs w:val="18"/>
              </w:rPr>
            </w:pPr>
            <w:r>
              <w:rPr>
                <w:rFonts w:cs="Arial"/>
                <w:color w:val="221E25"/>
                <w:szCs w:val="18"/>
              </w:rPr>
              <w:t xml:space="preserve">USA </w:t>
            </w:r>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NYSE</w:t>
            </w:r>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Akcie, ETF</w:t>
            </w:r>
          </w:p>
        </w:tc>
      </w:tr>
      <w:tr w:rsidR="00831687" w:rsidRPr="00EC6292" w:rsidTr="007D71B8">
        <w:tc>
          <w:tcPr>
            <w:tcW w:w="3399" w:type="dxa"/>
            <w:shd w:val="clear" w:color="auto" w:fill="auto"/>
          </w:tcPr>
          <w:p w:rsidR="00831687" w:rsidRDefault="00831687" w:rsidP="007D71B8">
            <w:pPr>
              <w:spacing w:before="60"/>
              <w:rPr>
                <w:rFonts w:cs="Arial"/>
                <w:color w:val="221E25"/>
                <w:szCs w:val="18"/>
              </w:rPr>
            </w:pPr>
          </w:p>
        </w:tc>
        <w:tc>
          <w:tcPr>
            <w:tcW w:w="3400" w:type="dxa"/>
            <w:shd w:val="clear" w:color="auto" w:fill="auto"/>
          </w:tcPr>
          <w:p w:rsidR="00831687" w:rsidRDefault="00831687" w:rsidP="007D71B8">
            <w:pPr>
              <w:spacing w:before="60"/>
              <w:rPr>
                <w:rFonts w:cs="Arial"/>
                <w:color w:val="221E25"/>
                <w:szCs w:val="18"/>
              </w:rPr>
            </w:pPr>
            <w:r>
              <w:rPr>
                <w:rFonts w:cs="Arial"/>
                <w:color w:val="221E25"/>
                <w:szCs w:val="18"/>
              </w:rPr>
              <w:t>NASDAQ</w:t>
            </w:r>
          </w:p>
        </w:tc>
        <w:tc>
          <w:tcPr>
            <w:tcW w:w="3400" w:type="dxa"/>
            <w:shd w:val="clear" w:color="auto" w:fill="auto"/>
          </w:tcPr>
          <w:p w:rsidR="00831687" w:rsidRDefault="00831687" w:rsidP="007D71B8">
            <w:pPr>
              <w:spacing w:before="60"/>
              <w:rPr>
                <w:rFonts w:cs="Arial"/>
                <w:color w:val="221E25"/>
                <w:szCs w:val="18"/>
              </w:rPr>
            </w:pPr>
            <w:r>
              <w:rPr>
                <w:rFonts w:cs="Arial"/>
                <w:color w:val="221E25"/>
                <w:szCs w:val="18"/>
              </w:rPr>
              <w:t>Akcie, ETF</w:t>
            </w:r>
          </w:p>
        </w:tc>
      </w:tr>
      <w:tr w:rsidR="00831687" w:rsidRPr="00EC6292" w:rsidTr="007D71B8">
        <w:tc>
          <w:tcPr>
            <w:tcW w:w="3399" w:type="dxa"/>
            <w:shd w:val="clear" w:color="auto" w:fill="auto"/>
          </w:tcPr>
          <w:p w:rsidR="00831687" w:rsidRPr="00EC6292" w:rsidRDefault="00831687" w:rsidP="007D71B8">
            <w:pPr>
              <w:spacing w:before="60"/>
              <w:rPr>
                <w:rFonts w:cs="Arial"/>
                <w:color w:val="221E25"/>
                <w:szCs w:val="18"/>
              </w:rPr>
            </w:pPr>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CME</w:t>
            </w:r>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Veřejně obchodované deriváty</w:t>
            </w:r>
          </w:p>
        </w:tc>
      </w:tr>
      <w:tr w:rsidR="00831687" w:rsidRPr="00EC6292" w:rsidTr="007D71B8">
        <w:tc>
          <w:tcPr>
            <w:tcW w:w="3399" w:type="dxa"/>
            <w:shd w:val="clear" w:color="auto" w:fill="auto"/>
          </w:tcPr>
          <w:p w:rsidR="00831687" w:rsidRPr="00EC6292" w:rsidRDefault="00831687" w:rsidP="007D71B8">
            <w:pPr>
              <w:spacing w:before="60"/>
              <w:rPr>
                <w:rFonts w:cs="Arial"/>
                <w:color w:val="221E25"/>
                <w:szCs w:val="18"/>
              </w:rPr>
            </w:pPr>
          </w:p>
        </w:tc>
        <w:tc>
          <w:tcPr>
            <w:tcW w:w="3400" w:type="dxa"/>
            <w:shd w:val="clear" w:color="auto" w:fill="auto"/>
          </w:tcPr>
          <w:p w:rsidR="00831687" w:rsidRDefault="00831687" w:rsidP="007D71B8">
            <w:pPr>
              <w:spacing w:before="60"/>
              <w:rPr>
                <w:rFonts w:cs="Arial"/>
                <w:color w:val="221E25"/>
                <w:szCs w:val="18"/>
              </w:rPr>
            </w:pPr>
            <w:r>
              <w:rPr>
                <w:rFonts w:cs="Arial"/>
                <w:color w:val="221E25"/>
                <w:szCs w:val="18"/>
              </w:rPr>
              <w:t>CBOE</w:t>
            </w:r>
          </w:p>
        </w:tc>
        <w:tc>
          <w:tcPr>
            <w:tcW w:w="3400" w:type="dxa"/>
            <w:shd w:val="clear" w:color="auto" w:fill="auto"/>
          </w:tcPr>
          <w:p w:rsidR="00831687" w:rsidRDefault="00831687" w:rsidP="007D71B8">
            <w:pPr>
              <w:spacing w:before="60"/>
              <w:rPr>
                <w:rFonts w:cs="Arial"/>
                <w:color w:val="221E25"/>
                <w:szCs w:val="18"/>
              </w:rPr>
            </w:pPr>
            <w:r>
              <w:rPr>
                <w:rFonts w:cs="Arial"/>
                <w:color w:val="221E25"/>
                <w:szCs w:val="18"/>
              </w:rPr>
              <w:t>Veřejně obchodované deriváty</w:t>
            </w:r>
          </w:p>
        </w:tc>
      </w:tr>
      <w:tr w:rsidR="00831687" w:rsidRPr="00EC6292" w:rsidTr="007D71B8">
        <w:tc>
          <w:tcPr>
            <w:tcW w:w="3399" w:type="dxa"/>
            <w:shd w:val="clear" w:color="auto" w:fill="auto"/>
          </w:tcPr>
          <w:p w:rsidR="00831687" w:rsidRPr="00EC6292" w:rsidRDefault="00831687" w:rsidP="007D71B8">
            <w:pPr>
              <w:spacing w:before="60"/>
              <w:rPr>
                <w:rFonts w:cs="Arial"/>
                <w:color w:val="221E25"/>
                <w:szCs w:val="18"/>
              </w:rPr>
            </w:pPr>
          </w:p>
        </w:tc>
        <w:tc>
          <w:tcPr>
            <w:tcW w:w="3400" w:type="dxa"/>
            <w:shd w:val="clear" w:color="auto" w:fill="auto"/>
          </w:tcPr>
          <w:p w:rsidR="00831687" w:rsidRDefault="00831687" w:rsidP="007D71B8">
            <w:pPr>
              <w:spacing w:before="60"/>
              <w:rPr>
                <w:rFonts w:cs="Arial"/>
                <w:color w:val="221E25"/>
                <w:szCs w:val="18"/>
              </w:rPr>
            </w:pPr>
            <w:r>
              <w:rPr>
                <w:rFonts w:cs="Arial"/>
                <w:color w:val="221E25"/>
                <w:szCs w:val="18"/>
              </w:rPr>
              <w:t>COMEX</w:t>
            </w:r>
          </w:p>
        </w:tc>
        <w:tc>
          <w:tcPr>
            <w:tcW w:w="3400" w:type="dxa"/>
            <w:shd w:val="clear" w:color="auto" w:fill="auto"/>
          </w:tcPr>
          <w:p w:rsidR="00831687" w:rsidRDefault="00831687" w:rsidP="007D71B8">
            <w:pPr>
              <w:spacing w:before="60"/>
              <w:rPr>
                <w:rFonts w:cs="Arial"/>
                <w:color w:val="221E25"/>
                <w:szCs w:val="18"/>
              </w:rPr>
            </w:pPr>
            <w:r>
              <w:rPr>
                <w:rFonts w:cs="Arial"/>
                <w:color w:val="221E25"/>
                <w:szCs w:val="18"/>
              </w:rPr>
              <w:t>Veřejně obchodované deriváty</w:t>
            </w:r>
          </w:p>
        </w:tc>
      </w:tr>
      <w:tr w:rsidR="00831687" w:rsidRPr="00EC6292" w:rsidTr="007D71B8">
        <w:tc>
          <w:tcPr>
            <w:tcW w:w="3399" w:type="dxa"/>
            <w:shd w:val="clear" w:color="auto" w:fill="auto"/>
          </w:tcPr>
          <w:p w:rsidR="00831687" w:rsidRPr="00EC6292" w:rsidRDefault="00831687" w:rsidP="007D71B8">
            <w:pPr>
              <w:spacing w:before="60"/>
              <w:rPr>
                <w:rFonts w:cs="Arial"/>
                <w:color w:val="221E25"/>
                <w:szCs w:val="18"/>
              </w:rPr>
            </w:pPr>
            <w:r>
              <w:rPr>
                <w:rFonts w:cs="Arial"/>
                <w:color w:val="221E25"/>
                <w:szCs w:val="18"/>
              </w:rPr>
              <w:t>Austrálie</w:t>
            </w:r>
          </w:p>
        </w:tc>
        <w:tc>
          <w:tcPr>
            <w:tcW w:w="3400" w:type="dxa"/>
            <w:shd w:val="clear" w:color="auto" w:fill="auto"/>
          </w:tcPr>
          <w:p w:rsidR="00831687" w:rsidRPr="00EC6292" w:rsidRDefault="00831687" w:rsidP="007D71B8">
            <w:pPr>
              <w:spacing w:before="60"/>
              <w:rPr>
                <w:rFonts w:cs="Arial"/>
                <w:color w:val="221E25"/>
                <w:szCs w:val="18"/>
              </w:rPr>
            </w:pPr>
            <w:proofErr w:type="spellStart"/>
            <w:r>
              <w:rPr>
                <w:rFonts w:cs="Arial"/>
                <w:color w:val="221E25"/>
                <w:szCs w:val="18"/>
              </w:rPr>
              <w:t>Australian</w:t>
            </w:r>
            <w:proofErr w:type="spellEnd"/>
            <w:r>
              <w:rPr>
                <w:rFonts w:cs="Arial"/>
                <w:color w:val="221E25"/>
                <w:szCs w:val="18"/>
              </w:rPr>
              <w:t xml:space="preserve"> </w:t>
            </w:r>
            <w:proofErr w:type="spellStart"/>
            <w:r>
              <w:rPr>
                <w:rFonts w:cs="Arial"/>
                <w:color w:val="221E25"/>
                <w:szCs w:val="18"/>
              </w:rPr>
              <w:t>Stock</w:t>
            </w:r>
            <w:proofErr w:type="spellEnd"/>
            <w:r>
              <w:rPr>
                <w:rFonts w:cs="Arial"/>
                <w:color w:val="221E25"/>
                <w:szCs w:val="18"/>
              </w:rPr>
              <w:t xml:space="preserve"> Exchange</w:t>
            </w:r>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Akcie</w:t>
            </w:r>
          </w:p>
        </w:tc>
      </w:tr>
      <w:tr w:rsidR="00831687" w:rsidRPr="00EC6292" w:rsidTr="007D71B8">
        <w:tc>
          <w:tcPr>
            <w:tcW w:w="3399" w:type="dxa"/>
            <w:shd w:val="clear" w:color="auto" w:fill="auto"/>
          </w:tcPr>
          <w:p w:rsidR="00831687" w:rsidRPr="00EC6292" w:rsidRDefault="00831687" w:rsidP="007D71B8">
            <w:pPr>
              <w:spacing w:before="60"/>
              <w:rPr>
                <w:rFonts w:cs="Arial"/>
                <w:color w:val="221E25"/>
                <w:szCs w:val="18"/>
              </w:rPr>
            </w:pPr>
            <w:r>
              <w:rPr>
                <w:rFonts w:cs="Arial"/>
                <w:color w:val="221E25"/>
                <w:szCs w:val="18"/>
              </w:rPr>
              <w:t>Japonsko</w:t>
            </w:r>
          </w:p>
        </w:tc>
        <w:tc>
          <w:tcPr>
            <w:tcW w:w="3400" w:type="dxa"/>
            <w:shd w:val="clear" w:color="auto" w:fill="auto"/>
          </w:tcPr>
          <w:p w:rsidR="00831687" w:rsidRPr="00EC6292" w:rsidRDefault="00831687" w:rsidP="007D71B8">
            <w:pPr>
              <w:spacing w:before="60"/>
              <w:rPr>
                <w:rFonts w:cs="Arial"/>
                <w:color w:val="221E25"/>
                <w:szCs w:val="18"/>
              </w:rPr>
            </w:pPr>
            <w:proofErr w:type="spellStart"/>
            <w:r>
              <w:rPr>
                <w:rFonts w:cs="Arial"/>
                <w:color w:val="221E25"/>
                <w:szCs w:val="18"/>
              </w:rPr>
              <w:t>Tokyo</w:t>
            </w:r>
            <w:proofErr w:type="spellEnd"/>
            <w:r>
              <w:rPr>
                <w:rFonts w:cs="Arial"/>
                <w:color w:val="221E25"/>
                <w:szCs w:val="18"/>
              </w:rPr>
              <w:t xml:space="preserve"> </w:t>
            </w:r>
            <w:proofErr w:type="spellStart"/>
            <w:r>
              <w:rPr>
                <w:rFonts w:cs="Arial"/>
                <w:color w:val="221E25"/>
                <w:szCs w:val="18"/>
              </w:rPr>
              <w:t>Stock</w:t>
            </w:r>
            <w:proofErr w:type="spellEnd"/>
            <w:r>
              <w:rPr>
                <w:rFonts w:cs="Arial"/>
                <w:color w:val="221E25"/>
                <w:szCs w:val="18"/>
              </w:rPr>
              <w:t xml:space="preserve"> Exchange </w:t>
            </w:r>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Akcie</w:t>
            </w:r>
          </w:p>
        </w:tc>
      </w:tr>
      <w:tr w:rsidR="00831687" w:rsidRPr="00EC6292" w:rsidTr="007D71B8">
        <w:tc>
          <w:tcPr>
            <w:tcW w:w="3399" w:type="dxa"/>
            <w:shd w:val="clear" w:color="auto" w:fill="auto"/>
          </w:tcPr>
          <w:p w:rsidR="00831687" w:rsidRPr="00EC6292" w:rsidRDefault="00831687" w:rsidP="007D71B8">
            <w:pPr>
              <w:spacing w:before="60"/>
              <w:rPr>
                <w:rFonts w:cs="Arial"/>
                <w:color w:val="221E25"/>
                <w:szCs w:val="18"/>
              </w:rPr>
            </w:pPr>
            <w:r>
              <w:rPr>
                <w:rFonts w:cs="Arial"/>
                <w:color w:val="221E25"/>
                <w:szCs w:val="18"/>
              </w:rPr>
              <w:t>Španělsko</w:t>
            </w:r>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 xml:space="preserve">Madrid </w:t>
            </w:r>
            <w:proofErr w:type="spellStart"/>
            <w:r>
              <w:rPr>
                <w:rFonts w:cs="Arial"/>
                <w:color w:val="221E25"/>
                <w:szCs w:val="18"/>
              </w:rPr>
              <w:t>Stock</w:t>
            </w:r>
            <w:proofErr w:type="spellEnd"/>
            <w:r>
              <w:rPr>
                <w:rFonts w:cs="Arial"/>
                <w:color w:val="221E25"/>
                <w:szCs w:val="18"/>
              </w:rPr>
              <w:t xml:space="preserve"> Exchange </w:t>
            </w:r>
          </w:p>
        </w:tc>
        <w:tc>
          <w:tcPr>
            <w:tcW w:w="3400" w:type="dxa"/>
            <w:shd w:val="clear" w:color="auto" w:fill="auto"/>
          </w:tcPr>
          <w:p w:rsidR="00831687" w:rsidRPr="00EC6292" w:rsidRDefault="00831687" w:rsidP="007D71B8">
            <w:pPr>
              <w:spacing w:before="60"/>
              <w:rPr>
                <w:rFonts w:cs="Arial"/>
                <w:color w:val="221E25"/>
                <w:szCs w:val="18"/>
              </w:rPr>
            </w:pPr>
            <w:r>
              <w:rPr>
                <w:rFonts w:cs="Arial"/>
                <w:color w:val="221E25"/>
                <w:szCs w:val="18"/>
              </w:rPr>
              <w:t>Akcie</w:t>
            </w:r>
          </w:p>
        </w:tc>
      </w:tr>
      <w:tr w:rsidR="00831687" w:rsidRPr="00EC6292" w:rsidTr="007D71B8">
        <w:tc>
          <w:tcPr>
            <w:tcW w:w="3399" w:type="dxa"/>
            <w:shd w:val="clear" w:color="auto" w:fill="auto"/>
          </w:tcPr>
          <w:p w:rsidR="00831687" w:rsidRDefault="00831687" w:rsidP="007D71B8">
            <w:pPr>
              <w:spacing w:before="60"/>
              <w:rPr>
                <w:rFonts w:cs="Arial"/>
                <w:color w:val="221E25"/>
                <w:szCs w:val="18"/>
              </w:rPr>
            </w:pPr>
            <w:r>
              <w:rPr>
                <w:rFonts w:cs="Arial"/>
                <w:color w:val="221E25"/>
                <w:szCs w:val="18"/>
              </w:rPr>
              <w:t>Belgie</w:t>
            </w:r>
          </w:p>
        </w:tc>
        <w:tc>
          <w:tcPr>
            <w:tcW w:w="3400" w:type="dxa"/>
            <w:shd w:val="clear" w:color="auto" w:fill="auto"/>
          </w:tcPr>
          <w:p w:rsidR="00831687" w:rsidRDefault="00831687" w:rsidP="007D71B8">
            <w:pPr>
              <w:spacing w:before="60"/>
              <w:rPr>
                <w:rFonts w:cs="Arial"/>
                <w:color w:val="221E25"/>
                <w:szCs w:val="18"/>
              </w:rPr>
            </w:pPr>
            <w:proofErr w:type="spellStart"/>
            <w:r>
              <w:rPr>
                <w:rFonts w:cs="Arial"/>
                <w:color w:val="221E25"/>
                <w:szCs w:val="18"/>
              </w:rPr>
              <w:t>Brussels</w:t>
            </w:r>
            <w:proofErr w:type="spellEnd"/>
            <w:r>
              <w:rPr>
                <w:rFonts w:cs="Arial"/>
                <w:color w:val="221E25"/>
                <w:szCs w:val="18"/>
              </w:rPr>
              <w:t xml:space="preserve"> </w:t>
            </w:r>
            <w:proofErr w:type="spellStart"/>
            <w:r>
              <w:rPr>
                <w:rFonts w:cs="Arial"/>
                <w:color w:val="221E25"/>
                <w:szCs w:val="18"/>
              </w:rPr>
              <w:t>Stock</w:t>
            </w:r>
            <w:proofErr w:type="spellEnd"/>
            <w:r>
              <w:rPr>
                <w:rFonts w:cs="Arial"/>
                <w:color w:val="221E25"/>
                <w:szCs w:val="18"/>
              </w:rPr>
              <w:t xml:space="preserve"> Exchange</w:t>
            </w:r>
          </w:p>
        </w:tc>
        <w:tc>
          <w:tcPr>
            <w:tcW w:w="3400" w:type="dxa"/>
            <w:shd w:val="clear" w:color="auto" w:fill="auto"/>
          </w:tcPr>
          <w:p w:rsidR="00831687" w:rsidRDefault="00831687" w:rsidP="007D71B8">
            <w:pPr>
              <w:spacing w:before="60"/>
              <w:rPr>
                <w:rFonts w:cs="Arial"/>
                <w:color w:val="221E25"/>
                <w:szCs w:val="18"/>
              </w:rPr>
            </w:pPr>
            <w:r>
              <w:rPr>
                <w:rFonts w:cs="Arial"/>
                <w:color w:val="221E25"/>
                <w:szCs w:val="18"/>
              </w:rPr>
              <w:t>Akcie</w:t>
            </w:r>
          </w:p>
        </w:tc>
      </w:tr>
      <w:tr w:rsidR="00831687" w:rsidRPr="00EC6292" w:rsidTr="007D71B8">
        <w:tc>
          <w:tcPr>
            <w:tcW w:w="3399" w:type="dxa"/>
            <w:shd w:val="clear" w:color="auto" w:fill="auto"/>
          </w:tcPr>
          <w:p w:rsidR="00831687" w:rsidRDefault="00831687" w:rsidP="007D71B8">
            <w:pPr>
              <w:spacing w:before="60"/>
              <w:rPr>
                <w:rFonts w:cs="Arial"/>
                <w:color w:val="221E25"/>
                <w:szCs w:val="18"/>
              </w:rPr>
            </w:pPr>
            <w:r>
              <w:rPr>
                <w:rFonts w:cs="Arial"/>
                <w:color w:val="221E25"/>
                <w:szCs w:val="18"/>
              </w:rPr>
              <w:t>Holandsko</w:t>
            </w:r>
          </w:p>
        </w:tc>
        <w:tc>
          <w:tcPr>
            <w:tcW w:w="3400" w:type="dxa"/>
            <w:shd w:val="clear" w:color="auto" w:fill="auto"/>
          </w:tcPr>
          <w:p w:rsidR="00831687" w:rsidRDefault="00831687" w:rsidP="007D71B8">
            <w:pPr>
              <w:spacing w:before="60"/>
              <w:rPr>
                <w:rFonts w:cs="Arial"/>
                <w:color w:val="221E25"/>
                <w:szCs w:val="18"/>
              </w:rPr>
            </w:pPr>
            <w:r>
              <w:rPr>
                <w:rFonts w:cs="Arial"/>
                <w:color w:val="221E25"/>
                <w:szCs w:val="18"/>
              </w:rPr>
              <w:t xml:space="preserve">Amsterdam </w:t>
            </w:r>
            <w:proofErr w:type="spellStart"/>
            <w:r>
              <w:rPr>
                <w:rFonts w:cs="Arial"/>
                <w:color w:val="221E25"/>
                <w:szCs w:val="18"/>
              </w:rPr>
              <w:t>Stock</w:t>
            </w:r>
            <w:proofErr w:type="spellEnd"/>
            <w:r>
              <w:rPr>
                <w:rFonts w:cs="Arial"/>
                <w:color w:val="221E25"/>
                <w:szCs w:val="18"/>
              </w:rPr>
              <w:t xml:space="preserve"> Exchange</w:t>
            </w:r>
          </w:p>
        </w:tc>
        <w:tc>
          <w:tcPr>
            <w:tcW w:w="3400" w:type="dxa"/>
            <w:shd w:val="clear" w:color="auto" w:fill="auto"/>
          </w:tcPr>
          <w:p w:rsidR="00831687" w:rsidRDefault="00831687" w:rsidP="007D71B8">
            <w:pPr>
              <w:spacing w:before="60"/>
              <w:rPr>
                <w:rFonts w:cs="Arial"/>
                <w:color w:val="221E25"/>
                <w:szCs w:val="18"/>
              </w:rPr>
            </w:pPr>
            <w:r>
              <w:rPr>
                <w:rFonts w:cs="Arial"/>
                <w:color w:val="221E25"/>
                <w:szCs w:val="18"/>
              </w:rPr>
              <w:t>Akcie</w:t>
            </w:r>
          </w:p>
        </w:tc>
      </w:tr>
      <w:tr w:rsidR="00831687" w:rsidRPr="00EC6292" w:rsidTr="007D71B8">
        <w:tc>
          <w:tcPr>
            <w:tcW w:w="3399" w:type="dxa"/>
            <w:shd w:val="clear" w:color="auto" w:fill="auto"/>
          </w:tcPr>
          <w:p w:rsidR="00831687" w:rsidRDefault="00831687" w:rsidP="007D71B8">
            <w:pPr>
              <w:spacing w:before="60"/>
              <w:rPr>
                <w:rFonts w:cs="Arial"/>
                <w:color w:val="221E25"/>
                <w:szCs w:val="18"/>
              </w:rPr>
            </w:pPr>
            <w:r>
              <w:rPr>
                <w:rFonts w:cs="Arial"/>
                <w:color w:val="221E25"/>
                <w:szCs w:val="18"/>
              </w:rPr>
              <w:t>Finsko</w:t>
            </w:r>
          </w:p>
        </w:tc>
        <w:tc>
          <w:tcPr>
            <w:tcW w:w="3400" w:type="dxa"/>
            <w:shd w:val="clear" w:color="auto" w:fill="auto"/>
          </w:tcPr>
          <w:p w:rsidR="00831687" w:rsidRDefault="00831687" w:rsidP="007D71B8">
            <w:pPr>
              <w:spacing w:before="60"/>
              <w:rPr>
                <w:rFonts w:cs="Arial"/>
                <w:color w:val="221E25"/>
                <w:szCs w:val="18"/>
              </w:rPr>
            </w:pPr>
            <w:proofErr w:type="spellStart"/>
            <w:r>
              <w:rPr>
                <w:rFonts w:cs="Arial"/>
                <w:color w:val="221E25"/>
                <w:szCs w:val="18"/>
              </w:rPr>
              <w:t>Helsinki</w:t>
            </w:r>
            <w:proofErr w:type="spellEnd"/>
            <w:r>
              <w:rPr>
                <w:rFonts w:cs="Arial"/>
                <w:color w:val="221E25"/>
                <w:szCs w:val="18"/>
              </w:rPr>
              <w:t xml:space="preserve"> </w:t>
            </w:r>
            <w:proofErr w:type="spellStart"/>
            <w:r>
              <w:rPr>
                <w:rFonts w:cs="Arial"/>
                <w:color w:val="221E25"/>
                <w:szCs w:val="18"/>
              </w:rPr>
              <w:t>Stock</w:t>
            </w:r>
            <w:proofErr w:type="spellEnd"/>
            <w:r>
              <w:rPr>
                <w:rFonts w:cs="Arial"/>
                <w:color w:val="221E25"/>
                <w:szCs w:val="18"/>
              </w:rPr>
              <w:t xml:space="preserve"> Exchange</w:t>
            </w:r>
          </w:p>
        </w:tc>
        <w:tc>
          <w:tcPr>
            <w:tcW w:w="3400" w:type="dxa"/>
            <w:shd w:val="clear" w:color="auto" w:fill="auto"/>
          </w:tcPr>
          <w:p w:rsidR="00831687" w:rsidRDefault="00831687" w:rsidP="007D71B8">
            <w:pPr>
              <w:spacing w:before="60"/>
              <w:rPr>
                <w:rFonts w:cs="Arial"/>
                <w:color w:val="221E25"/>
                <w:szCs w:val="18"/>
              </w:rPr>
            </w:pPr>
            <w:r>
              <w:rPr>
                <w:rFonts w:cs="Arial"/>
                <w:color w:val="221E25"/>
                <w:szCs w:val="18"/>
              </w:rPr>
              <w:t>Akcie</w:t>
            </w:r>
          </w:p>
        </w:tc>
      </w:tr>
      <w:tr w:rsidR="00831687" w:rsidRPr="00EC6292" w:rsidTr="007D71B8">
        <w:tc>
          <w:tcPr>
            <w:tcW w:w="3399" w:type="dxa"/>
            <w:shd w:val="clear" w:color="auto" w:fill="auto"/>
          </w:tcPr>
          <w:p w:rsidR="00831687" w:rsidRDefault="00831687" w:rsidP="007D71B8">
            <w:pPr>
              <w:spacing w:before="60"/>
              <w:rPr>
                <w:rFonts w:cs="Arial"/>
                <w:color w:val="221E25"/>
                <w:szCs w:val="18"/>
              </w:rPr>
            </w:pPr>
            <w:r>
              <w:rPr>
                <w:rFonts w:cs="Arial"/>
                <w:color w:val="221E25"/>
                <w:szCs w:val="18"/>
              </w:rPr>
              <w:t>Itálie</w:t>
            </w:r>
          </w:p>
        </w:tc>
        <w:tc>
          <w:tcPr>
            <w:tcW w:w="3400" w:type="dxa"/>
            <w:shd w:val="clear" w:color="auto" w:fill="auto"/>
          </w:tcPr>
          <w:p w:rsidR="00831687" w:rsidRDefault="00831687" w:rsidP="007D71B8">
            <w:pPr>
              <w:spacing w:before="60"/>
              <w:rPr>
                <w:rFonts w:cs="Arial"/>
                <w:color w:val="221E25"/>
                <w:szCs w:val="18"/>
              </w:rPr>
            </w:pPr>
            <w:proofErr w:type="spellStart"/>
            <w:r>
              <w:rPr>
                <w:rFonts w:cs="Arial"/>
                <w:color w:val="221E25"/>
                <w:szCs w:val="18"/>
              </w:rPr>
              <w:t>Borsa</w:t>
            </w:r>
            <w:proofErr w:type="spellEnd"/>
            <w:r>
              <w:rPr>
                <w:rFonts w:cs="Arial"/>
                <w:color w:val="221E25"/>
                <w:szCs w:val="18"/>
              </w:rPr>
              <w:t xml:space="preserve"> </w:t>
            </w:r>
            <w:proofErr w:type="spellStart"/>
            <w:r>
              <w:rPr>
                <w:rFonts w:cs="Arial"/>
                <w:color w:val="221E25"/>
                <w:szCs w:val="18"/>
              </w:rPr>
              <w:t>Italia</w:t>
            </w:r>
            <w:proofErr w:type="spellEnd"/>
            <w:r>
              <w:rPr>
                <w:rFonts w:cs="Arial"/>
                <w:color w:val="221E25"/>
                <w:szCs w:val="18"/>
              </w:rPr>
              <w:t xml:space="preserve"> (Milano)</w:t>
            </w:r>
          </w:p>
        </w:tc>
        <w:tc>
          <w:tcPr>
            <w:tcW w:w="3400" w:type="dxa"/>
            <w:shd w:val="clear" w:color="auto" w:fill="auto"/>
          </w:tcPr>
          <w:p w:rsidR="00831687" w:rsidRDefault="00831687" w:rsidP="007D71B8">
            <w:pPr>
              <w:spacing w:before="60"/>
              <w:rPr>
                <w:rFonts w:cs="Arial"/>
                <w:color w:val="221E25"/>
                <w:szCs w:val="18"/>
              </w:rPr>
            </w:pPr>
            <w:r>
              <w:rPr>
                <w:rFonts w:cs="Arial"/>
                <w:color w:val="221E25"/>
                <w:szCs w:val="18"/>
              </w:rPr>
              <w:t>Akcie</w:t>
            </w:r>
          </w:p>
        </w:tc>
      </w:tr>
      <w:tr w:rsidR="00831687" w:rsidRPr="00EC6292" w:rsidTr="007D71B8">
        <w:tc>
          <w:tcPr>
            <w:tcW w:w="3399" w:type="dxa"/>
            <w:shd w:val="clear" w:color="auto" w:fill="auto"/>
          </w:tcPr>
          <w:p w:rsidR="00831687" w:rsidRDefault="00831687" w:rsidP="007D71B8">
            <w:pPr>
              <w:spacing w:before="60"/>
              <w:rPr>
                <w:rFonts w:cs="Arial"/>
                <w:color w:val="221E25"/>
                <w:szCs w:val="18"/>
              </w:rPr>
            </w:pPr>
            <w:r>
              <w:rPr>
                <w:rFonts w:cs="Arial"/>
                <w:color w:val="221E25"/>
                <w:szCs w:val="18"/>
              </w:rPr>
              <w:t>Švýcarsko</w:t>
            </w:r>
          </w:p>
        </w:tc>
        <w:tc>
          <w:tcPr>
            <w:tcW w:w="3400" w:type="dxa"/>
            <w:shd w:val="clear" w:color="auto" w:fill="auto"/>
          </w:tcPr>
          <w:p w:rsidR="00831687" w:rsidRDefault="00831687" w:rsidP="007D71B8">
            <w:pPr>
              <w:spacing w:before="60"/>
              <w:rPr>
                <w:rFonts w:cs="Arial"/>
                <w:color w:val="221E25"/>
                <w:szCs w:val="18"/>
              </w:rPr>
            </w:pPr>
            <w:r>
              <w:rPr>
                <w:rFonts w:cs="Arial"/>
                <w:color w:val="221E25"/>
                <w:szCs w:val="18"/>
              </w:rPr>
              <w:t xml:space="preserve">SIX </w:t>
            </w:r>
            <w:proofErr w:type="spellStart"/>
            <w:r>
              <w:rPr>
                <w:rFonts w:cs="Arial"/>
                <w:color w:val="221E25"/>
                <w:szCs w:val="18"/>
              </w:rPr>
              <w:t>Swiss</w:t>
            </w:r>
            <w:proofErr w:type="spellEnd"/>
            <w:r>
              <w:rPr>
                <w:rFonts w:cs="Arial"/>
                <w:color w:val="221E25"/>
                <w:szCs w:val="18"/>
              </w:rPr>
              <w:t xml:space="preserve"> Exchange</w:t>
            </w:r>
          </w:p>
        </w:tc>
        <w:tc>
          <w:tcPr>
            <w:tcW w:w="3400" w:type="dxa"/>
            <w:shd w:val="clear" w:color="auto" w:fill="auto"/>
          </w:tcPr>
          <w:p w:rsidR="00831687" w:rsidRDefault="00831687" w:rsidP="007D71B8">
            <w:pPr>
              <w:spacing w:before="60"/>
              <w:rPr>
                <w:rFonts w:cs="Arial"/>
                <w:color w:val="221E25"/>
                <w:szCs w:val="18"/>
              </w:rPr>
            </w:pPr>
            <w:r>
              <w:rPr>
                <w:rFonts w:cs="Arial"/>
                <w:color w:val="221E25"/>
                <w:szCs w:val="18"/>
              </w:rPr>
              <w:t>Akcie, ETF</w:t>
            </w:r>
          </w:p>
        </w:tc>
      </w:tr>
    </w:tbl>
    <w:p w:rsidR="00831687" w:rsidRPr="00B52448" w:rsidRDefault="00831687" w:rsidP="00831687">
      <w:pPr>
        <w:jc w:val="both"/>
        <w:rPr>
          <w:rFonts w:cs="Arial"/>
          <w:color w:val="221E25"/>
          <w:sz w:val="16"/>
          <w:szCs w:val="16"/>
        </w:rPr>
      </w:pPr>
      <w:r w:rsidRPr="00B52448">
        <w:rPr>
          <w:rFonts w:cs="Arial"/>
          <w:color w:val="221E25"/>
          <w:sz w:val="16"/>
          <w:szCs w:val="16"/>
        </w:rPr>
        <w:t xml:space="preserve">* Cenné papíry kolektivního investování emitované společností </w:t>
      </w:r>
      <w:proofErr w:type="spellStart"/>
      <w:r w:rsidRPr="00B52448">
        <w:rPr>
          <w:rFonts w:cs="Arial"/>
          <w:color w:val="221E25"/>
          <w:sz w:val="16"/>
          <w:szCs w:val="16"/>
        </w:rPr>
        <w:t>Erste</w:t>
      </w:r>
      <w:proofErr w:type="spellEnd"/>
      <w:r w:rsidRPr="00B52448">
        <w:rPr>
          <w:rFonts w:cs="Arial"/>
          <w:color w:val="221E25"/>
          <w:sz w:val="16"/>
          <w:szCs w:val="16"/>
        </w:rPr>
        <w:t xml:space="preserve"> </w:t>
      </w:r>
      <w:proofErr w:type="spellStart"/>
      <w:r w:rsidRPr="00B52448">
        <w:rPr>
          <w:rFonts w:cs="Arial"/>
          <w:color w:val="221E25"/>
          <w:sz w:val="16"/>
          <w:szCs w:val="16"/>
        </w:rPr>
        <w:t>Asset</w:t>
      </w:r>
      <w:proofErr w:type="spellEnd"/>
      <w:r w:rsidRPr="00B52448">
        <w:rPr>
          <w:rFonts w:cs="Arial"/>
          <w:color w:val="221E25"/>
          <w:sz w:val="16"/>
          <w:szCs w:val="16"/>
        </w:rPr>
        <w:t xml:space="preserve"> Management </w:t>
      </w:r>
      <w:proofErr w:type="spellStart"/>
      <w:r w:rsidRPr="00B52448">
        <w:rPr>
          <w:rFonts w:cs="Arial"/>
          <w:color w:val="221E25"/>
          <w:sz w:val="16"/>
          <w:szCs w:val="16"/>
        </w:rPr>
        <w:t>GmbH</w:t>
      </w:r>
      <w:proofErr w:type="spellEnd"/>
      <w:r w:rsidRPr="00B52448">
        <w:rPr>
          <w:rFonts w:cs="Arial"/>
          <w:color w:val="221E25"/>
          <w:sz w:val="16"/>
          <w:szCs w:val="16"/>
        </w:rPr>
        <w:t xml:space="preserve"> a obhospodařované prostřednictvím pobočky </w:t>
      </w:r>
      <w:proofErr w:type="spellStart"/>
      <w:r w:rsidRPr="00B52448">
        <w:rPr>
          <w:rFonts w:cs="Arial"/>
          <w:color w:val="221E25"/>
          <w:sz w:val="16"/>
          <w:szCs w:val="16"/>
        </w:rPr>
        <w:t>Erste</w:t>
      </w:r>
      <w:proofErr w:type="spellEnd"/>
      <w:r w:rsidRPr="00B52448">
        <w:rPr>
          <w:rFonts w:cs="Arial"/>
          <w:color w:val="221E25"/>
          <w:sz w:val="16"/>
          <w:szCs w:val="16"/>
        </w:rPr>
        <w:t xml:space="preserve"> </w:t>
      </w:r>
      <w:proofErr w:type="spellStart"/>
      <w:r w:rsidRPr="00B52448">
        <w:rPr>
          <w:rFonts w:cs="Arial"/>
          <w:color w:val="221E25"/>
          <w:sz w:val="16"/>
          <w:szCs w:val="16"/>
        </w:rPr>
        <w:t>Asset</w:t>
      </w:r>
      <w:proofErr w:type="spellEnd"/>
      <w:r w:rsidRPr="00B52448">
        <w:rPr>
          <w:rFonts w:cs="Arial"/>
          <w:color w:val="221E25"/>
          <w:sz w:val="16"/>
          <w:szCs w:val="16"/>
        </w:rPr>
        <w:t xml:space="preserve"> Management </w:t>
      </w:r>
      <w:proofErr w:type="spellStart"/>
      <w:r w:rsidRPr="00B52448">
        <w:rPr>
          <w:rFonts w:cs="Arial"/>
          <w:color w:val="221E25"/>
          <w:sz w:val="16"/>
          <w:szCs w:val="16"/>
        </w:rPr>
        <w:t>GmbH</w:t>
      </w:r>
      <w:proofErr w:type="spellEnd"/>
      <w:r w:rsidRPr="00B52448">
        <w:rPr>
          <w:rFonts w:cs="Arial"/>
          <w:color w:val="221E25"/>
          <w:sz w:val="16"/>
          <w:szCs w:val="16"/>
        </w:rPr>
        <w:t xml:space="preserve"> v České republice.</w:t>
      </w:r>
    </w:p>
    <w:p w:rsidR="00831687" w:rsidRPr="00B52448" w:rsidRDefault="00831687" w:rsidP="00831687">
      <w:pPr>
        <w:jc w:val="both"/>
        <w:rPr>
          <w:rFonts w:cs="Arial"/>
          <w:color w:val="221E25"/>
          <w:sz w:val="16"/>
          <w:szCs w:val="16"/>
        </w:rPr>
      </w:pPr>
      <w:r w:rsidRPr="00B52448">
        <w:rPr>
          <w:rFonts w:cs="Arial"/>
          <w:color w:val="221E25"/>
          <w:sz w:val="16"/>
          <w:szCs w:val="16"/>
        </w:rPr>
        <w:t>** Cenné papíry kolektivního investování emitované společností REICO investiční společnost České spořitelny, a.s.</w:t>
      </w:r>
    </w:p>
    <w:p w:rsidR="00831687" w:rsidRPr="00B52448" w:rsidRDefault="00831687" w:rsidP="00831687">
      <w:pPr>
        <w:jc w:val="both"/>
        <w:rPr>
          <w:rFonts w:cs="Arial"/>
          <w:color w:val="221E25"/>
          <w:sz w:val="16"/>
          <w:szCs w:val="16"/>
        </w:rPr>
      </w:pPr>
      <w:r w:rsidRPr="00B52448">
        <w:rPr>
          <w:rFonts w:cs="Arial"/>
          <w:color w:val="221E25"/>
          <w:sz w:val="16"/>
          <w:szCs w:val="16"/>
        </w:rPr>
        <w:t xml:space="preserve">*** Cenné papíry kolektivního investování emitované společností ERSTE-SPARINVEST </w:t>
      </w:r>
      <w:proofErr w:type="spellStart"/>
      <w:r w:rsidRPr="00B52448">
        <w:rPr>
          <w:rFonts w:cs="Arial"/>
          <w:color w:val="221E25"/>
          <w:sz w:val="16"/>
          <w:szCs w:val="16"/>
        </w:rPr>
        <w:t>Kapitalanlagegesellschaft</w:t>
      </w:r>
      <w:proofErr w:type="spellEnd"/>
      <w:r w:rsidRPr="00B52448">
        <w:rPr>
          <w:rFonts w:cs="Arial"/>
          <w:color w:val="221E25"/>
          <w:sz w:val="16"/>
          <w:szCs w:val="16"/>
        </w:rPr>
        <w:t xml:space="preserve"> </w:t>
      </w:r>
      <w:proofErr w:type="gramStart"/>
      <w:r w:rsidRPr="00B52448">
        <w:rPr>
          <w:rFonts w:cs="Arial"/>
          <w:color w:val="221E25"/>
          <w:sz w:val="16"/>
          <w:szCs w:val="16"/>
        </w:rPr>
        <w:t>m.</w:t>
      </w:r>
      <w:proofErr w:type="spellStart"/>
      <w:r w:rsidRPr="00B52448">
        <w:rPr>
          <w:rFonts w:cs="Arial"/>
          <w:color w:val="221E25"/>
          <w:sz w:val="16"/>
          <w:szCs w:val="16"/>
        </w:rPr>
        <w:t>b.H</w:t>
      </w:r>
      <w:proofErr w:type="spellEnd"/>
      <w:r w:rsidRPr="00B52448">
        <w:rPr>
          <w:rFonts w:cs="Arial"/>
          <w:color w:val="221E25"/>
          <w:sz w:val="16"/>
          <w:szCs w:val="16"/>
        </w:rPr>
        <w:t>.</w:t>
      </w:r>
      <w:proofErr w:type="gramEnd"/>
    </w:p>
    <w:p w:rsidR="00831687" w:rsidRPr="00B52448" w:rsidRDefault="00831687" w:rsidP="00831687">
      <w:pPr>
        <w:rPr>
          <w:rFonts w:cs="Arial"/>
          <w:color w:val="221E25"/>
          <w:szCs w:val="18"/>
        </w:rPr>
      </w:pPr>
    </w:p>
    <w:p w:rsidR="00831687" w:rsidRPr="00EC6292" w:rsidRDefault="00831687" w:rsidP="00831687">
      <w:pPr>
        <w:jc w:val="both"/>
        <w:rPr>
          <w:rFonts w:cs="Arial"/>
          <w:color w:val="221E25"/>
          <w:szCs w:val="18"/>
        </w:rPr>
      </w:pPr>
      <w:r w:rsidRPr="00EC6292">
        <w:rPr>
          <w:rFonts w:cs="Arial"/>
          <w:color w:val="221E25"/>
          <w:szCs w:val="18"/>
        </w:rPr>
        <w:t xml:space="preserve">Banka jednou ročně zveřejní pro každý druh investičního nástroje pět nejlepších převodních míst a informaci o dosažené kvalitě provedení. Informace bude zveřejňována na internetových stránkách </w:t>
      </w:r>
      <w:hyperlink r:id="rId14" w:history="1">
        <w:r w:rsidRPr="00EC6292">
          <w:rPr>
            <w:rStyle w:val="Hypertextovodkaz"/>
            <w:rFonts w:cs="Arial"/>
            <w:szCs w:val="18"/>
          </w:rPr>
          <w:t>www.investicnicentrum.cz</w:t>
        </w:r>
      </w:hyperlink>
      <w:r w:rsidRPr="00EC6292">
        <w:rPr>
          <w:rFonts w:cs="Arial"/>
          <w:color w:val="221E25"/>
          <w:szCs w:val="18"/>
        </w:rPr>
        <w:t xml:space="preserve"> a </w:t>
      </w:r>
      <w:hyperlink r:id="rId15" w:history="1">
        <w:r w:rsidRPr="00EC6292">
          <w:rPr>
            <w:rStyle w:val="Hypertextovodkaz"/>
            <w:rFonts w:cs="Arial"/>
            <w:szCs w:val="18"/>
          </w:rPr>
          <w:t>www.csas.cz</w:t>
        </w:r>
      </w:hyperlink>
      <w:r w:rsidRPr="00EC6292">
        <w:rPr>
          <w:rFonts w:cs="Arial"/>
          <w:color w:val="221E25"/>
          <w:szCs w:val="18"/>
        </w:rPr>
        <w:t>.</w:t>
      </w:r>
    </w:p>
    <w:p w:rsidR="00831687" w:rsidRPr="00EC6292" w:rsidRDefault="00831687" w:rsidP="00831687">
      <w:pPr>
        <w:jc w:val="both"/>
        <w:rPr>
          <w:rFonts w:cs="Arial"/>
          <w:color w:val="221E25"/>
          <w:szCs w:val="18"/>
        </w:rPr>
      </w:pPr>
    </w:p>
    <w:p w:rsidR="00831687" w:rsidRPr="00EC6292" w:rsidRDefault="00831687" w:rsidP="00831687">
      <w:pPr>
        <w:jc w:val="center"/>
        <w:rPr>
          <w:rFonts w:cs="Arial"/>
          <w:b/>
          <w:szCs w:val="18"/>
        </w:rPr>
      </w:pPr>
      <w:r w:rsidRPr="00EC6292">
        <w:rPr>
          <w:rFonts w:cs="Arial"/>
          <w:b/>
          <w:szCs w:val="18"/>
        </w:rPr>
        <w:t>Obchodování s cennými papíry kolektivního investování</w:t>
      </w:r>
    </w:p>
    <w:p w:rsidR="00831687" w:rsidRPr="00EC6292" w:rsidRDefault="00831687" w:rsidP="00831687">
      <w:pPr>
        <w:rPr>
          <w:rFonts w:cs="Arial"/>
          <w:szCs w:val="18"/>
        </w:rPr>
      </w:pPr>
    </w:p>
    <w:p w:rsidR="00831687" w:rsidRPr="00EC6292" w:rsidRDefault="00831687" w:rsidP="00831687">
      <w:pPr>
        <w:jc w:val="both"/>
        <w:rPr>
          <w:rFonts w:cs="Arial"/>
          <w:szCs w:val="18"/>
        </w:rPr>
      </w:pPr>
      <w:r w:rsidRPr="00EC6292">
        <w:rPr>
          <w:rFonts w:cs="Arial"/>
          <w:szCs w:val="18"/>
        </w:rPr>
        <w:t>V případě cenných papírů kolektivního investování, se kterými se neobchoduje v obchodních systémech, banka provádí pokyny, jen pokud je distributorem daného cenného papíru. V těchto případech banka provádí pokyny nákupem (upsáním) nebo prodejem (zpětným odkupem) přímo u emitenta daných cenných papírů, případně u osoby pověřené emitentem.</w:t>
      </w:r>
    </w:p>
    <w:p w:rsidR="00831687" w:rsidRPr="00EC6292" w:rsidRDefault="00831687" w:rsidP="00831687">
      <w:pPr>
        <w:jc w:val="both"/>
        <w:rPr>
          <w:rFonts w:cs="Arial"/>
          <w:szCs w:val="18"/>
        </w:rPr>
      </w:pPr>
    </w:p>
    <w:p w:rsidR="00831687" w:rsidRPr="00EC6292" w:rsidRDefault="00831687" w:rsidP="00831687">
      <w:pPr>
        <w:jc w:val="both"/>
        <w:rPr>
          <w:rFonts w:cs="Arial"/>
          <w:szCs w:val="18"/>
        </w:rPr>
      </w:pPr>
      <w:r w:rsidRPr="00EC6292">
        <w:rPr>
          <w:rFonts w:cs="Arial"/>
          <w:szCs w:val="18"/>
        </w:rPr>
        <w:t xml:space="preserve">Při nákupu a prodeji cenných papírů kolektivního investování není v okamžiku podání pokynu známa cena. Konkrétní podmínky nákupu a prodeje (zejména stanovení ceny) se řídí podmínkami jednotlivých emitentů. Denní uzávěrka pro přijímání pokynů k nákupu nebo prodeji cenných papírů je 13:00 pražského času. Pozdější pokyny jsou proto zpracovány až následující pracovní den, navíc pokud má emitent denní uzávěrku dříve, je nutné počítat s dalším dnem. V případě pokynu k nákupu a prodeji cenných papírů kolektivního investování emitovaných společností REICO investiční společnost České spořitelny nebo pokynů k nákupu a prodeji cenných papírů kolektivního investování emitovaných společností </w:t>
      </w:r>
      <w:proofErr w:type="spellStart"/>
      <w:r w:rsidRPr="00EC6292">
        <w:rPr>
          <w:rFonts w:cs="Arial"/>
          <w:szCs w:val="18"/>
        </w:rPr>
        <w:t>Erste</w:t>
      </w:r>
      <w:proofErr w:type="spellEnd"/>
      <w:r w:rsidRPr="00EC6292">
        <w:rPr>
          <w:rFonts w:cs="Arial"/>
          <w:szCs w:val="18"/>
        </w:rPr>
        <w:t xml:space="preserve"> </w:t>
      </w:r>
      <w:proofErr w:type="spellStart"/>
      <w:r w:rsidRPr="00EC6292">
        <w:rPr>
          <w:rFonts w:cs="Arial"/>
          <w:szCs w:val="18"/>
        </w:rPr>
        <w:t>Asset</w:t>
      </w:r>
      <w:proofErr w:type="spellEnd"/>
      <w:r w:rsidRPr="00EC6292">
        <w:rPr>
          <w:rFonts w:cs="Arial"/>
          <w:szCs w:val="18"/>
        </w:rPr>
        <w:t xml:space="preserve"> Management </w:t>
      </w:r>
      <w:proofErr w:type="spellStart"/>
      <w:r w:rsidRPr="00EC6292">
        <w:rPr>
          <w:rFonts w:cs="Arial"/>
          <w:szCs w:val="18"/>
        </w:rPr>
        <w:t>GmbH</w:t>
      </w:r>
      <w:proofErr w:type="spellEnd"/>
      <w:r w:rsidRPr="00EC6292">
        <w:rPr>
          <w:rFonts w:cs="Arial"/>
          <w:szCs w:val="18"/>
        </w:rPr>
        <w:t xml:space="preserve"> („EAM“) a zároveň obhospodařovaných prostřednictvím pobočky EAM v České republice se denní uzávěrka </w:t>
      </w:r>
      <w:proofErr w:type="gramStart"/>
      <w:r w:rsidRPr="00EC6292">
        <w:rPr>
          <w:rFonts w:cs="Arial"/>
          <w:szCs w:val="18"/>
        </w:rPr>
        <w:t>ve</w:t>
      </w:r>
      <w:proofErr w:type="gramEnd"/>
      <w:r w:rsidRPr="00EC6292">
        <w:rPr>
          <w:rFonts w:cs="Arial"/>
          <w:szCs w:val="18"/>
        </w:rPr>
        <w:t xml:space="preserve"> 13:00 neuplatňuje a pokyny jsou zpracovány v den jejich přijetí, nebo přijetí platby, bankou. Při podání pokynu prostřednictvím aplikace elektronického bankovnictví Servis 24 banka pokyny zpracuje za podmínek stanovených pro poskytování této služby.</w:t>
      </w:r>
    </w:p>
    <w:p w:rsidR="00831687" w:rsidRPr="00EC6292" w:rsidRDefault="00831687" w:rsidP="00831687">
      <w:pPr>
        <w:jc w:val="both"/>
        <w:rPr>
          <w:rFonts w:cs="Arial"/>
          <w:szCs w:val="18"/>
        </w:rPr>
      </w:pPr>
    </w:p>
    <w:p w:rsidR="00831687" w:rsidRPr="00EC6292" w:rsidRDefault="00831687" w:rsidP="00831687">
      <w:pPr>
        <w:jc w:val="center"/>
        <w:rPr>
          <w:rFonts w:cs="Arial"/>
          <w:b/>
          <w:szCs w:val="18"/>
        </w:rPr>
      </w:pPr>
      <w:r w:rsidRPr="00EC6292">
        <w:rPr>
          <w:rFonts w:cs="Arial"/>
          <w:b/>
          <w:szCs w:val="18"/>
        </w:rPr>
        <w:t>Sdružování pokynů</w:t>
      </w:r>
    </w:p>
    <w:p w:rsidR="00831687" w:rsidRPr="00EC6292" w:rsidRDefault="00831687" w:rsidP="00831687">
      <w:pPr>
        <w:rPr>
          <w:rFonts w:cs="Arial"/>
          <w:szCs w:val="18"/>
        </w:rPr>
      </w:pPr>
    </w:p>
    <w:p w:rsidR="00831687" w:rsidRPr="00EC6292" w:rsidRDefault="00831687" w:rsidP="00831687">
      <w:pPr>
        <w:jc w:val="both"/>
        <w:rPr>
          <w:rFonts w:cs="Arial"/>
          <w:szCs w:val="18"/>
        </w:rPr>
      </w:pPr>
      <w:r w:rsidRPr="00EC6292">
        <w:rPr>
          <w:rFonts w:cs="Arial"/>
          <w:szCs w:val="18"/>
        </w:rPr>
        <w:t>Banka je oprávněna sdružovat pokyny, tj. provádět pokyny zákazníka nebo obchody na vlastní účet společně s pokyny jiných zákazníků, pokud není pravděpodobné, že sdružení pokynů bude pro zákazníky, jejichž pokyny mají být sdruženy, méně výhodné, než jejich samostatné provedení. Přesto k tomu může výjimečně dojít.</w:t>
      </w:r>
    </w:p>
    <w:p w:rsidR="00831687" w:rsidRPr="00EC6292" w:rsidRDefault="00831687" w:rsidP="00831687">
      <w:pPr>
        <w:jc w:val="both"/>
        <w:rPr>
          <w:rFonts w:cs="Arial"/>
          <w:szCs w:val="18"/>
        </w:rPr>
      </w:pPr>
    </w:p>
    <w:p w:rsidR="00831687" w:rsidRPr="00EC6292" w:rsidRDefault="00831687" w:rsidP="00831687">
      <w:pPr>
        <w:jc w:val="both"/>
        <w:rPr>
          <w:rFonts w:cs="Arial"/>
          <w:szCs w:val="18"/>
        </w:rPr>
      </w:pPr>
      <w:r w:rsidRPr="00EC6292">
        <w:rPr>
          <w:rFonts w:cs="Arial"/>
          <w:szCs w:val="18"/>
        </w:rPr>
        <w:t xml:space="preserve">Banka stanovila pravidla rozdělení plnění a závazků ze sdruženého pokynu, která jsou spravedlivá, dostatečně přesná a vždy upřednostňují zájem zákazníků před zájmem banky. Jejich součástí je i určení vlivu objemu obchodu a jeho ceny na rozdělení plnění a závazků ze sdruženého pokynu i pravidla při jeho dílčím provedení tak, aby rozdělení plnění a závazků žádného zákazníka nepoškodilo. </w:t>
      </w:r>
    </w:p>
    <w:p w:rsidR="00831687" w:rsidRDefault="00831687" w:rsidP="00831687">
      <w:pPr>
        <w:pStyle w:val="Zkrcenzpteenadresa"/>
        <w:tabs>
          <w:tab w:val="left" w:pos="-284"/>
        </w:tabs>
        <w:ind w:left="425" w:hanging="425"/>
        <w:jc w:val="both"/>
        <w:rPr>
          <w:rFonts w:ascii="Arial" w:hAnsi="Arial" w:cs="Arial"/>
          <w:sz w:val="18"/>
          <w:szCs w:val="18"/>
        </w:rPr>
      </w:pPr>
    </w:p>
    <w:p w:rsidR="00831687" w:rsidRDefault="00831687" w:rsidP="00831687">
      <w:pPr>
        <w:pStyle w:val="Zkrcenzpteenadresa"/>
        <w:tabs>
          <w:tab w:val="left" w:pos="-284"/>
        </w:tabs>
        <w:ind w:left="425" w:hanging="425"/>
        <w:jc w:val="both"/>
        <w:rPr>
          <w:rFonts w:ascii="Arial" w:hAnsi="Arial" w:cs="Arial"/>
          <w:sz w:val="18"/>
          <w:szCs w:val="18"/>
        </w:rPr>
      </w:pPr>
    </w:p>
    <w:p w:rsidR="00831687" w:rsidRPr="00EC6292" w:rsidRDefault="00831687" w:rsidP="00831687">
      <w:pPr>
        <w:pStyle w:val="Zkrcenzpteenadresa"/>
        <w:tabs>
          <w:tab w:val="left" w:pos="-284"/>
        </w:tabs>
        <w:ind w:left="425" w:hanging="425"/>
        <w:jc w:val="both"/>
        <w:rPr>
          <w:rFonts w:ascii="Arial" w:hAnsi="Arial" w:cs="Arial"/>
          <w:sz w:val="18"/>
          <w:szCs w:val="18"/>
        </w:rPr>
      </w:pPr>
    </w:p>
    <w:p w:rsidR="00831687" w:rsidRPr="00EC6292" w:rsidRDefault="00831687" w:rsidP="00831687">
      <w:pPr>
        <w:jc w:val="center"/>
        <w:rPr>
          <w:rFonts w:cs="Arial"/>
          <w:szCs w:val="18"/>
        </w:rPr>
      </w:pPr>
      <w:r w:rsidRPr="00EC6292">
        <w:rPr>
          <w:rFonts w:cs="Arial"/>
          <w:b/>
          <w:szCs w:val="18"/>
        </w:rPr>
        <w:lastRenderedPageBreak/>
        <w:t>Pobídky od třetích stran</w:t>
      </w:r>
    </w:p>
    <w:p w:rsidR="00831687" w:rsidRPr="00EC6292" w:rsidRDefault="00831687" w:rsidP="00831687">
      <w:pPr>
        <w:pStyle w:val="Zkrcenzpteenadresa"/>
        <w:tabs>
          <w:tab w:val="left" w:pos="-284"/>
        </w:tabs>
        <w:jc w:val="both"/>
        <w:rPr>
          <w:rFonts w:ascii="Arial" w:hAnsi="Arial" w:cs="Arial"/>
          <w:sz w:val="18"/>
          <w:szCs w:val="18"/>
        </w:rPr>
      </w:pPr>
    </w:p>
    <w:p w:rsidR="00831687" w:rsidRPr="00EC6292" w:rsidRDefault="00831687" w:rsidP="00831687">
      <w:pPr>
        <w:pStyle w:val="Default"/>
        <w:jc w:val="both"/>
        <w:rPr>
          <w:sz w:val="18"/>
          <w:szCs w:val="18"/>
        </w:rPr>
      </w:pPr>
      <w:r w:rsidRPr="00EC6292">
        <w:rPr>
          <w:sz w:val="18"/>
          <w:szCs w:val="18"/>
        </w:rPr>
        <w:t xml:space="preserve">Podle existujících smluv s třetími stranami (správci fondů kolektivního investování) může banka v souvislosti s poskytováním investičních služeb od těchto třetích stran obdržet plnění, tzv. pobídky ve formě provizí. Tyto pobídky slouží ke zlepšení kvality služeb banky nebo zajišťují kvalitu péče o zákazníky z dlouhodobého hlediska. Přijímání takových pobídek není v rozporu s povinností banky jednat v nejlepším zájmu zákazníka. </w:t>
      </w:r>
    </w:p>
    <w:p w:rsidR="00831687" w:rsidRPr="00EC6292" w:rsidRDefault="00831687" w:rsidP="00831687">
      <w:pPr>
        <w:jc w:val="both"/>
        <w:rPr>
          <w:rFonts w:cs="Arial"/>
          <w:szCs w:val="18"/>
        </w:rPr>
      </w:pPr>
    </w:p>
    <w:p w:rsidR="00831687" w:rsidRPr="00EC6292" w:rsidRDefault="00831687" w:rsidP="00831687">
      <w:pPr>
        <w:jc w:val="both"/>
        <w:rPr>
          <w:rFonts w:cs="Arial"/>
          <w:szCs w:val="18"/>
        </w:rPr>
      </w:pPr>
      <w:r w:rsidRPr="00EC6292">
        <w:rPr>
          <w:rFonts w:cs="Arial"/>
          <w:szCs w:val="18"/>
        </w:rPr>
        <w:t>Pobídky od správců fondů kolektivního investování mají zpravidla podobu poplatku z objemu obhospodařovaného majetku ve fondu (jako odměna banky za distribuci těchto produktů). Jejich výše v závislosti na druhu fondu je uvedena níže:</w:t>
      </w:r>
    </w:p>
    <w:p w:rsidR="00831687" w:rsidRPr="00EC6292" w:rsidRDefault="00831687" w:rsidP="00831687">
      <w:pPr>
        <w:jc w:val="both"/>
        <w:rPr>
          <w:rFonts w:cs="Arial"/>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9"/>
        <w:gridCol w:w="2559"/>
        <w:gridCol w:w="2559"/>
        <w:gridCol w:w="2559"/>
      </w:tblGrid>
      <w:tr w:rsidR="00831687" w:rsidRPr="00EC6292" w:rsidTr="007D71B8">
        <w:tc>
          <w:tcPr>
            <w:tcW w:w="5118" w:type="dxa"/>
            <w:gridSpan w:val="2"/>
          </w:tcPr>
          <w:p w:rsidR="00831687" w:rsidRPr="00EC6292" w:rsidRDefault="00831687" w:rsidP="007D71B8">
            <w:pPr>
              <w:jc w:val="center"/>
              <w:rPr>
                <w:rFonts w:cs="Arial"/>
                <w:szCs w:val="18"/>
              </w:rPr>
            </w:pPr>
            <w:r w:rsidRPr="00EC6292">
              <w:rPr>
                <w:rFonts w:cs="Arial"/>
                <w:b/>
                <w:szCs w:val="18"/>
              </w:rPr>
              <w:t>Fondy EAM a REICO</w:t>
            </w:r>
          </w:p>
        </w:tc>
        <w:tc>
          <w:tcPr>
            <w:tcW w:w="5118" w:type="dxa"/>
            <w:gridSpan w:val="2"/>
          </w:tcPr>
          <w:p w:rsidR="00831687" w:rsidRPr="00EC6292" w:rsidRDefault="00831687" w:rsidP="007D71B8">
            <w:pPr>
              <w:jc w:val="center"/>
              <w:rPr>
                <w:rFonts w:cs="Arial"/>
                <w:szCs w:val="18"/>
              </w:rPr>
            </w:pPr>
            <w:r w:rsidRPr="00EC6292">
              <w:rPr>
                <w:rFonts w:cs="Arial"/>
                <w:b/>
                <w:szCs w:val="18"/>
              </w:rPr>
              <w:t>Fondy ERSTE-SPARINVEST</w:t>
            </w:r>
          </w:p>
        </w:tc>
      </w:tr>
      <w:tr w:rsidR="00831687" w:rsidRPr="00EC6292" w:rsidTr="007D71B8">
        <w:tc>
          <w:tcPr>
            <w:tcW w:w="2559" w:type="dxa"/>
          </w:tcPr>
          <w:p w:rsidR="00831687" w:rsidRPr="00EC6292" w:rsidRDefault="00831687" w:rsidP="007D71B8">
            <w:pPr>
              <w:jc w:val="both"/>
              <w:rPr>
                <w:rFonts w:cs="Arial"/>
                <w:szCs w:val="18"/>
              </w:rPr>
            </w:pPr>
            <w:r w:rsidRPr="00EC6292">
              <w:rPr>
                <w:rFonts w:cs="Arial"/>
                <w:szCs w:val="18"/>
              </w:rPr>
              <w:t>Akciové fondy</w:t>
            </w:r>
          </w:p>
        </w:tc>
        <w:tc>
          <w:tcPr>
            <w:tcW w:w="2559" w:type="dxa"/>
          </w:tcPr>
          <w:p w:rsidR="00831687" w:rsidRPr="00EC6292" w:rsidRDefault="00831687" w:rsidP="007D71B8">
            <w:pPr>
              <w:jc w:val="both"/>
              <w:rPr>
                <w:rFonts w:cs="Arial"/>
                <w:szCs w:val="18"/>
              </w:rPr>
            </w:pPr>
            <w:r w:rsidRPr="00EC6292">
              <w:rPr>
                <w:rFonts w:cs="Arial"/>
                <w:szCs w:val="18"/>
              </w:rPr>
              <w:t>0% až 2%</w:t>
            </w:r>
          </w:p>
        </w:tc>
        <w:tc>
          <w:tcPr>
            <w:tcW w:w="2559" w:type="dxa"/>
          </w:tcPr>
          <w:p w:rsidR="00831687" w:rsidRPr="00EC6292" w:rsidRDefault="00831687" w:rsidP="007D71B8">
            <w:pPr>
              <w:jc w:val="both"/>
              <w:rPr>
                <w:rFonts w:cs="Arial"/>
                <w:szCs w:val="18"/>
              </w:rPr>
            </w:pPr>
            <w:r w:rsidRPr="00EC6292">
              <w:rPr>
                <w:rFonts w:cs="Arial"/>
                <w:szCs w:val="18"/>
              </w:rPr>
              <w:t>Akciové fondy</w:t>
            </w:r>
          </w:p>
        </w:tc>
        <w:tc>
          <w:tcPr>
            <w:tcW w:w="2559" w:type="dxa"/>
          </w:tcPr>
          <w:p w:rsidR="00831687" w:rsidRPr="00EC6292" w:rsidRDefault="00831687" w:rsidP="007D71B8">
            <w:pPr>
              <w:jc w:val="both"/>
              <w:rPr>
                <w:rFonts w:cs="Arial"/>
                <w:szCs w:val="18"/>
              </w:rPr>
            </w:pPr>
            <w:r w:rsidRPr="00EC6292">
              <w:rPr>
                <w:rFonts w:cs="Arial"/>
                <w:szCs w:val="18"/>
              </w:rPr>
              <w:t>0% až 1,17%</w:t>
            </w:r>
          </w:p>
        </w:tc>
      </w:tr>
      <w:tr w:rsidR="00831687" w:rsidRPr="00EC6292" w:rsidTr="007D71B8">
        <w:tc>
          <w:tcPr>
            <w:tcW w:w="2559" w:type="dxa"/>
          </w:tcPr>
          <w:p w:rsidR="00831687" w:rsidRPr="00EC6292" w:rsidRDefault="00831687" w:rsidP="007D71B8">
            <w:pPr>
              <w:jc w:val="both"/>
              <w:rPr>
                <w:rFonts w:cs="Arial"/>
                <w:szCs w:val="18"/>
              </w:rPr>
            </w:pPr>
            <w:r w:rsidRPr="00EC6292">
              <w:rPr>
                <w:rFonts w:cs="Arial"/>
                <w:szCs w:val="18"/>
              </w:rPr>
              <w:t>Dluhopisové fondy</w:t>
            </w:r>
          </w:p>
        </w:tc>
        <w:tc>
          <w:tcPr>
            <w:tcW w:w="2559" w:type="dxa"/>
          </w:tcPr>
          <w:p w:rsidR="00831687" w:rsidRPr="00EC6292" w:rsidRDefault="00831687" w:rsidP="007D71B8">
            <w:pPr>
              <w:jc w:val="both"/>
              <w:rPr>
                <w:rFonts w:cs="Arial"/>
                <w:szCs w:val="18"/>
              </w:rPr>
            </w:pPr>
            <w:r w:rsidRPr="00EC6292">
              <w:rPr>
                <w:rFonts w:cs="Arial"/>
                <w:szCs w:val="18"/>
              </w:rPr>
              <w:t>0% až 1,20%</w:t>
            </w:r>
          </w:p>
        </w:tc>
        <w:tc>
          <w:tcPr>
            <w:tcW w:w="2559" w:type="dxa"/>
          </w:tcPr>
          <w:p w:rsidR="00831687" w:rsidRPr="00EC6292" w:rsidRDefault="00831687" w:rsidP="007D71B8">
            <w:pPr>
              <w:jc w:val="both"/>
              <w:rPr>
                <w:rFonts w:cs="Arial"/>
                <w:szCs w:val="18"/>
              </w:rPr>
            </w:pPr>
            <w:r w:rsidRPr="00EC6292">
              <w:rPr>
                <w:rFonts w:cs="Arial"/>
                <w:szCs w:val="18"/>
              </w:rPr>
              <w:t>Dluhopisové fondy</w:t>
            </w:r>
          </w:p>
        </w:tc>
        <w:tc>
          <w:tcPr>
            <w:tcW w:w="2559" w:type="dxa"/>
          </w:tcPr>
          <w:p w:rsidR="00831687" w:rsidRPr="00EC6292" w:rsidRDefault="00831687" w:rsidP="007D71B8">
            <w:pPr>
              <w:jc w:val="both"/>
              <w:rPr>
                <w:rFonts w:cs="Arial"/>
                <w:szCs w:val="18"/>
              </w:rPr>
            </w:pPr>
            <w:r w:rsidRPr="00EC6292">
              <w:rPr>
                <w:rFonts w:cs="Arial"/>
                <w:szCs w:val="18"/>
              </w:rPr>
              <w:t>0% až 0,65%</w:t>
            </w:r>
          </w:p>
        </w:tc>
      </w:tr>
      <w:tr w:rsidR="00831687" w:rsidRPr="00EC6292" w:rsidTr="007D71B8">
        <w:tc>
          <w:tcPr>
            <w:tcW w:w="2559" w:type="dxa"/>
          </w:tcPr>
          <w:p w:rsidR="00831687" w:rsidRPr="00EC6292" w:rsidRDefault="00831687" w:rsidP="007D71B8">
            <w:pPr>
              <w:jc w:val="both"/>
              <w:rPr>
                <w:rFonts w:cs="Arial"/>
                <w:szCs w:val="18"/>
              </w:rPr>
            </w:pPr>
            <w:r w:rsidRPr="00EC6292">
              <w:rPr>
                <w:rFonts w:cs="Arial"/>
                <w:szCs w:val="18"/>
              </w:rPr>
              <w:t>Ostatní fondy</w:t>
            </w:r>
          </w:p>
        </w:tc>
        <w:tc>
          <w:tcPr>
            <w:tcW w:w="2559" w:type="dxa"/>
          </w:tcPr>
          <w:p w:rsidR="00831687" w:rsidRPr="00EC6292" w:rsidRDefault="00831687" w:rsidP="007D71B8">
            <w:pPr>
              <w:jc w:val="both"/>
              <w:rPr>
                <w:rFonts w:cs="Arial"/>
                <w:szCs w:val="18"/>
              </w:rPr>
            </w:pPr>
            <w:r w:rsidRPr="00EC6292">
              <w:rPr>
                <w:rFonts w:cs="Arial"/>
                <w:szCs w:val="18"/>
              </w:rPr>
              <w:t>0% až 0,84%</w:t>
            </w:r>
          </w:p>
        </w:tc>
        <w:tc>
          <w:tcPr>
            <w:tcW w:w="2559" w:type="dxa"/>
          </w:tcPr>
          <w:p w:rsidR="00831687" w:rsidRPr="00EC6292" w:rsidRDefault="00831687" w:rsidP="007D71B8">
            <w:pPr>
              <w:jc w:val="both"/>
              <w:rPr>
                <w:rFonts w:cs="Arial"/>
                <w:szCs w:val="18"/>
              </w:rPr>
            </w:pPr>
            <w:r w:rsidRPr="00EC6292">
              <w:rPr>
                <w:rFonts w:cs="Arial"/>
                <w:szCs w:val="18"/>
              </w:rPr>
              <w:t>Ostatní fondy</w:t>
            </w:r>
          </w:p>
        </w:tc>
        <w:tc>
          <w:tcPr>
            <w:tcW w:w="2559" w:type="dxa"/>
          </w:tcPr>
          <w:p w:rsidR="00831687" w:rsidRPr="00EC6292" w:rsidRDefault="00831687" w:rsidP="007D71B8">
            <w:pPr>
              <w:jc w:val="both"/>
              <w:rPr>
                <w:rFonts w:cs="Arial"/>
                <w:szCs w:val="18"/>
              </w:rPr>
            </w:pPr>
            <w:r w:rsidRPr="00EC6292">
              <w:rPr>
                <w:rFonts w:cs="Arial"/>
                <w:szCs w:val="18"/>
              </w:rPr>
              <w:t>0% až 0,84%</w:t>
            </w:r>
          </w:p>
        </w:tc>
      </w:tr>
    </w:tbl>
    <w:p w:rsidR="00831687" w:rsidRPr="00EC6292" w:rsidRDefault="00831687" w:rsidP="00831687">
      <w:pPr>
        <w:jc w:val="both"/>
        <w:rPr>
          <w:rFonts w:cs="Arial"/>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8"/>
        <w:gridCol w:w="5118"/>
      </w:tblGrid>
      <w:tr w:rsidR="00831687" w:rsidRPr="00EC6292" w:rsidTr="007D71B8">
        <w:tc>
          <w:tcPr>
            <w:tcW w:w="5118" w:type="dxa"/>
          </w:tcPr>
          <w:p w:rsidR="00831687" w:rsidRPr="00EC6292" w:rsidRDefault="00831687" w:rsidP="007D71B8">
            <w:pPr>
              <w:jc w:val="center"/>
              <w:rPr>
                <w:rFonts w:cs="Arial"/>
                <w:szCs w:val="18"/>
              </w:rPr>
            </w:pPr>
            <w:r w:rsidRPr="00EC6292">
              <w:rPr>
                <w:rFonts w:cs="Arial"/>
                <w:b/>
                <w:szCs w:val="18"/>
              </w:rPr>
              <w:t>Fondy třetích stran</w:t>
            </w:r>
          </w:p>
        </w:tc>
        <w:tc>
          <w:tcPr>
            <w:tcW w:w="5118" w:type="dxa"/>
          </w:tcPr>
          <w:p w:rsidR="00831687" w:rsidRPr="00EC6292" w:rsidRDefault="00831687" w:rsidP="007D71B8">
            <w:pPr>
              <w:jc w:val="both"/>
              <w:rPr>
                <w:rFonts w:cs="Arial"/>
                <w:szCs w:val="18"/>
              </w:rPr>
            </w:pPr>
            <w:r w:rsidRPr="00EC6292">
              <w:rPr>
                <w:rFonts w:cs="Arial"/>
                <w:szCs w:val="18"/>
              </w:rPr>
              <w:t>0% až 1,25%</w:t>
            </w:r>
          </w:p>
        </w:tc>
      </w:tr>
    </w:tbl>
    <w:p w:rsidR="00831687" w:rsidRPr="00EC6292" w:rsidRDefault="00831687" w:rsidP="00831687">
      <w:pPr>
        <w:jc w:val="both"/>
        <w:rPr>
          <w:rFonts w:cs="Arial"/>
          <w:szCs w:val="18"/>
        </w:rPr>
      </w:pPr>
    </w:p>
    <w:p w:rsidR="00831687" w:rsidRPr="00EC6292" w:rsidRDefault="00831687" w:rsidP="00831687">
      <w:pPr>
        <w:jc w:val="both"/>
        <w:rPr>
          <w:rFonts w:cs="Arial"/>
          <w:szCs w:val="18"/>
        </w:rPr>
      </w:pPr>
      <w:r w:rsidRPr="00EC6292">
        <w:rPr>
          <w:rFonts w:cs="Arial"/>
          <w:szCs w:val="18"/>
        </w:rPr>
        <w:t>V případě, že banka využívá k poskytování investičních služeb investiční zprostředkovatele nebo vázané zástupce, vyplácí těmto osobám provize. Banka poskytuje také službu investičního poradenství při obhospodařování vybraných fondů a za tuto službu dostává od správce příslušného fondu odměnu. Podrobnější informace banka poskytne na požádání.</w:t>
      </w:r>
    </w:p>
    <w:p w:rsidR="00831687" w:rsidRPr="00EC6292" w:rsidRDefault="00831687" w:rsidP="00831687">
      <w:pPr>
        <w:jc w:val="center"/>
        <w:rPr>
          <w:rFonts w:cs="Arial"/>
          <w:b/>
          <w:szCs w:val="18"/>
        </w:rPr>
      </w:pPr>
    </w:p>
    <w:p w:rsidR="00831687" w:rsidRPr="00EC6292" w:rsidRDefault="00831687" w:rsidP="00831687">
      <w:pPr>
        <w:jc w:val="center"/>
        <w:rPr>
          <w:rFonts w:cs="Arial"/>
          <w:b/>
          <w:szCs w:val="18"/>
        </w:rPr>
      </w:pPr>
      <w:r w:rsidRPr="00EC6292">
        <w:rPr>
          <w:rFonts w:cs="Arial"/>
          <w:b/>
          <w:szCs w:val="18"/>
        </w:rPr>
        <w:t>Investiční poradenství</w:t>
      </w:r>
    </w:p>
    <w:p w:rsidR="00831687" w:rsidRPr="00EC6292" w:rsidRDefault="00831687" w:rsidP="00831687">
      <w:pPr>
        <w:jc w:val="both"/>
        <w:rPr>
          <w:rFonts w:cs="Arial"/>
          <w:szCs w:val="18"/>
        </w:rPr>
      </w:pPr>
    </w:p>
    <w:p w:rsidR="00831687" w:rsidRPr="00EC6292" w:rsidRDefault="00831687" w:rsidP="00831687">
      <w:pPr>
        <w:jc w:val="both"/>
        <w:rPr>
          <w:rFonts w:cs="Arial"/>
          <w:szCs w:val="18"/>
        </w:rPr>
      </w:pPr>
      <w:r w:rsidRPr="00EC6292">
        <w:rPr>
          <w:rFonts w:cs="Arial"/>
          <w:szCs w:val="18"/>
        </w:rPr>
        <w:t>Banka neposkytuje nezávislé investiční poradenství, jelikož produkty, které banka doporučuje, jsou investičními nástroji emitentů, s nimiž banka spolupracuje.</w:t>
      </w:r>
    </w:p>
    <w:p w:rsidR="00831687" w:rsidRPr="00EC6292" w:rsidRDefault="00831687" w:rsidP="00831687">
      <w:pPr>
        <w:jc w:val="both"/>
        <w:rPr>
          <w:rFonts w:cs="Arial"/>
          <w:szCs w:val="18"/>
        </w:rPr>
      </w:pPr>
    </w:p>
    <w:p w:rsidR="00831687" w:rsidRPr="00EC6292" w:rsidRDefault="00831687" w:rsidP="00831687">
      <w:pPr>
        <w:jc w:val="both"/>
        <w:rPr>
          <w:rFonts w:cs="Arial"/>
          <w:szCs w:val="18"/>
        </w:rPr>
      </w:pPr>
      <w:r w:rsidRPr="00EC6292">
        <w:rPr>
          <w:rFonts w:cs="Arial"/>
          <w:szCs w:val="18"/>
        </w:rPr>
        <w:t>Pravidelné hodnocení vhodnosti investičních nástrojů doporučených zákazníkovi banka neposkytuje.</w:t>
      </w:r>
    </w:p>
    <w:p w:rsidR="00831687" w:rsidRPr="00EC6292" w:rsidRDefault="00831687" w:rsidP="00831687">
      <w:pPr>
        <w:jc w:val="both"/>
        <w:rPr>
          <w:rFonts w:cs="Arial"/>
          <w:szCs w:val="18"/>
        </w:rPr>
      </w:pPr>
    </w:p>
    <w:p w:rsidR="00831687" w:rsidRPr="00EC6292" w:rsidRDefault="00831687" w:rsidP="00831687">
      <w:pPr>
        <w:jc w:val="center"/>
        <w:rPr>
          <w:rFonts w:cs="Arial"/>
          <w:b/>
          <w:szCs w:val="18"/>
        </w:rPr>
      </w:pPr>
      <w:r w:rsidRPr="00EC6292">
        <w:rPr>
          <w:rFonts w:cs="Arial"/>
          <w:b/>
          <w:szCs w:val="18"/>
        </w:rPr>
        <w:t>Ilustrativní příklad dopadu nákladů na návratnost investice</w:t>
      </w:r>
    </w:p>
    <w:p w:rsidR="00831687" w:rsidRPr="00EC6292" w:rsidRDefault="00831687" w:rsidP="00831687">
      <w:pPr>
        <w:jc w:val="center"/>
        <w:rPr>
          <w:rFonts w:cs="Arial"/>
          <w:b/>
          <w:szCs w:val="18"/>
        </w:rPr>
      </w:pPr>
    </w:p>
    <w:p w:rsidR="00831687" w:rsidRPr="00EC6292" w:rsidRDefault="00831687" w:rsidP="00831687">
      <w:pPr>
        <w:pStyle w:val="Zkrcenzpteenadresa"/>
        <w:tabs>
          <w:tab w:val="left" w:pos="-284"/>
        </w:tabs>
        <w:jc w:val="both"/>
        <w:rPr>
          <w:rFonts w:ascii="Arial" w:hAnsi="Arial" w:cs="Arial"/>
          <w:sz w:val="18"/>
          <w:szCs w:val="18"/>
        </w:rPr>
      </w:pPr>
      <w:r w:rsidRPr="00EC6292">
        <w:rPr>
          <w:rFonts w:ascii="Arial" w:hAnsi="Arial" w:cs="Arial"/>
          <w:sz w:val="18"/>
          <w:szCs w:val="18"/>
        </w:rPr>
        <w:t>Následující tabulka znázorňuje ilustrativní příklad souhrnného dopadu nákladů na návratnost počáteční investice. Čistý výnos nebo ztráta z počáteční investice představuje rozdíl mezi výší hrubého výnosu a nákladů.</w:t>
      </w:r>
    </w:p>
    <w:p w:rsidR="00831687" w:rsidRPr="00EC6292" w:rsidRDefault="00831687" w:rsidP="00831687">
      <w:pPr>
        <w:pStyle w:val="Zkrcenzpteenadresa"/>
        <w:tabs>
          <w:tab w:val="left" w:pos="-284"/>
        </w:tabs>
        <w:jc w:val="both"/>
        <w:rPr>
          <w:rFonts w:ascii="Arial" w:hAnsi="Arial" w:cs="Arial"/>
          <w:sz w:val="18"/>
          <w:szCs w:val="18"/>
        </w:rPr>
      </w:pPr>
    </w:p>
    <w:tbl>
      <w:tblPr>
        <w:tblW w:w="0" w:type="auto"/>
        <w:tblInd w:w="108" w:type="dxa"/>
        <w:tblLook w:val="04A0"/>
      </w:tblPr>
      <w:tblGrid>
        <w:gridCol w:w="1122"/>
        <w:gridCol w:w="1997"/>
        <w:gridCol w:w="1417"/>
        <w:gridCol w:w="1418"/>
        <w:gridCol w:w="1984"/>
        <w:gridCol w:w="2268"/>
      </w:tblGrid>
      <w:tr w:rsidR="00831687" w:rsidRPr="00EC6292" w:rsidTr="007D71B8">
        <w:tc>
          <w:tcPr>
            <w:tcW w:w="1122" w:type="dxa"/>
            <w:tcBorders>
              <w:top w:val="single" w:sz="4" w:space="0" w:color="auto"/>
              <w:left w:val="single" w:sz="4" w:space="0" w:color="auto"/>
              <w:bottom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b/>
                <w:bCs/>
                <w:sz w:val="18"/>
                <w:szCs w:val="18"/>
              </w:rPr>
            </w:pP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b/>
                <w:bCs/>
                <w:sz w:val="18"/>
                <w:szCs w:val="18"/>
              </w:rPr>
            </w:pPr>
            <w:r w:rsidRPr="00EC6292">
              <w:rPr>
                <w:rFonts w:ascii="Arial" w:hAnsi="Arial" w:cs="Arial"/>
                <w:b/>
                <w:bCs/>
                <w:sz w:val="18"/>
                <w:szCs w:val="18"/>
              </w:rPr>
              <w:t>Počáteční investice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b/>
                <w:bCs/>
                <w:sz w:val="18"/>
                <w:szCs w:val="18"/>
              </w:rPr>
            </w:pPr>
            <w:r w:rsidRPr="00EC6292">
              <w:rPr>
                <w:rFonts w:ascii="Arial" w:hAnsi="Arial" w:cs="Arial"/>
                <w:b/>
                <w:bCs/>
                <w:sz w:val="18"/>
                <w:szCs w:val="18"/>
              </w:rPr>
              <w:t>Náklady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b/>
                <w:bCs/>
                <w:sz w:val="18"/>
                <w:szCs w:val="18"/>
              </w:rPr>
            </w:pPr>
            <w:r w:rsidRPr="00EC6292">
              <w:rPr>
                <w:rFonts w:ascii="Arial" w:hAnsi="Arial" w:cs="Arial"/>
                <w:b/>
                <w:bCs/>
                <w:sz w:val="18"/>
                <w:szCs w:val="18"/>
              </w:rPr>
              <w:t>Hrubý výnos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b/>
                <w:bCs/>
                <w:sz w:val="18"/>
                <w:szCs w:val="18"/>
              </w:rPr>
            </w:pPr>
            <w:r w:rsidRPr="00EC6292">
              <w:rPr>
                <w:rFonts w:ascii="Arial" w:hAnsi="Arial" w:cs="Arial"/>
                <w:b/>
                <w:bCs/>
                <w:sz w:val="18"/>
                <w:szCs w:val="18"/>
              </w:rPr>
              <w:t>Čistý výnos/ ztráta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b/>
                <w:bCs/>
                <w:sz w:val="18"/>
                <w:szCs w:val="18"/>
              </w:rPr>
            </w:pPr>
            <w:r w:rsidRPr="00EC6292">
              <w:rPr>
                <w:rFonts w:ascii="Arial" w:hAnsi="Arial" w:cs="Arial"/>
                <w:b/>
                <w:bCs/>
                <w:sz w:val="18"/>
                <w:szCs w:val="18"/>
              </w:rPr>
              <w:t>Dopad nákladů</w:t>
            </w:r>
          </w:p>
        </w:tc>
      </w:tr>
      <w:tr w:rsidR="00831687" w:rsidRPr="00EC6292" w:rsidTr="007D71B8">
        <w:tc>
          <w:tcPr>
            <w:tcW w:w="1122" w:type="dxa"/>
            <w:tcBorders>
              <w:top w:val="single" w:sz="4" w:space="0" w:color="auto"/>
              <w:left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Varianta 1</w:t>
            </w:r>
          </w:p>
        </w:tc>
        <w:tc>
          <w:tcPr>
            <w:tcW w:w="1997" w:type="dxa"/>
            <w:tcBorders>
              <w:top w:val="single" w:sz="4" w:space="0" w:color="auto"/>
              <w:left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10.000 Kč</w:t>
            </w:r>
          </w:p>
        </w:tc>
        <w:tc>
          <w:tcPr>
            <w:tcW w:w="1417" w:type="dxa"/>
            <w:tcBorders>
              <w:top w:val="single" w:sz="4" w:space="0" w:color="auto"/>
              <w:left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100 Kč</w:t>
            </w:r>
          </w:p>
        </w:tc>
        <w:tc>
          <w:tcPr>
            <w:tcW w:w="1418" w:type="dxa"/>
            <w:tcBorders>
              <w:top w:val="single" w:sz="4" w:space="0" w:color="auto"/>
              <w:left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225 Kč</w:t>
            </w:r>
          </w:p>
        </w:tc>
        <w:tc>
          <w:tcPr>
            <w:tcW w:w="1984" w:type="dxa"/>
            <w:tcBorders>
              <w:top w:val="single" w:sz="4" w:space="0" w:color="auto"/>
              <w:left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125 Kč</w:t>
            </w:r>
          </w:p>
        </w:tc>
        <w:tc>
          <w:tcPr>
            <w:tcW w:w="2268" w:type="dxa"/>
            <w:tcBorders>
              <w:top w:val="single" w:sz="4" w:space="0" w:color="auto"/>
              <w:left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Investice bude zisková</w:t>
            </w:r>
          </w:p>
        </w:tc>
      </w:tr>
      <w:tr w:rsidR="00831687" w:rsidRPr="00EC6292" w:rsidTr="007D71B8">
        <w:trPr>
          <w:trHeight w:val="203"/>
        </w:trPr>
        <w:tc>
          <w:tcPr>
            <w:tcW w:w="1122" w:type="dxa"/>
            <w:tcBorders>
              <w:left w:val="single" w:sz="4" w:space="0" w:color="auto"/>
              <w:bottom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p>
        </w:tc>
        <w:tc>
          <w:tcPr>
            <w:tcW w:w="1997" w:type="dxa"/>
            <w:tcBorders>
              <w:left w:val="single" w:sz="4" w:space="0" w:color="auto"/>
              <w:bottom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p>
        </w:tc>
        <w:tc>
          <w:tcPr>
            <w:tcW w:w="1417" w:type="dxa"/>
            <w:tcBorders>
              <w:left w:val="single" w:sz="4" w:space="0" w:color="auto"/>
              <w:bottom w:val="single" w:sz="4" w:space="0" w:color="auto"/>
              <w:right w:val="single" w:sz="4" w:space="0" w:color="auto"/>
            </w:tcBorders>
            <w:shd w:val="clear" w:color="auto" w:fill="auto"/>
          </w:tcPr>
          <w:p w:rsidR="00831687" w:rsidRPr="00793557" w:rsidRDefault="00831687" w:rsidP="007D71B8">
            <w:pPr>
              <w:pStyle w:val="Zkrcenzpteenadresa"/>
              <w:tabs>
                <w:tab w:val="left" w:pos="-284"/>
              </w:tabs>
              <w:jc w:val="both"/>
              <w:rPr>
                <w:rFonts w:ascii="Arial" w:hAnsi="Arial" w:cs="Arial"/>
                <w:sz w:val="18"/>
                <w:szCs w:val="18"/>
              </w:rPr>
            </w:pPr>
            <w:r w:rsidRPr="00793557">
              <w:rPr>
                <w:rFonts w:ascii="Arial" w:hAnsi="Arial" w:cs="Arial"/>
                <w:sz w:val="18"/>
                <w:szCs w:val="18"/>
              </w:rPr>
              <w:t>1%</w:t>
            </w:r>
          </w:p>
        </w:tc>
        <w:tc>
          <w:tcPr>
            <w:tcW w:w="1418" w:type="dxa"/>
            <w:tcBorders>
              <w:left w:val="single" w:sz="4" w:space="0" w:color="auto"/>
              <w:bottom w:val="single" w:sz="4" w:space="0" w:color="auto"/>
              <w:right w:val="single" w:sz="4" w:space="0" w:color="auto"/>
            </w:tcBorders>
            <w:shd w:val="clear" w:color="auto" w:fill="auto"/>
          </w:tcPr>
          <w:p w:rsidR="00831687" w:rsidRPr="00793557" w:rsidRDefault="00831687" w:rsidP="007D71B8">
            <w:pPr>
              <w:pStyle w:val="Zkrcenzpteenadresa"/>
              <w:tabs>
                <w:tab w:val="left" w:pos="-284"/>
              </w:tabs>
              <w:jc w:val="both"/>
              <w:rPr>
                <w:rFonts w:ascii="Arial" w:hAnsi="Arial" w:cs="Arial"/>
                <w:sz w:val="18"/>
                <w:szCs w:val="18"/>
              </w:rPr>
            </w:pPr>
            <w:r w:rsidRPr="00793557">
              <w:rPr>
                <w:rFonts w:ascii="Arial" w:hAnsi="Arial" w:cs="Arial"/>
                <w:sz w:val="18"/>
                <w:szCs w:val="18"/>
              </w:rPr>
              <w:t>2,25%</w:t>
            </w:r>
          </w:p>
        </w:tc>
        <w:tc>
          <w:tcPr>
            <w:tcW w:w="1984" w:type="dxa"/>
            <w:tcBorders>
              <w:left w:val="single" w:sz="4" w:space="0" w:color="auto"/>
              <w:bottom w:val="single" w:sz="4" w:space="0" w:color="auto"/>
              <w:right w:val="single" w:sz="4" w:space="0" w:color="auto"/>
            </w:tcBorders>
            <w:shd w:val="clear" w:color="auto" w:fill="auto"/>
          </w:tcPr>
          <w:p w:rsidR="00831687" w:rsidRPr="00793557" w:rsidRDefault="00831687" w:rsidP="007D71B8">
            <w:pPr>
              <w:pStyle w:val="Zkrcenzpteenadresa"/>
              <w:tabs>
                <w:tab w:val="left" w:pos="-284"/>
              </w:tabs>
              <w:jc w:val="both"/>
              <w:rPr>
                <w:rFonts w:ascii="Arial" w:hAnsi="Arial" w:cs="Arial"/>
                <w:sz w:val="18"/>
                <w:szCs w:val="18"/>
              </w:rPr>
            </w:pPr>
            <w:r w:rsidRPr="00793557">
              <w:rPr>
                <w:rFonts w:ascii="Arial" w:hAnsi="Arial" w:cs="Arial"/>
                <w:sz w:val="18"/>
                <w:szCs w:val="18"/>
              </w:rPr>
              <w:t>1,25%</w:t>
            </w:r>
          </w:p>
        </w:tc>
        <w:tc>
          <w:tcPr>
            <w:tcW w:w="2268" w:type="dxa"/>
            <w:tcBorders>
              <w:left w:val="single" w:sz="4" w:space="0" w:color="auto"/>
              <w:bottom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p>
        </w:tc>
      </w:tr>
      <w:tr w:rsidR="00831687" w:rsidRPr="00EC6292" w:rsidTr="007D71B8">
        <w:tc>
          <w:tcPr>
            <w:tcW w:w="1122" w:type="dxa"/>
            <w:tcBorders>
              <w:top w:val="single" w:sz="4" w:space="0" w:color="auto"/>
              <w:left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Varianta 2</w:t>
            </w:r>
          </w:p>
        </w:tc>
        <w:tc>
          <w:tcPr>
            <w:tcW w:w="1997" w:type="dxa"/>
            <w:tcBorders>
              <w:top w:val="single" w:sz="4" w:space="0" w:color="auto"/>
              <w:left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10.000 Kč</w:t>
            </w:r>
          </w:p>
        </w:tc>
        <w:tc>
          <w:tcPr>
            <w:tcW w:w="1417" w:type="dxa"/>
            <w:tcBorders>
              <w:top w:val="single" w:sz="4" w:space="0" w:color="auto"/>
              <w:left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100 Kč</w:t>
            </w:r>
          </w:p>
        </w:tc>
        <w:tc>
          <w:tcPr>
            <w:tcW w:w="1418" w:type="dxa"/>
            <w:tcBorders>
              <w:top w:val="single" w:sz="4" w:space="0" w:color="auto"/>
              <w:left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100 Kč</w:t>
            </w:r>
          </w:p>
        </w:tc>
        <w:tc>
          <w:tcPr>
            <w:tcW w:w="1984" w:type="dxa"/>
            <w:tcBorders>
              <w:top w:val="single" w:sz="4" w:space="0" w:color="auto"/>
              <w:left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0 Kč</w:t>
            </w:r>
          </w:p>
        </w:tc>
        <w:tc>
          <w:tcPr>
            <w:tcW w:w="2268" w:type="dxa"/>
            <w:tcBorders>
              <w:top w:val="single" w:sz="4" w:space="0" w:color="auto"/>
              <w:left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Investice bude neutrální</w:t>
            </w:r>
          </w:p>
        </w:tc>
      </w:tr>
      <w:tr w:rsidR="00831687" w:rsidRPr="00EC6292" w:rsidTr="007D71B8">
        <w:tc>
          <w:tcPr>
            <w:tcW w:w="1122" w:type="dxa"/>
            <w:tcBorders>
              <w:left w:val="single" w:sz="4" w:space="0" w:color="auto"/>
              <w:bottom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p>
        </w:tc>
        <w:tc>
          <w:tcPr>
            <w:tcW w:w="1997" w:type="dxa"/>
            <w:tcBorders>
              <w:left w:val="single" w:sz="4" w:space="0" w:color="auto"/>
              <w:bottom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p>
        </w:tc>
        <w:tc>
          <w:tcPr>
            <w:tcW w:w="1417" w:type="dxa"/>
            <w:tcBorders>
              <w:left w:val="single" w:sz="4" w:space="0" w:color="auto"/>
              <w:bottom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1%</w:t>
            </w:r>
          </w:p>
        </w:tc>
        <w:tc>
          <w:tcPr>
            <w:tcW w:w="1418" w:type="dxa"/>
            <w:tcBorders>
              <w:left w:val="single" w:sz="4" w:space="0" w:color="auto"/>
              <w:bottom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1%</w:t>
            </w:r>
          </w:p>
        </w:tc>
        <w:tc>
          <w:tcPr>
            <w:tcW w:w="1984" w:type="dxa"/>
            <w:tcBorders>
              <w:left w:val="single" w:sz="4" w:space="0" w:color="auto"/>
              <w:bottom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0%</w:t>
            </w:r>
          </w:p>
        </w:tc>
        <w:tc>
          <w:tcPr>
            <w:tcW w:w="2268" w:type="dxa"/>
            <w:tcBorders>
              <w:left w:val="single" w:sz="4" w:space="0" w:color="auto"/>
              <w:bottom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p>
        </w:tc>
      </w:tr>
      <w:tr w:rsidR="00831687" w:rsidRPr="00EC6292" w:rsidTr="007D71B8">
        <w:tc>
          <w:tcPr>
            <w:tcW w:w="1122" w:type="dxa"/>
            <w:tcBorders>
              <w:top w:val="single" w:sz="4" w:space="0" w:color="auto"/>
              <w:left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Varianta 3</w:t>
            </w:r>
          </w:p>
        </w:tc>
        <w:tc>
          <w:tcPr>
            <w:tcW w:w="1997" w:type="dxa"/>
            <w:tcBorders>
              <w:top w:val="single" w:sz="4" w:space="0" w:color="auto"/>
              <w:left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10.000 Kč</w:t>
            </w:r>
          </w:p>
        </w:tc>
        <w:tc>
          <w:tcPr>
            <w:tcW w:w="1417" w:type="dxa"/>
            <w:tcBorders>
              <w:top w:val="single" w:sz="4" w:space="0" w:color="auto"/>
              <w:left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100 Kč</w:t>
            </w:r>
          </w:p>
        </w:tc>
        <w:tc>
          <w:tcPr>
            <w:tcW w:w="1418" w:type="dxa"/>
            <w:tcBorders>
              <w:top w:val="single" w:sz="4" w:space="0" w:color="auto"/>
              <w:left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0 Kč</w:t>
            </w:r>
          </w:p>
        </w:tc>
        <w:tc>
          <w:tcPr>
            <w:tcW w:w="1984" w:type="dxa"/>
            <w:tcBorders>
              <w:top w:val="single" w:sz="4" w:space="0" w:color="auto"/>
              <w:left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- 100 Kč</w:t>
            </w:r>
          </w:p>
        </w:tc>
        <w:tc>
          <w:tcPr>
            <w:tcW w:w="2268" w:type="dxa"/>
            <w:tcBorders>
              <w:top w:val="single" w:sz="4" w:space="0" w:color="auto"/>
              <w:left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Investice bude ztrátová</w:t>
            </w:r>
          </w:p>
        </w:tc>
      </w:tr>
      <w:tr w:rsidR="00831687" w:rsidRPr="00EC6292" w:rsidTr="007D71B8">
        <w:tc>
          <w:tcPr>
            <w:tcW w:w="1122" w:type="dxa"/>
            <w:tcBorders>
              <w:left w:val="single" w:sz="4" w:space="0" w:color="auto"/>
              <w:bottom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p>
        </w:tc>
        <w:tc>
          <w:tcPr>
            <w:tcW w:w="1997" w:type="dxa"/>
            <w:tcBorders>
              <w:left w:val="single" w:sz="4" w:space="0" w:color="auto"/>
              <w:bottom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p>
        </w:tc>
        <w:tc>
          <w:tcPr>
            <w:tcW w:w="1417" w:type="dxa"/>
            <w:tcBorders>
              <w:left w:val="single" w:sz="4" w:space="0" w:color="auto"/>
              <w:bottom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1%</w:t>
            </w:r>
          </w:p>
        </w:tc>
        <w:tc>
          <w:tcPr>
            <w:tcW w:w="1418" w:type="dxa"/>
            <w:tcBorders>
              <w:left w:val="single" w:sz="4" w:space="0" w:color="auto"/>
              <w:bottom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0%</w:t>
            </w:r>
          </w:p>
        </w:tc>
        <w:tc>
          <w:tcPr>
            <w:tcW w:w="1984" w:type="dxa"/>
            <w:tcBorders>
              <w:left w:val="single" w:sz="4" w:space="0" w:color="auto"/>
              <w:bottom w:val="single" w:sz="4" w:space="0" w:color="auto"/>
              <w:right w:val="single" w:sz="4" w:space="0" w:color="auto"/>
            </w:tcBorders>
            <w:shd w:val="clear" w:color="auto" w:fill="auto"/>
          </w:tcPr>
          <w:p w:rsidR="00831687" w:rsidRPr="00EC6292" w:rsidRDefault="00831687" w:rsidP="007D71B8">
            <w:pPr>
              <w:pStyle w:val="Zkrcenzpteenadresa"/>
              <w:tabs>
                <w:tab w:val="left" w:pos="-284"/>
              </w:tabs>
              <w:jc w:val="both"/>
              <w:rPr>
                <w:rFonts w:ascii="Arial" w:hAnsi="Arial" w:cs="Arial"/>
                <w:sz w:val="18"/>
                <w:szCs w:val="18"/>
              </w:rPr>
            </w:pPr>
            <w:r w:rsidRPr="00EC6292">
              <w:rPr>
                <w:rFonts w:ascii="Arial" w:hAnsi="Arial" w:cs="Arial"/>
                <w:sz w:val="18"/>
                <w:szCs w:val="18"/>
              </w:rPr>
              <w:t>- 1%</w:t>
            </w:r>
          </w:p>
        </w:tc>
        <w:tc>
          <w:tcPr>
            <w:tcW w:w="2268" w:type="dxa"/>
            <w:tcBorders>
              <w:left w:val="single" w:sz="4" w:space="0" w:color="auto"/>
              <w:bottom w:val="single" w:sz="4" w:space="0" w:color="auto"/>
              <w:right w:val="single" w:sz="4" w:space="0" w:color="auto"/>
            </w:tcBorders>
            <w:shd w:val="clear" w:color="auto" w:fill="auto"/>
          </w:tcPr>
          <w:p w:rsidR="00831687" w:rsidRPr="00EC6292" w:rsidRDefault="00831687" w:rsidP="007D71B8">
            <w:pPr>
              <w:pStyle w:val="Zkrcenzpteenadresa"/>
              <w:tabs>
                <w:tab w:val="left" w:pos="-284"/>
              </w:tabs>
              <w:ind w:firstLine="459"/>
              <w:jc w:val="both"/>
              <w:rPr>
                <w:rFonts w:ascii="Arial" w:hAnsi="Arial" w:cs="Arial"/>
                <w:sz w:val="18"/>
                <w:szCs w:val="18"/>
              </w:rPr>
            </w:pPr>
          </w:p>
        </w:tc>
      </w:tr>
    </w:tbl>
    <w:p w:rsidR="00831687" w:rsidRPr="00EC6292" w:rsidRDefault="00831687" w:rsidP="00831687">
      <w:pPr>
        <w:jc w:val="both"/>
        <w:rPr>
          <w:rFonts w:cs="Arial"/>
          <w:szCs w:val="18"/>
        </w:rPr>
      </w:pPr>
    </w:p>
    <w:p w:rsidR="00831687" w:rsidRPr="00EC6292" w:rsidRDefault="00831687" w:rsidP="00831687">
      <w:pPr>
        <w:jc w:val="center"/>
        <w:rPr>
          <w:rFonts w:cs="Arial"/>
          <w:b/>
          <w:szCs w:val="18"/>
        </w:rPr>
      </w:pPr>
      <w:r w:rsidRPr="00EC6292">
        <w:rPr>
          <w:rFonts w:cs="Arial"/>
          <w:b/>
          <w:szCs w:val="18"/>
        </w:rPr>
        <w:t>Zaznamenávání telefonních hovorů a elektronické komunikace</w:t>
      </w:r>
    </w:p>
    <w:p w:rsidR="00831687" w:rsidRPr="00EC6292" w:rsidRDefault="00831687" w:rsidP="00831687">
      <w:pPr>
        <w:jc w:val="both"/>
        <w:rPr>
          <w:rFonts w:cs="Arial"/>
          <w:color w:val="221E25"/>
          <w:szCs w:val="18"/>
        </w:rPr>
      </w:pPr>
    </w:p>
    <w:p w:rsidR="00702821" w:rsidRPr="00831687" w:rsidRDefault="00831687" w:rsidP="00831687">
      <w:pPr>
        <w:pStyle w:val="Zkrcenzpteenadresa"/>
        <w:tabs>
          <w:tab w:val="left" w:pos="-284"/>
        </w:tabs>
        <w:jc w:val="both"/>
        <w:rPr>
          <w:rFonts w:ascii="Arial" w:hAnsi="Arial" w:cs="Arial"/>
          <w:sz w:val="18"/>
          <w:szCs w:val="18"/>
        </w:rPr>
      </w:pPr>
      <w:r w:rsidRPr="00831687">
        <w:rPr>
          <w:rFonts w:ascii="Arial" w:hAnsi="Arial" w:cs="Arial"/>
          <w:sz w:val="18"/>
          <w:szCs w:val="18"/>
        </w:rPr>
        <w:t>Banka zaznamenává telefonní hovory a elektronickou komunikaci se zákazníkem týkající se poskytování investičních služeb. Banka zákazníkovi poskytne kopii příslušného záznamu hovoru nebo komunikace, požádá-li o to zákazník do 5 let od okamžiku uskutečnění takového hovoru nebo komunikace.</w:t>
      </w:r>
    </w:p>
    <w:sectPr w:rsidR="00702821" w:rsidRPr="00831687" w:rsidSect="00C139C5">
      <w:headerReference w:type="default" r:id="rId16"/>
      <w:footerReference w:type="even" r:id="rId17"/>
      <w:footerReference w:type="default" r:id="rId18"/>
      <w:headerReference w:type="first" r:id="rId19"/>
      <w:pgSz w:w="11907" w:h="16840" w:code="9"/>
      <w:pgMar w:top="624" w:right="539" w:bottom="851" w:left="1134" w:header="624" w:footer="510" w:gutter="0"/>
      <w:cols w:space="708"/>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0E8" w:rsidRDefault="001960E8">
      <w:r>
        <w:separator/>
      </w:r>
    </w:p>
  </w:endnote>
  <w:endnote w:type="continuationSeparator" w:id="0">
    <w:p w:rsidR="001960E8" w:rsidRDefault="00196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ngraversGothic B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T12E5o00">
    <w:panose1 w:val="00000000000000000000"/>
    <w:charset w:val="EE"/>
    <w:family w:val="auto"/>
    <w:notTrueType/>
    <w:pitch w:val="default"/>
    <w:sig w:usb0="00000005" w:usb1="00000000" w:usb2="00000000" w:usb3="00000000" w:csb0="00000002" w:csb1="00000000"/>
  </w:font>
  <w:font w:name="TT12E3o00">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E8" w:rsidRDefault="00125A29" w:rsidP="00EB68A4">
    <w:pPr>
      <w:pStyle w:val="Zpat"/>
      <w:framePr w:wrap="around" w:vAnchor="text" w:hAnchor="margin" w:xAlign="right" w:y="1"/>
      <w:rPr>
        <w:rStyle w:val="slostrnky"/>
      </w:rPr>
    </w:pPr>
    <w:r>
      <w:rPr>
        <w:rStyle w:val="slostrnky"/>
      </w:rPr>
      <w:fldChar w:fldCharType="begin"/>
    </w:r>
    <w:r w:rsidR="001960E8">
      <w:rPr>
        <w:rStyle w:val="slostrnky"/>
      </w:rPr>
      <w:instrText xml:space="preserve">PAGE  </w:instrText>
    </w:r>
    <w:r>
      <w:rPr>
        <w:rStyle w:val="slostrnky"/>
      </w:rPr>
      <w:fldChar w:fldCharType="end"/>
    </w:r>
  </w:p>
  <w:p w:rsidR="001960E8" w:rsidRDefault="001960E8" w:rsidP="00EE7F4E">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E8" w:rsidRDefault="00125A29" w:rsidP="00EB68A4">
    <w:pPr>
      <w:pStyle w:val="Zpat"/>
      <w:framePr w:wrap="around" w:vAnchor="text" w:hAnchor="margin" w:xAlign="right" w:y="1"/>
      <w:rPr>
        <w:rStyle w:val="slostrnky"/>
      </w:rPr>
    </w:pPr>
    <w:r>
      <w:rPr>
        <w:rStyle w:val="slostrnky"/>
      </w:rPr>
      <w:fldChar w:fldCharType="begin"/>
    </w:r>
    <w:r w:rsidR="001960E8">
      <w:rPr>
        <w:rStyle w:val="slostrnky"/>
      </w:rPr>
      <w:instrText xml:space="preserve">PAGE  </w:instrText>
    </w:r>
    <w:r>
      <w:rPr>
        <w:rStyle w:val="slostrnky"/>
      </w:rPr>
      <w:fldChar w:fldCharType="separate"/>
    </w:r>
    <w:r w:rsidR="000E7371">
      <w:rPr>
        <w:rStyle w:val="slostrnky"/>
        <w:noProof/>
      </w:rPr>
      <w:t>12</w:t>
    </w:r>
    <w:r>
      <w:rPr>
        <w:rStyle w:val="slostrnky"/>
      </w:rPr>
      <w:fldChar w:fldCharType="end"/>
    </w:r>
  </w:p>
  <w:p w:rsidR="001960E8" w:rsidRDefault="001960E8" w:rsidP="00EE7F4E">
    <w:pPr>
      <w:pStyle w:val="ZapatiBold"/>
      <w:tabs>
        <w:tab w:val="center" w:pos="5103"/>
        <w:tab w:val="right" w:pos="10263"/>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0E8" w:rsidRDefault="001960E8">
      <w:r>
        <w:separator/>
      </w:r>
    </w:p>
  </w:footnote>
  <w:footnote w:type="continuationSeparator" w:id="0">
    <w:p w:rsidR="001960E8" w:rsidRDefault="00196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E8" w:rsidRDefault="001960E8" w:rsidP="009048BC">
    <w:pPr>
      <w:pStyle w:val="Zhlav"/>
      <w:tabs>
        <w:tab w:val="clear" w:pos="4153"/>
        <w:tab w:val="clear" w:pos="8306"/>
        <w:tab w:val="right" w:pos="10206"/>
      </w:tabs>
      <w:rPr>
        <w:lang w:val="cs-CZ"/>
      </w:rPr>
    </w:pPr>
    <w:r>
      <w:rPr>
        <w:noProof/>
        <w:lang w:val="cs-CZ" w:eastAsia="cs-CZ"/>
      </w:rPr>
      <w:drawing>
        <wp:inline distT="0" distB="0" distL="0" distR="0">
          <wp:extent cx="1200150" cy="552450"/>
          <wp:effectExtent l="0" t="0" r="0" b="0"/>
          <wp:docPr id="4" name="obrázek 4" descr="ČS logo bez m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ČS logo bez mot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552450"/>
                  </a:xfrm>
                  <a:prstGeom prst="rect">
                    <a:avLst/>
                  </a:prstGeom>
                  <a:noFill/>
                  <a:ln>
                    <a:noFill/>
                  </a:ln>
                </pic:spPr>
              </pic:pic>
            </a:graphicData>
          </a:graphic>
        </wp:inline>
      </w:drawing>
    </w:r>
    <w:r>
      <w:rPr>
        <w:lang w:val="cs-CZ"/>
      </w:rPr>
      <w:tab/>
    </w:r>
  </w:p>
  <w:p w:rsidR="001960E8" w:rsidRPr="009048BC" w:rsidRDefault="001960E8" w:rsidP="009048BC">
    <w:pPr>
      <w:pStyle w:val="Zhlav"/>
      <w:tabs>
        <w:tab w:val="clear" w:pos="4153"/>
        <w:tab w:val="clear" w:pos="8306"/>
        <w:tab w:val="right" w:pos="10206"/>
      </w:tabs>
      <w:rPr>
        <w:lang w:val="cs-C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E8" w:rsidRDefault="001960E8" w:rsidP="00C76193">
    <w:pPr>
      <w:pStyle w:val="Zhlav"/>
      <w:tabs>
        <w:tab w:val="clear" w:pos="4153"/>
        <w:tab w:val="clear" w:pos="8306"/>
        <w:tab w:val="center" w:pos="-709"/>
        <w:tab w:val="right" w:pos="10206"/>
      </w:tabs>
      <w:jc w:val="both"/>
      <w:rPr>
        <w:lang w:val="cs-CZ"/>
      </w:rPr>
    </w:pPr>
    <w:r>
      <w:rPr>
        <w:noProof/>
        <w:sz w:val="16"/>
        <w:lang w:val="cs-CZ" w:eastAsia="cs-CZ"/>
      </w:rPr>
      <w:drawing>
        <wp:inline distT="0" distB="0" distL="0" distR="0">
          <wp:extent cx="1304925" cy="561975"/>
          <wp:effectExtent l="0" t="0" r="9525" b="9525"/>
          <wp:docPr id="6" name="Obrázek 2" descr="CS NEW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S NEW 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561975"/>
                  </a:xfrm>
                  <a:prstGeom prst="rect">
                    <a:avLst/>
                  </a:prstGeom>
                  <a:noFill/>
                  <a:ln>
                    <a:noFill/>
                  </a:ln>
                </pic:spPr>
              </pic:pic>
            </a:graphicData>
          </a:graphic>
        </wp:inline>
      </w:drawing>
    </w:r>
    <w:r>
      <w:rPr>
        <w:lang w:val="cs-CZ"/>
      </w:rPr>
      <w:tab/>
    </w:r>
  </w:p>
  <w:p w:rsidR="001960E8" w:rsidRPr="00C76193" w:rsidRDefault="001960E8" w:rsidP="00C76193">
    <w:pPr>
      <w:pStyle w:val="Zhlav"/>
      <w:tabs>
        <w:tab w:val="clear" w:pos="4153"/>
        <w:tab w:val="clear" w:pos="8306"/>
        <w:tab w:val="center" w:pos="-709"/>
        <w:tab w:val="right" w:pos="10206"/>
      </w:tabs>
      <w:jc w:val="both"/>
      <w:rPr>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8A1B60"/>
    <w:lvl w:ilvl="0">
      <w:numFmt w:val="decimal"/>
      <w:lvlText w:val="*"/>
      <w:lvlJc w:val="left"/>
    </w:lvl>
  </w:abstractNum>
  <w:abstractNum w:abstractNumId="1">
    <w:nsid w:val="04513E78"/>
    <w:multiLevelType w:val="multilevel"/>
    <w:tmpl w:val="0CEAE14E"/>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054D0848"/>
    <w:multiLevelType w:val="multilevel"/>
    <w:tmpl w:val="F4C2386A"/>
    <w:lvl w:ilvl="0">
      <w:start w:val="2"/>
      <w:numFmt w:val="decimal"/>
      <w:lvlText w:val="%1"/>
      <w:lvlJc w:val="left"/>
      <w:pPr>
        <w:tabs>
          <w:tab w:val="num" w:pos="2138"/>
        </w:tabs>
        <w:ind w:left="2138" w:hanging="72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138"/>
        </w:tabs>
        <w:ind w:left="2138" w:hanging="720"/>
      </w:pPr>
      <w:rPr>
        <w:rFonts w:cs="Times New Roman" w:hint="default"/>
      </w:rPr>
    </w:lvl>
    <w:lvl w:ilvl="4">
      <w:start w:val="1"/>
      <w:numFmt w:val="decimal"/>
      <w:lvlText w:val="%1.%2.%3.%4.%5"/>
      <w:lvlJc w:val="left"/>
      <w:pPr>
        <w:tabs>
          <w:tab w:val="num" w:pos="2498"/>
        </w:tabs>
        <w:ind w:left="2498" w:hanging="1080"/>
      </w:pPr>
      <w:rPr>
        <w:rFonts w:cs="Times New Roman" w:hint="default"/>
      </w:rPr>
    </w:lvl>
    <w:lvl w:ilvl="5">
      <w:start w:val="1"/>
      <w:numFmt w:val="decimal"/>
      <w:lvlText w:val="%1.%2.%3.%4.%5.%6"/>
      <w:lvlJc w:val="left"/>
      <w:pPr>
        <w:tabs>
          <w:tab w:val="num" w:pos="2498"/>
        </w:tabs>
        <w:ind w:left="2498" w:hanging="1080"/>
      </w:pPr>
      <w:rPr>
        <w:rFonts w:cs="Times New Roman" w:hint="default"/>
      </w:rPr>
    </w:lvl>
    <w:lvl w:ilvl="6">
      <w:start w:val="1"/>
      <w:numFmt w:val="decimal"/>
      <w:lvlText w:val="%1.%2.%3.%4.%5.%6.%7"/>
      <w:lvlJc w:val="left"/>
      <w:pPr>
        <w:tabs>
          <w:tab w:val="num" w:pos="2858"/>
        </w:tabs>
        <w:ind w:left="2858" w:hanging="1440"/>
      </w:pPr>
      <w:rPr>
        <w:rFonts w:cs="Times New Roman" w:hint="default"/>
      </w:rPr>
    </w:lvl>
    <w:lvl w:ilvl="7">
      <w:start w:val="1"/>
      <w:numFmt w:val="decimal"/>
      <w:lvlText w:val="%1.%2.%3.%4.%5.%6.%7.%8"/>
      <w:lvlJc w:val="left"/>
      <w:pPr>
        <w:tabs>
          <w:tab w:val="num" w:pos="2858"/>
        </w:tabs>
        <w:ind w:left="2858" w:hanging="1440"/>
      </w:pPr>
      <w:rPr>
        <w:rFonts w:cs="Times New Roman" w:hint="default"/>
      </w:rPr>
    </w:lvl>
    <w:lvl w:ilvl="8">
      <w:start w:val="1"/>
      <w:numFmt w:val="decimal"/>
      <w:lvlText w:val="%1.%2.%3.%4.%5.%6.%7.%8.%9"/>
      <w:lvlJc w:val="left"/>
      <w:pPr>
        <w:tabs>
          <w:tab w:val="num" w:pos="3218"/>
        </w:tabs>
        <w:ind w:left="3218" w:hanging="1800"/>
      </w:pPr>
      <w:rPr>
        <w:rFonts w:cs="Times New Roman" w:hint="default"/>
      </w:rPr>
    </w:lvl>
  </w:abstractNum>
  <w:abstractNum w:abstractNumId="3">
    <w:nsid w:val="05E97AFC"/>
    <w:multiLevelType w:val="hybridMultilevel"/>
    <w:tmpl w:val="D8CCCA5A"/>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7655072"/>
    <w:multiLevelType w:val="hybridMultilevel"/>
    <w:tmpl w:val="E5DE2D0E"/>
    <w:lvl w:ilvl="0" w:tplc="80DE5A0C">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5">
    <w:nsid w:val="09715C23"/>
    <w:multiLevelType w:val="singleLevel"/>
    <w:tmpl w:val="DFECF25A"/>
    <w:lvl w:ilvl="0">
      <w:start w:val="6"/>
      <w:numFmt w:val="lowerRoman"/>
      <w:lvlText w:val="(%1)"/>
      <w:lvlJc w:val="left"/>
      <w:pPr>
        <w:tabs>
          <w:tab w:val="num" w:pos="1620"/>
        </w:tabs>
        <w:ind w:left="1620" w:hanging="720"/>
      </w:pPr>
      <w:rPr>
        <w:rFonts w:cs="Times New Roman" w:hint="default"/>
      </w:rPr>
    </w:lvl>
  </w:abstractNum>
  <w:abstractNum w:abstractNumId="6">
    <w:nsid w:val="0AE237EE"/>
    <w:multiLevelType w:val="hybridMultilevel"/>
    <w:tmpl w:val="7A881B28"/>
    <w:lvl w:ilvl="0" w:tplc="FE048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03B42"/>
    <w:multiLevelType w:val="singleLevel"/>
    <w:tmpl w:val="37145EDE"/>
    <w:lvl w:ilvl="0">
      <w:start w:val="4"/>
      <w:numFmt w:val="lowerLetter"/>
      <w:lvlText w:val="(%1)"/>
      <w:lvlJc w:val="left"/>
      <w:pPr>
        <w:tabs>
          <w:tab w:val="num" w:pos="720"/>
        </w:tabs>
        <w:ind w:left="720" w:hanging="720"/>
      </w:pPr>
      <w:rPr>
        <w:rFonts w:cs="Times New Roman" w:hint="default"/>
      </w:rPr>
    </w:lvl>
  </w:abstractNum>
  <w:abstractNum w:abstractNumId="8">
    <w:nsid w:val="0D1509C5"/>
    <w:multiLevelType w:val="multilevel"/>
    <w:tmpl w:val="F96AF332"/>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90C22FF"/>
    <w:multiLevelType w:val="hybridMultilevel"/>
    <w:tmpl w:val="6CBCFABC"/>
    <w:lvl w:ilvl="0" w:tplc="04050017">
      <w:start w:val="1"/>
      <w:numFmt w:val="lowerLetter"/>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B9D1C22"/>
    <w:multiLevelType w:val="hybridMultilevel"/>
    <w:tmpl w:val="EDDCB718"/>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BA95666"/>
    <w:multiLevelType w:val="multilevel"/>
    <w:tmpl w:val="459E31B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C5D5C70"/>
    <w:multiLevelType w:val="multilevel"/>
    <w:tmpl w:val="459E31B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F4B3C29"/>
    <w:multiLevelType w:val="multilevel"/>
    <w:tmpl w:val="7F44FC72"/>
    <w:lvl w:ilvl="0">
      <w:start w:val="3"/>
      <w:numFmt w:val="decimal"/>
      <w:lvlText w:val="%1"/>
      <w:lvlJc w:val="left"/>
      <w:pPr>
        <w:tabs>
          <w:tab w:val="num" w:pos="720"/>
        </w:tabs>
        <w:ind w:left="567" w:hanging="567"/>
      </w:pPr>
      <w:rPr>
        <w:rFonts w:cs="Times New Roman" w:hint="default"/>
        <w:sz w:val="18"/>
        <w:szCs w:val="18"/>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A9671B6"/>
    <w:multiLevelType w:val="hybridMultilevel"/>
    <w:tmpl w:val="598CD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D403BA5"/>
    <w:multiLevelType w:val="hybridMultilevel"/>
    <w:tmpl w:val="C5140550"/>
    <w:lvl w:ilvl="0" w:tplc="80DE5A0C">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2E216B53"/>
    <w:multiLevelType w:val="multilevel"/>
    <w:tmpl w:val="F4C2386A"/>
    <w:lvl w:ilvl="0">
      <w:start w:val="2"/>
      <w:numFmt w:val="decimal"/>
      <w:lvlText w:val="%1"/>
      <w:lvlJc w:val="left"/>
      <w:pPr>
        <w:tabs>
          <w:tab w:val="num" w:pos="1428"/>
        </w:tabs>
        <w:ind w:left="1428" w:hanging="7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788"/>
        </w:tabs>
        <w:ind w:left="1788" w:hanging="1080"/>
      </w:pPr>
      <w:rPr>
        <w:rFonts w:cs="Times New Roman" w:hint="default"/>
      </w:rPr>
    </w:lvl>
    <w:lvl w:ilvl="6">
      <w:start w:val="1"/>
      <w:numFmt w:val="decimal"/>
      <w:lvlText w:val="%1.%2.%3.%4.%5.%6.%7"/>
      <w:lvlJc w:val="left"/>
      <w:pPr>
        <w:tabs>
          <w:tab w:val="num" w:pos="2148"/>
        </w:tabs>
        <w:ind w:left="2148" w:hanging="1440"/>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508"/>
        </w:tabs>
        <w:ind w:left="2508" w:hanging="1800"/>
      </w:pPr>
      <w:rPr>
        <w:rFonts w:cs="Times New Roman" w:hint="default"/>
      </w:rPr>
    </w:lvl>
  </w:abstractNum>
  <w:abstractNum w:abstractNumId="17">
    <w:nsid w:val="331B4A5F"/>
    <w:multiLevelType w:val="multilevel"/>
    <w:tmpl w:val="459E31B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4C52337"/>
    <w:multiLevelType w:val="hybridMultilevel"/>
    <w:tmpl w:val="339EBCEA"/>
    <w:lvl w:ilvl="0" w:tplc="0405000F">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9">
    <w:nsid w:val="483E4334"/>
    <w:multiLevelType w:val="hybridMultilevel"/>
    <w:tmpl w:val="E302416C"/>
    <w:lvl w:ilvl="0" w:tplc="040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C140D1"/>
    <w:multiLevelType w:val="multilevel"/>
    <w:tmpl w:val="958817CC"/>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D160E5E"/>
    <w:multiLevelType w:val="multilevel"/>
    <w:tmpl w:val="6ADE40D6"/>
    <w:lvl w:ilvl="0">
      <w:start w:val="3"/>
      <w:numFmt w:val="decimal"/>
      <w:lvlText w:val="%1"/>
      <w:lvlJc w:val="left"/>
      <w:pPr>
        <w:tabs>
          <w:tab w:val="num" w:pos="720"/>
        </w:tabs>
        <w:ind w:left="567" w:hanging="567"/>
      </w:pPr>
      <w:rPr>
        <w:rFonts w:ascii="Arial" w:hAnsi="Arial" w:cs="Times New Roman" w:hint="default"/>
        <w:sz w:val="18"/>
        <w:szCs w:val="18"/>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E4736FC"/>
    <w:multiLevelType w:val="hybridMultilevel"/>
    <w:tmpl w:val="38DE1E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0E93177"/>
    <w:multiLevelType w:val="multilevel"/>
    <w:tmpl w:val="B8DA0B04"/>
    <w:lvl w:ilvl="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18D4F64"/>
    <w:multiLevelType w:val="multilevel"/>
    <w:tmpl w:val="459E31B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210441B"/>
    <w:multiLevelType w:val="hybridMultilevel"/>
    <w:tmpl w:val="E1C603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4AD1244"/>
    <w:multiLevelType w:val="multilevel"/>
    <w:tmpl w:val="459E31B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6FF14CD"/>
    <w:multiLevelType w:val="hybridMultilevel"/>
    <w:tmpl w:val="871CC1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69EE1DC2"/>
    <w:multiLevelType w:val="hybridMultilevel"/>
    <w:tmpl w:val="B6EC113C"/>
    <w:lvl w:ilvl="0" w:tplc="BD168FD8">
      <w:start w:val="1"/>
      <w:numFmt w:val="bullet"/>
      <w:lvlText w:val="-"/>
      <w:lvlJc w:val="left"/>
      <w:pPr>
        <w:tabs>
          <w:tab w:val="num" w:pos="1604"/>
        </w:tabs>
        <w:ind w:left="1604" w:hanging="360"/>
      </w:pPr>
      <w:rPr>
        <w:rFonts w:ascii="Times New Roman" w:hAnsi="Times New Roman" w:hint="default"/>
      </w:rPr>
    </w:lvl>
    <w:lvl w:ilvl="1" w:tplc="04050003" w:tentative="1">
      <w:start w:val="1"/>
      <w:numFmt w:val="bullet"/>
      <w:lvlText w:val="o"/>
      <w:lvlJc w:val="left"/>
      <w:pPr>
        <w:tabs>
          <w:tab w:val="num" w:pos="1784"/>
        </w:tabs>
        <w:ind w:left="1784" w:hanging="360"/>
      </w:pPr>
      <w:rPr>
        <w:rFonts w:ascii="Courier New" w:hAnsi="Courier New" w:hint="default"/>
      </w:rPr>
    </w:lvl>
    <w:lvl w:ilvl="2" w:tplc="04050005" w:tentative="1">
      <w:start w:val="1"/>
      <w:numFmt w:val="bullet"/>
      <w:lvlText w:val=""/>
      <w:lvlJc w:val="left"/>
      <w:pPr>
        <w:tabs>
          <w:tab w:val="num" w:pos="2504"/>
        </w:tabs>
        <w:ind w:left="2504" w:hanging="360"/>
      </w:pPr>
      <w:rPr>
        <w:rFonts w:ascii="Wingdings" w:hAnsi="Wingdings" w:hint="default"/>
      </w:rPr>
    </w:lvl>
    <w:lvl w:ilvl="3" w:tplc="04050001" w:tentative="1">
      <w:start w:val="1"/>
      <w:numFmt w:val="bullet"/>
      <w:lvlText w:val=""/>
      <w:lvlJc w:val="left"/>
      <w:pPr>
        <w:tabs>
          <w:tab w:val="num" w:pos="3224"/>
        </w:tabs>
        <w:ind w:left="3224" w:hanging="360"/>
      </w:pPr>
      <w:rPr>
        <w:rFonts w:ascii="Symbol" w:hAnsi="Symbol" w:hint="default"/>
      </w:rPr>
    </w:lvl>
    <w:lvl w:ilvl="4" w:tplc="04050003" w:tentative="1">
      <w:start w:val="1"/>
      <w:numFmt w:val="bullet"/>
      <w:lvlText w:val="o"/>
      <w:lvlJc w:val="left"/>
      <w:pPr>
        <w:tabs>
          <w:tab w:val="num" w:pos="3944"/>
        </w:tabs>
        <w:ind w:left="3944" w:hanging="360"/>
      </w:pPr>
      <w:rPr>
        <w:rFonts w:ascii="Courier New" w:hAnsi="Courier New" w:hint="default"/>
      </w:rPr>
    </w:lvl>
    <w:lvl w:ilvl="5" w:tplc="04050005" w:tentative="1">
      <w:start w:val="1"/>
      <w:numFmt w:val="bullet"/>
      <w:lvlText w:val=""/>
      <w:lvlJc w:val="left"/>
      <w:pPr>
        <w:tabs>
          <w:tab w:val="num" w:pos="4664"/>
        </w:tabs>
        <w:ind w:left="4664" w:hanging="360"/>
      </w:pPr>
      <w:rPr>
        <w:rFonts w:ascii="Wingdings" w:hAnsi="Wingdings" w:hint="default"/>
      </w:rPr>
    </w:lvl>
    <w:lvl w:ilvl="6" w:tplc="04050001" w:tentative="1">
      <w:start w:val="1"/>
      <w:numFmt w:val="bullet"/>
      <w:lvlText w:val=""/>
      <w:lvlJc w:val="left"/>
      <w:pPr>
        <w:tabs>
          <w:tab w:val="num" w:pos="5384"/>
        </w:tabs>
        <w:ind w:left="5384" w:hanging="360"/>
      </w:pPr>
      <w:rPr>
        <w:rFonts w:ascii="Symbol" w:hAnsi="Symbol" w:hint="default"/>
      </w:rPr>
    </w:lvl>
    <w:lvl w:ilvl="7" w:tplc="04050003" w:tentative="1">
      <w:start w:val="1"/>
      <w:numFmt w:val="bullet"/>
      <w:lvlText w:val="o"/>
      <w:lvlJc w:val="left"/>
      <w:pPr>
        <w:tabs>
          <w:tab w:val="num" w:pos="6104"/>
        </w:tabs>
        <w:ind w:left="6104" w:hanging="360"/>
      </w:pPr>
      <w:rPr>
        <w:rFonts w:ascii="Courier New" w:hAnsi="Courier New" w:hint="default"/>
      </w:rPr>
    </w:lvl>
    <w:lvl w:ilvl="8" w:tplc="04050005" w:tentative="1">
      <w:start w:val="1"/>
      <w:numFmt w:val="bullet"/>
      <w:lvlText w:val=""/>
      <w:lvlJc w:val="left"/>
      <w:pPr>
        <w:tabs>
          <w:tab w:val="num" w:pos="6824"/>
        </w:tabs>
        <w:ind w:left="6824" w:hanging="360"/>
      </w:pPr>
      <w:rPr>
        <w:rFonts w:ascii="Wingdings" w:hAnsi="Wingdings" w:hint="default"/>
      </w:rPr>
    </w:lvl>
  </w:abstractNum>
  <w:abstractNum w:abstractNumId="29">
    <w:nsid w:val="6DF17670"/>
    <w:multiLevelType w:val="multilevel"/>
    <w:tmpl w:val="F4C2386A"/>
    <w:lvl w:ilvl="0">
      <w:start w:val="2"/>
      <w:numFmt w:val="decimal"/>
      <w:lvlText w:val="%1"/>
      <w:lvlJc w:val="left"/>
      <w:pPr>
        <w:tabs>
          <w:tab w:val="num" w:pos="1428"/>
        </w:tabs>
        <w:ind w:left="1428" w:hanging="7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788"/>
        </w:tabs>
        <w:ind w:left="1788" w:hanging="1080"/>
      </w:pPr>
      <w:rPr>
        <w:rFonts w:cs="Times New Roman" w:hint="default"/>
      </w:rPr>
    </w:lvl>
    <w:lvl w:ilvl="6">
      <w:start w:val="1"/>
      <w:numFmt w:val="decimal"/>
      <w:lvlText w:val="%1.%2.%3.%4.%5.%6.%7"/>
      <w:lvlJc w:val="left"/>
      <w:pPr>
        <w:tabs>
          <w:tab w:val="num" w:pos="2148"/>
        </w:tabs>
        <w:ind w:left="2148" w:hanging="1440"/>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508"/>
        </w:tabs>
        <w:ind w:left="2508" w:hanging="1800"/>
      </w:pPr>
      <w:rPr>
        <w:rFonts w:cs="Times New Roman" w:hint="default"/>
      </w:rPr>
    </w:lvl>
  </w:abstractNum>
  <w:abstractNum w:abstractNumId="30">
    <w:nsid w:val="6E5A3811"/>
    <w:multiLevelType w:val="multilevel"/>
    <w:tmpl w:val="459E31B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16161DF"/>
    <w:multiLevelType w:val="hybridMultilevel"/>
    <w:tmpl w:val="CBD8D73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nsid w:val="718671B3"/>
    <w:multiLevelType w:val="multilevel"/>
    <w:tmpl w:val="BCAEE31A"/>
    <w:lvl w:ilvl="0">
      <w:start w:val="3"/>
      <w:numFmt w:val="decimal"/>
      <w:lvlText w:val="%1"/>
      <w:lvlJc w:val="left"/>
      <w:pPr>
        <w:tabs>
          <w:tab w:val="num" w:pos="720"/>
        </w:tabs>
        <w:ind w:left="567" w:hanging="567"/>
      </w:pPr>
      <w:rPr>
        <w:rFonts w:ascii="Arial" w:hAnsi="Arial" w:cs="Times New Roman" w:hint="default"/>
        <w:sz w:val="18"/>
        <w:szCs w:val="18"/>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1BB6083"/>
    <w:multiLevelType w:val="hybridMultilevel"/>
    <w:tmpl w:val="104214C4"/>
    <w:lvl w:ilvl="0" w:tplc="0405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72491FE9"/>
    <w:multiLevelType w:val="multilevel"/>
    <w:tmpl w:val="A7B8F1AE"/>
    <w:lvl w:ilvl="0">
      <w:start w:val="3"/>
      <w:numFmt w:val="decimal"/>
      <w:lvlText w:val="%1"/>
      <w:lvlJc w:val="left"/>
      <w:pPr>
        <w:tabs>
          <w:tab w:val="num" w:pos="720"/>
        </w:tabs>
        <w:ind w:left="567" w:hanging="567"/>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2B12F44"/>
    <w:multiLevelType w:val="hybridMultilevel"/>
    <w:tmpl w:val="1EAE3900"/>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6">
    <w:nsid w:val="73974A3D"/>
    <w:multiLevelType w:val="hybridMultilevel"/>
    <w:tmpl w:val="0CEAE14E"/>
    <w:lvl w:ilvl="0" w:tplc="D67E2C6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76277EE9"/>
    <w:multiLevelType w:val="multilevel"/>
    <w:tmpl w:val="6ADE40D6"/>
    <w:lvl w:ilvl="0">
      <w:start w:val="3"/>
      <w:numFmt w:val="decimal"/>
      <w:lvlText w:val="%1"/>
      <w:lvlJc w:val="left"/>
      <w:pPr>
        <w:tabs>
          <w:tab w:val="num" w:pos="720"/>
        </w:tabs>
        <w:ind w:left="567" w:hanging="567"/>
      </w:pPr>
      <w:rPr>
        <w:rFonts w:ascii="Arial" w:hAnsi="Arial" w:cs="Times New Roman" w:hint="default"/>
        <w:sz w:val="18"/>
        <w:szCs w:val="18"/>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7"/>
  </w:num>
  <w:num w:numId="3">
    <w:abstractNumId w:val="8"/>
  </w:num>
  <w:num w:numId="4">
    <w:abstractNumId w:val="20"/>
  </w:num>
  <w:num w:numId="5">
    <w:abstractNumId w:val="32"/>
  </w:num>
  <w:num w:numId="6">
    <w:abstractNumId w:val="35"/>
  </w:num>
  <w:num w:numId="7">
    <w:abstractNumId w:val="4"/>
  </w:num>
  <w:num w:numId="8">
    <w:abstractNumId w:val="15"/>
  </w:num>
  <w:num w:numId="9">
    <w:abstractNumId w:val="17"/>
  </w:num>
  <w:num w:numId="10">
    <w:abstractNumId w:val="24"/>
  </w:num>
  <w:num w:numId="11">
    <w:abstractNumId w:val="26"/>
  </w:num>
  <w:num w:numId="12">
    <w:abstractNumId w:val="30"/>
  </w:num>
  <w:num w:numId="13">
    <w:abstractNumId w:val="11"/>
  </w:num>
  <w:num w:numId="14">
    <w:abstractNumId w:val="23"/>
  </w:num>
  <w:num w:numId="15">
    <w:abstractNumId w:val="2"/>
  </w:num>
  <w:num w:numId="16">
    <w:abstractNumId w:val="16"/>
  </w:num>
  <w:num w:numId="17">
    <w:abstractNumId w:val="29"/>
  </w:num>
  <w:num w:numId="18">
    <w:abstractNumId w:val="36"/>
  </w:num>
  <w:num w:numId="19">
    <w:abstractNumId w:val="1"/>
  </w:num>
  <w:num w:numId="20">
    <w:abstractNumId w:val="12"/>
  </w:num>
  <w:num w:numId="21">
    <w:abstractNumId w:val="28"/>
  </w:num>
  <w:num w:numId="22">
    <w:abstractNumId w:val="22"/>
  </w:num>
  <w:num w:numId="23">
    <w:abstractNumId w:val="14"/>
  </w:num>
  <w:num w:numId="24">
    <w:abstractNumId w:val="34"/>
  </w:num>
  <w:num w:numId="25">
    <w:abstractNumId w:val="13"/>
  </w:num>
  <w:num w:numId="26">
    <w:abstractNumId w:val="37"/>
  </w:num>
  <w:num w:numId="27">
    <w:abstractNumId w:val="21"/>
  </w:num>
  <w:num w:numId="28">
    <w:abstractNumId w:val="0"/>
    <w:lvlOverride w:ilvl="0">
      <w:lvl w:ilvl="0">
        <w:start w:val="1"/>
        <w:numFmt w:val="bullet"/>
        <w:lvlText w:val=""/>
        <w:legacy w:legacy="1" w:legacySpace="0" w:legacyIndent="283"/>
        <w:lvlJc w:val="left"/>
        <w:pPr>
          <w:ind w:left="1048" w:hanging="283"/>
        </w:pPr>
        <w:rPr>
          <w:rFonts w:ascii="Symbol" w:hAnsi="Symbol" w:hint="default"/>
        </w:rPr>
      </w:lvl>
    </w:lvlOverride>
  </w:num>
  <w:num w:numId="29">
    <w:abstractNumId w:val="9"/>
  </w:num>
  <w:num w:numId="30">
    <w:abstractNumId w:val="19"/>
  </w:num>
  <w:num w:numId="31">
    <w:abstractNumId w:val="33"/>
  </w:num>
  <w:num w:numId="32">
    <w:abstractNumId w:val="6"/>
  </w:num>
  <w:num w:numId="33">
    <w:abstractNumId w:val="10"/>
  </w:num>
  <w:num w:numId="34">
    <w:abstractNumId w:val="3"/>
  </w:num>
  <w:num w:numId="35">
    <w:abstractNumId w:val="18"/>
  </w:num>
  <w:num w:numId="36">
    <w:abstractNumId w:val="31"/>
  </w:num>
  <w:num w:numId="37">
    <w:abstractNumId w:val="25"/>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4"/>
  <w:defaultTabStop w:val="708"/>
  <w:hyphenationZone w:val="425"/>
  <w:drawingGridHorizontalSpacing w:val="90"/>
  <w:displayHorizontalDrawingGridEvery w:val="2"/>
  <w:characterSpacingControl w:val="doNotCompress"/>
  <w:hdrShapeDefaults>
    <o:shapedefaults v:ext="edit" spidmax="81921"/>
  </w:hdrShapeDefaults>
  <w:footnotePr>
    <w:footnote w:id="-1"/>
    <w:footnote w:id="0"/>
  </w:footnotePr>
  <w:endnotePr>
    <w:endnote w:id="-1"/>
    <w:endnote w:id="0"/>
  </w:endnotePr>
  <w:compat/>
  <w:rsids>
    <w:rsidRoot w:val="00C037FE"/>
    <w:rsid w:val="00001EA2"/>
    <w:rsid w:val="000046C1"/>
    <w:rsid w:val="00013D0B"/>
    <w:rsid w:val="000169BC"/>
    <w:rsid w:val="00021CE9"/>
    <w:rsid w:val="00021E20"/>
    <w:rsid w:val="00022860"/>
    <w:rsid w:val="000254C5"/>
    <w:rsid w:val="000266EC"/>
    <w:rsid w:val="00030B83"/>
    <w:rsid w:val="0003506F"/>
    <w:rsid w:val="00040704"/>
    <w:rsid w:val="0004263F"/>
    <w:rsid w:val="000527D5"/>
    <w:rsid w:val="0005370D"/>
    <w:rsid w:val="0006220A"/>
    <w:rsid w:val="00091010"/>
    <w:rsid w:val="0009464F"/>
    <w:rsid w:val="000957FD"/>
    <w:rsid w:val="000A2144"/>
    <w:rsid w:val="000A6134"/>
    <w:rsid w:val="000A66B9"/>
    <w:rsid w:val="000B02D3"/>
    <w:rsid w:val="000B1CBE"/>
    <w:rsid w:val="000B7290"/>
    <w:rsid w:val="000C224B"/>
    <w:rsid w:val="000D01FA"/>
    <w:rsid w:val="000E4408"/>
    <w:rsid w:val="000E7371"/>
    <w:rsid w:val="000F2669"/>
    <w:rsid w:val="000F28E1"/>
    <w:rsid w:val="0010225E"/>
    <w:rsid w:val="00104D43"/>
    <w:rsid w:val="00105C54"/>
    <w:rsid w:val="001078E0"/>
    <w:rsid w:val="00116806"/>
    <w:rsid w:val="00116F5F"/>
    <w:rsid w:val="0012051F"/>
    <w:rsid w:val="00123036"/>
    <w:rsid w:val="00125A29"/>
    <w:rsid w:val="001319AB"/>
    <w:rsid w:val="00134961"/>
    <w:rsid w:val="00137C1C"/>
    <w:rsid w:val="00141107"/>
    <w:rsid w:val="001439A8"/>
    <w:rsid w:val="00143FC8"/>
    <w:rsid w:val="00147C61"/>
    <w:rsid w:val="00153450"/>
    <w:rsid w:val="0015472C"/>
    <w:rsid w:val="0016039F"/>
    <w:rsid w:val="00167674"/>
    <w:rsid w:val="00170C75"/>
    <w:rsid w:val="00177DC0"/>
    <w:rsid w:val="00180897"/>
    <w:rsid w:val="00190C0F"/>
    <w:rsid w:val="001938E7"/>
    <w:rsid w:val="001957B5"/>
    <w:rsid w:val="001960E8"/>
    <w:rsid w:val="001A19E6"/>
    <w:rsid w:val="001A54DB"/>
    <w:rsid w:val="001B4F34"/>
    <w:rsid w:val="001C00B2"/>
    <w:rsid w:val="001C2E83"/>
    <w:rsid w:val="001C5055"/>
    <w:rsid w:val="001C627B"/>
    <w:rsid w:val="001D0BA9"/>
    <w:rsid w:val="001D56D1"/>
    <w:rsid w:val="001E4C3B"/>
    <w:rsid w:val="001E5076"/>
    <w:rsid w:val="001E7AA3"/>
    <w:rsid w:val="001F47BE"/>
    <w:rsid w:val="001F51DB"/>
    <w:rsid w:val="001F7DA0"/>
    <w:rsid w:val="00207A6A"/>
    <w:rsid w:val="0021025D"/>
    <w:rsid w:val="0021310B"/>
    <w:rsid w:val="002134CB"/>
    <w:rsid w:val="00217920"/>
    <w:rsid w:val="00225AEE"/>
    <w:rsid w:val="00232581"/>
    <w:rsid w:val="00233538"/>
    <w:rsid w:val="00234D86"/>
    <w:rsid w:val="00247956"/>
    <w:rsid w:val="002523AF"/>
    <w:rsid w:val="002560EC"/>
    <w:rsid w:val="002614C1"/>
    <w:rsid w:val="00262C76"/>
    <w:rsid w:val="0026456C"/>
    <w:rsid w:val="00270F88"/>
    <w:rsid w:val="00271CED"/>
    <w:rsid w:val="00272103"/>
    <w:rsid w:val="00273F6F"/>
    <w:rsid w:val="00275722"/>
    <w:rsid w:val="00275A68"/>
    <w:rsid w:val="00280692"/>
    <w:rsid w:val="00281FC5"/>
    <w:rsid w:val="002833B2"/>
    <w:rsid w:val="00287C9A"/>
    <w:rsid w:val="00287E27"/>
    <w:rsid w:val="00294788"/>
    <w:rsid w:val="002A2DDB"/>
    <w:rsid w:val="002A2FC2"/>
    <w:rsid w:val="002A4210"/>
    <w:rsid w:val="002A7B73"/>
    <w:rsid w:val="002A7E48"/>
    <w:rsid w:val="002B1276"/>
    <w:rsid w:val="002B1CF4"/>
    <w:rsid w:val="002B2F92"/>
    <w:rsid w:val="002B7120"/>
    <w:rsid w:val="002C0E62"/>
    <w:rsid w:val="002C196E"/>
    <w:rsid w:val="002C4E3C"/>
    <w:rsid w:val="002C5FB1"/>
    <w:rsid w:val="002D5700"/>
    <w:rsid w:val="002D6599"/>
    <w:rsid w:val="002E53AB"/>
    <w:rsid w:val="002E7DA4"/>
    <w:rsid w:val="002F3D61"/>
    <w:rsid w:val="00301992"/>
    <w:rsid w:val="00301F8B"/>
    <w:rsid w:val="003103AA"/>
    <w:rsid w:val="0031400C"/>
    <w:rsid w:val="003145B3"/>
    <w:rsid w:val="003148A0"/>
    <w:rsid w:val="003151B8"/>
    <w:rsid w:val="00320088"/>
    <w:rsid w:val="00325FA5"/>
    <w:rsid w:val="0033534A"/>
    <w:rsid w:val="00337138"/>
    <w:rsid w:val="003401BE"/>
    <w:rsid w:val="00340925"/>
    <w:rsid w:val="0034441C"/>
    <w:rsid w:val="00344D5D"/>
    <w:rsid w:val="0035021A"/>
    <w:rsid w:val="003529EB"/>
    <w:rsid w:val="00353E4C"/>
    <w:rsid w:val="00356A2D"/>
    <w:rsid w:val="00357EC5"/>
    <w:rsid w:val="0036082D"/>
    <w:rsid w:val="00361501"/>
    <w:rsid w:val="00361D13"/>
    <w:rsid w:val="00361E15"/>
    <w:rsid w:val="00363AE5"/>
    <w:rsid w:val="00375CA6"/>
    <w:rsid w:val="00376FA2"/>
    <w:rsid w:val="003853EA"/>
    <w:rsid w:val="00385F95"/>
    <w:rsid w:val="00386966"/>
    <w:rsid w:val="003875DE"/>
    <w:rsid w:val="003909F6"/>
    <w:rsid w:val="003931A9"/>
    <w:rsid w:val="0039626F"/>
    <w:rsid w:val="003A264E"/>
    <w:rsid w:val="003A5BFE"/>
    <w:rsid w:val="003A5D59"/>
    <w:rsid w:val="003B0B42"/>
    <w:rsid w:val="003B2995"/>
    <w:rsid w:val="003B3414"/>
    <w:rsid w:val="003B5E07"/>
    <w:rsid w:val="003B5E3D"/>
    <w:rsid w:val="003B638D"/>
    <w:rsid w:val="003C0CBE"/>
    <w:rsid w:val="003C5D9F"/>
    <w:rsid w:val="003C693D"/>
    <w:rsid w:val="003D3F25"/>
    <w:rsid w:val="003E06A8"/>
    <w:rsid w:val="003E1EBA"/>
    <w:rsid w:val="003E7AEE"/>
    <w:rsid w:val="003E7F80"/>
    <w:rsid w:val="003F0AA3"/>
    <w:rsid w:val="003F2532"/>
    <w:rsid w:val="00401E04"/>
    <w:rsid w:val="004028E5"/>
    <w:rsid w:val="004168AE"/>
    <w:rsid w:val="004241E7"/>
    <w:rsid w:val="00426964"/>
    <w:rsid w:val="00426AF1"/>
    <w:rsid w:val="00430098"/>
    <w:rsid w:val="00432C05"/>
    <w:rsid w:val="00434A2D"/>
    <w:rsid w:val="004374C1"/>
    <w:rsid w:val="00443DA7"/>
    <w:rsid w:val="00444566"/>
    <w:rsid w:val="00446521"/>
    <w:rsid w:val="004530D2"/>
    <w:rsid w:val="00454433"/>
    <w:rsid w:val="00454FD0"/>
    <w:rsid w:val="00456688"/>
    <w:rsid w:val="00462AD4"/>
    <w:rsid w:val="00466675"/>
    <w:rsid w:val="0046694B"/>
    <w:rsid w:val="00467967"/>
    <w:rsid w:val="004700F3"/>
    <w:rsid w:val="00470435"/>
    <w:rsid w:val="004915EE"/>
    <w:rsid w:val="004A5EFF"/>
    <w:rsid w:val="004A660B"/>
    <w:rsid w:val="004A74D8"/>
    <w:rsid w:val="004C24C5"/>
    <w:rsid w:val="004C6408"/>
    <w:rsid w:val="004C7B28"/>
    <w:rsid w:val="004D0104"/>
    <w:rsid w:val="004D3FF8"/>
    <w:rsid w:val="004D4BCF"/>
    <w:rsid w:val="004E0EFA"/>
    <w:rsid w:val="004E48F5"/>
    <w:rsid w:val="004E63C9"/>
    <w:rsid w:val="004F1C71"/>
    <w:rsid w:val="004F2B6B"/>
    <w:rsid w:val="0050614D"/>
    <w:rsid w:val="00511CDA"/>
    <w:rsid w:val="00513887"/>
    <w:rsid w:val="00520D48"/>
    <w:rsid w:val="005256E3"/>
    <w:rsid w:val="00531DA7"/>
    <w:rsid w:val="00542EE3"/>
    <w:rsid w:val="00543C84"/>
    <w:rsid w:val="005504B4"/>
    <w:rsid w:val="00550774"/>
    <w:rsid w:val="0055489C"/>
    <w:rsid w:val="00561D01"/>
    <w:rsid w:val="00571200"/>
    <w:rsid w:val="00571569"/>
    <w:rsid w:val="00574BB4"/>
    <w:rsid w:val="00584604"/>
    <w:rsid w:val="005853A5"/>
    <w:rsid w:val="00591D50"/>
    <w:rsid w:val="0059357E"/>
    <w:rsid w:val="0059730A"/>
    <w:rsid w:val="005A31E1"/>
    <w:rsid w:val="005A561B"/>
    <w:rsid w:val="005B05F1"/>
    <w:rsid w:val="005B147E"/>
    <w:rsid w:val="005B15A8"/>
    <w:rsid w:val="005B1B62"/>
    <w:rsid w:val="005B270C"/>
    <w:rsid w:val="005C19C0"/>
    <w:rsid w:val="005C1F1D"/>
    <w:rsid w:val="005C404A"/>
    <w:rsid w:val="005C5F60"/>
    <w:rsid w:val="005D1731"/>
    <w:rsid w:val="005D1EA2"/>
    <w:rsid w:val="005D30E9"/>
    <w:rsid w:val="005D590A"/>
    <w:rsid w:val="005D76CD"/>
    <w:rsid w:val="005E1001"/>
    <w:rsid w:val="005E255C"/>
    <w:rsid w:val="005E2991"/>
    <w:rsid w:val="005E4CD0"/>
    <w:rsid w:val="005E60A1"/>
    <w:rsid w:val="005E63E3"/>
    <w:rsid w:val="005F3DB3"/>
    <w:rsid w:val="005F58C3"/>
    <w:rsid w:val="005F671F"/>
    <w:rsid w:val="006007ED"/>
    <w:rsid w:val="00602DD6"/>
    <w:rsid w:val="00603741"/>
    <w:rsid w:val="00607EBC"/>
    <w:rsid w:val="00611837"/>
    <w:rsid w:val="00611E17"/>
    <w:rsid w:val="006202CB"/>
    <w:rsid w:val="006206B9"/>
    <w:rsid w:val="00620CE6"/>
    <w:rsid w:val="00623E84"/>
    <w:rsid w:val="00631757"/>
    <w:rsid w:val="00647214"/>
    <w:rsid w:val="006515E7"/>
    <w:rsid w:val="006575B3"/>
    <w:rsid w:val="00660473"/>
    <w:rsid w:val="00662A29"/>
    <w:rsid w:val="00663E3F"/>
    <w:rsid w:val="0066462B"/>
    <w:rsid w:val="00667079"/>
    <w:rsid w:val="00672667"/>
    <w:rsid w:val="00676999"/>
    <w:rsid w:val="00677485"/>
    <w:rsid w:val="0069164E"/>
    <w:rsid w:val="00696070"/>
    <w:rsid w:val="006A507E"/>
    <w:rsid w:val="006A53EE"/>
    <w:rsid w:val="006B00F1"/>
    <w:rsid w:val="006B48D1"/>
    <w:rsid w:val="006B5165"/>
    <w:rsid w:val="006B5AF5"/>
    <w:rsid w:val="006B7459"/>
    <w:rsid w:val="006C71A2"/>
    <w:rsid w:val="006D2171"/>
    <w:rsid w:val="006D667D"/>
    <w:rsid w:val="006D6C34"/>
    <w:rsid w:val="006E1A20"/>
    <w:rsid w:val="006E1BCA"/>
    <w:rsid w:val="006E36F8"/>
    <w:rsid w:val="006E453C"/>
    <w:rsid w:val="006E6A2E"/>
    <w:rsid w:val="006F2586"/>
    <w:rsid w:val="006F75B0"/>
    <w:rsid w:val="007025F6"/>
    <w:rsid w:val="00702821"/>
    <w:rsid w:val="0071433C"/>
    <w:rsid w:val="007159AE"/>
    <w:rsid w:val="0072420A"/>
    <w:rsid w:val="00724424"/>
    <w:rsid w:val="007313E5"/>
    <w:rsid w:val="00734B53"/>
    <w:rsid w:val="007372FA"/>
    <w:rsid w:val="00740B15"/>
    <w:rsid w:val="00742322"/>
    <w:rsid w:val="00751BD2"/>
    <w:rsid w:val="00755751"/>
    <w:rsid w:val="00763B7E"/>
    <w:rsid w:val="00764224"/>
    <w:rsid w:val="00764BEA"/>
    <w:rsid w:val="00766B69"/>
    <w:rsid w:val="007670F2"/>
    <w:rsid w:val="00785254"/>
    <w:rsid w:val="00790440"/>
    <w:rsid w:val="00791318"/>
    <w:rsid w:val="00791862"/>
    <w:rsid w:val="00792DF9"/>
    <w:rsid w:val="007956CB"/>
    <w:rsid w:val="007A7A1F"/>
    <w:rsid w:val="007B2703"/>
    <w:rsid w:val="007C582D"/>
    <w:rsid w:val="007C6AF5"/>
    <w:rsid w:val="007C6C94"/>
    <w:rsid w:val="007D60D8"/>
    <w:rsid w:val="007D63A6"/>
    <w:rsid w:val="007D71A3"/>
    <w:rsid w:val="007D71B8"/>
    <w:rsid w:val="007E26FD"/>
    <w:rsid w:val="007E3E77"/>
    <w:rsid w:val="007E5D80"/>
    <w:rsid w:val="007F53CD"/>
    <w:rsid w:val="007F7A44"/>
    <w:rsid w:val="00801D6B"/>
    <w:rsid w:val="008020DC"/>
    <w:rsid w:val="00803DC8"/>
    <w:rsid w:val="00807915"/>
    <w:rsid w:val="00807EE0"/>
    <w:rsid w:val="00811CCE"/>
    <w:rsid w:val="008140E5"/>
    <w:rsid w:val="008177A9"/>
    <w:rsid w:val="00824E6B"/>
    <w:rsid w:val="00826D32"/>
    <w:rsid w:val="00831687"/>
    <w:rsid w:val="00836E80"/>
    <w:rsid w:val="008431D1"/>
    <w:rsid w:val="00843DBE"/>
    <w:rsid w:val="00843E19"/>
    <w:rsid w:val="00844F9E"/>
    <w:rsid w:val="00852161"/>
    <w:rsid w:val="00855972"/>
    <w:rsid w:val="00857078"/>
    <w:rsid w:val="00863C4B"/>
    <w:rsid w:val="008647FA"/>
    <w:rsid w:val="00870D8B"/>
    <w:rsid w:val="00872B6E"/>
    <w:rsid w:val="0087328B"/>
    <w:rsid w:val="0089357B"/>
    <w:rsid w:val="00896061"/>
    <w:rsid w:val="008A1662"/>
    <w:rsid w:val="008A2BA6"/>
    <w:rsid w:val="008A2CA6"/>
    <w:rsid w:val="008A378E"/>
    <w:rsid w:val="008A6ECE"/>
    <w:rsid w:val="008B0CC9"/>
    <w:rsid w:val="008B2EAA"/>
    <w:rsid w:val="008C08C6"/>
    <w:rsid w:val="008C126E"/>
    <w:rsid w:val="008C520E"/>
    <w:rsid w:val="008C5F34"/>
    <w:rsid w:val="008C6CFA"/>
    <w:rsid w:val="008C72FB"/>
    <w:rsid w:val="008D0B8C"/>
    <w:rsid w:val="008D241E"/>
    <w:rsid w:val="008D540E"/>
    <w:rsid w:val="008D581A"/>
    <w:rsid w:val="008D64A0"/>
    <w:rsid w:val="008F0B1E"/>
    <w:rsid w:val="008F4DC2"/>
    <w:rsid w:val="008F5107"/>
    <w:rsid w:val="009046DB"/>
    <w:rsid w:val="009048BC"/>
    <w:rsid w:val="009133E0"/>
    <w:rsid w:val="00915DA6"/>
    <w:rsid w:val="00916823"/>
    <w:rsid w:val="00925662"/>
    <w:rsid w:val="0092742A"/>
    <w:rsid w:val="0093278E"/>
    <w:rsid w:val="00941802"/>
    <w:rsid w:val="009440B8"/>
    <w:rsid w:val="00953B3A"/>
    <w:rsid w:val="00957123"/>
    <w:rsid w:val="0097067B"/>
    <w:rsid w:val="00973D4F"/>
    <w:rsid w:val="009914FB"/>
    <w:rsid w:val="0099241B"/>
    <w:rsid w:val="00994120"/>
    <w:rsid w:val="009A2064"/>
    <w:rsid w:val="009A7B5F"/>
    <w:rsid w:val="009B0B19"/>
    <w:rsid w:val="009B2ABA"/>
    <w:rsid w:val="009B3720"/>
    <w:rsid w:val="009C3A66"/>
    <w:rsid w:val="009C4759"/>
    <w:rsid w:val="009D0F66"/>
    <w:rsid w:val="009D4EA6"/>
    <w:rsid w:val="009D5F32"/>
    <w:rsid w:val="009E1D49"/>
    <w:rsid w:val="009E662C"/>
    <w:rsid w:val="009E6E21"/>
    <w:rsid w:val="009F228F"/>
    <w:rsid w:val="009F400E"/>
    <w:rsid w:val="00A13421"/>
    <w:rsid w:val="00A178EB"/>
    <w:rsid w:val="00A17C63"/>
    <w:rsid w:val="00A25693"/>
    <w:rsid w:val="00A33FC2"/>
    <w:rsid w:val="00A34588"/>
    <w:rsid w:val="00A41935"/>
    <w:rsid w:val="00A55969"/>
    <w:rsid w:val="00A632C1"/>
    <w:rsid w:val="00A67F93"/>
    <w:rsid w:val="00A705B4"/>
    <w:rsid w:val="00A736B1"/>
    <w:rsid w:val="00A75F47"/>
    <w:rsid w:val="00A776B5"/>
    <w:rsid w:val="00A8097B"/>
    <w:rsid w:val="00A81FAE"/>
    <w:rsid w:val="00A821EA"/>
    <w:rsid w:val="00A97036"/>
    <w:rsid w:val="00AA0B8F"/>
    <w:rsid w:val="00AA1E80"/>
    <w:rsid w:val="00AB13A2"/>
    <w:rsid w:val="00AB38EE"/>
    <w:rsid w:val="00AC0946"/>
    <w:rsid w:val="00AC15DA"/>
    <w:rsid w:val="00AC35D3"/>
    <w:rsid w:val="00AC4123"/>
    <w:rsid w:val="00AC5662"/>
    <w:rsid w:val="00AC645D"/>
    <w:rsid w:val="00AD003A"/>
    <w:rsid w:val="00AD1866"/>
    <w:rsid w:val="00AD4D3F"/>
    <w:rsid w:val="00AD5CC4"/>
    <w:rsid w:val="00AD60F0"/>
    <w:rsid w:val="00AE5D8E"/>
    <w:rsid w:val="00AF1521"/>
    <w:rsid w:val="00AF57CB"/>
    <w:rsid w:val="00AF729A"/>
    <w:rsid w:val="00B01798"/>
    <w:rsid w:val="00B06D75"/>
    <w:rsid w:val="00B15C6F"/>
    <w:rsid w:val="00B33554"/>
    <w:rsid w:val="00B33EEB"/>
    <w:rsid w:val="00B40220"/>
    <w:rsid w:val="00B41F82"/>
    <w:rsid w:val="00B45552"/>
    <w:rsid w:val="00B5627E"/>
    <w:rsid w:val="00B56B2D"/>
    <w:rsid w:val="00B56C3C"/>
    <w:rsid w:val="00B64042"/>
    <w:rsid w:val="00B65DBD"/>
    <w:rsid w:val="00B67FE6"/>
    <w:rsid w:val="00B70FBB"/>
    <w:rsid w:val="00B77790"/>
    <w:rsid w:val="00B80CB4"/>
    <w:rsid w:val="00B83DA3"/>
    <w:rsid w:val="00B84F1D"/>
    <w:rsid w:val="00B85ABE"/>
    <w:rsid w:val="00B934B3"/>
    <w:rsid w:val="00B94397"/>
    <w:rsid w:val="00B94A9C"/>
    <w:rsid w:val="00B9647C"/>
    <w:rsid w:val="00B97DBE"/>
    <w:rsid w:val="00BA0C20"/>
    <w:rsid w:val="00BA0DEF"/>
    <w:rsid w:val="00BA1C89"/>
    <w:rsid w:val="00BA21D6"/>
    <w:rsid w:val="00BA2620"/>
    <w:rsid w:val="00BA4932"/>
    <w:rsid w:val="00BB19BE"/>
    <w:rsid w:val="00BB408C"/>
    <w:rsid w:val="00BB6542"/>
    <w:rsid w:val="00BC075C"/>
    <w:rsid w:val="00BC1810"/>
    <w:rsid w:val="00BC2398"/>
    <w:rsid w:val="00BC40CF"/>
    <w:rsid w:val="00BC49B9"/>
    <w:rsid w:val="00BC6F2A"/>
    <w:rsid w:val="00BD3B15"/>
    <w:rsid w:val="00BD4C25"/>
    <w:rsid w:val="00BD76F9"/>
    <w:rsid w:val="00BE5F01"/>
    <w:rsid w:val="00BE78F2"/>
    <w:rsid w:val="00BE7D3E"/>
    <w:rsid w:val="00BF2A5A"/>
    <w:rsid w:val="00BF32E2"/>
    <w:rsid w:val="00BF41AC"/>
    <w:rsid w:val="00BF48FE"/>
    <w:rsid w:val="00BF5466"/>
    <w:rsid w:val="00C0009E"/>
    <w:rsid w:val="00C037FE"/>
    <w:rsid w:val="00C06992"/>
    <w:rsid w:val="00C079AA"/>
    <w:rsid w:val="00C1070F"/>
    <w:rsid w:val="00C10A90"/>
    <w:rsid w:val="00C139C5"/>
    <w:rsid w:val="00C15CE8"/>
    <w:rsid w:val="00C15FC2"/>
    <w:rsid w:val="00C20168"/>
    <w:rsid w:val="00C21B7D"/>
    <w:rsid w:val="00C21B90"/>
    <w:rsid w:val="00C36E82"/>
    <w:rsid w:val="00C402DB"/>
    <w:rsid w:val="00C42749"/>
    <w:rsid w:val="00C4450C"/>
    <w:rsid w:val="00C44CBA"/>
    <w:rsid w:val="00C52D21"/>
    <w:rsid w:val="00C545FF"/>
    <w:rsid w:val="00C6098A"/>
    <w:rsid w:val="00C63952"/>
    <w:rsid w:val="00C71ECA"/>
    <w:rsid w:val="00C76193"/>
    <w:rsid w:val="00C84969"/>
    <w:rsid w:val="00C8615B"/>
    <w:rsid w:val="00C9201E"/>
    <w:rsid w:val="00C93D0B"/>
    <w:rsid w:val="00C94B80"/>
    <w:rsid w:val="00C96FF5"/>
    <w:rsid w:val="00CA1991"/>
    <w:rsid w:val="00CA488B"/>
    <w:rsid w:val="00CA609A"/>
    <w:rsid w:val="00CA726A"/>
    <w:rsid w:val="00CB21E1"/>
    <w:rsid w:val="00CD32CA"/>
    <w:rsid w:val="00CD452F"/>
    <w:rsid w:val="00CD4571"/>
    <w:rsid w:val="00CE1474"/>
    <w:rsid w:val="00CE23B6"/>
    <w:rsid w:val="00CE2E31"/>
    <w:rsid w:val="00CF0DFF"/>
    <w:rsid w:val="00D025B7"/>
    <w:rsid w:val="00D038B0"/>
    <w:rsid w:val="00D10E10"/>
    <w:rsid w:val="00D15AD3"/>
    <w:rsid w:val="00D179AA"/>
    <w:rsid w:val="00D17DD6"/>
    <w:rsid w:val="00D242A9"/>
    <w:rsid w:val="00D31E7F"/>
    <w:rsid w:val="00D36696"/>
    <w:rsid w:val="00D37E49"/>
    <w:rsid w:val="00D37F63"/>
    <w:rsid w:val="00D414B3"/>
    <w:rsid w:val="00D45962"/>
    <w:rsid w:val="00D46D88"/>
    <w:rsid w:val="00D4789E"/>
    <w:rsid w:val="00D479EC"/>
    <w:rsid w:val="00D64B33"/>
    <w:rsid w:val="00D66BC0"/>
    <w:rsid w:val="00D66BF8"/>
    <w:rsid w:val="00D742CB"/>
    <w:rsid w:val="00D81168"/>
    <w:rsid w:val="00D8402C"/>
    <w:rsid w:val="00D840CE"/>
    <w:rsid w:val="00D861BE"/>
    <w:rsid w:val="00D9149C"/>
    <w:rsid w:val="00D91A9B"/>
    <w:rsid w:val="00D9238C"/>
    <w:rsid w:val="00D923D7"/>
    <w:rsid w:val="00D9421C"/>
    <w:rsid w:val="00D974DA"/>
    <w:rsid w:val="00DA1ED0"/>
    <w:rsid w:val="00DA3947"/>
    <w:rsid w:val="00DA7460"/>
    <w:rsid w:val="00DB106A"/>
    <w:rsid w:val="00DB1FBC"/>
    <w:rsid w:val="00DB2774"/>
    <w:rsid w:val="00DB5C92"/>
    <w:rsid w:val="00DC0A15"/>
    <w:rsid w:val="00DC0C8E"/>
    <w:rsid w:val="00DC54CD"/>
    <w:rsid w:val="00DC63BE"/>
    <w:rsid w:val="00DC7256"/>
    <w:rsid w:val="00DD0D8A"/>
    <w:rsid w:val="00DD5E89"/>
    <w:rsid w:val="00DE2366"/>
    <w:rsid w:val="00DE3DD1"/>
    <w:rsid w:val="00DE6199"/>
    <w:rsid w:val="00DE766C"/>
    <w:rsid w:val="00DF10F3"/>
    <w:rsid w:val="00DF594E"/>
    <w:rsid w:val="00DF76E1"/>
    <w:rsid w:val="00E04422"/>
    <w:rsid w:val="00E0479E"/>
    <w:rsid w:val="00E12016"/>
    <w:rsid w:val="00E12346"/>
    <w:rsid w:val="00E12709"/>
    <w:rsid w:val="00E2062F"/>
    <w:rsid w:val="00E20926"/>
    <w:rsid w:val="00E21304"/>
    <w:rsid w:val="00E21EC0"/>
    <w:rsid w:val="00E232D3"/>
    <w:rsid w:val="00E314E1"/>
    <w:rsid w:val="00E32FF0"/>
    <w:rsid w:val="00E35051"/>
    <w:rsid w:val="00E40FB7"/>
    <w:rsid w:val="00E50DEB"/>
    <w:rsid w:val="00E52F6D"/>
    <w:rsid w:val="00E55CFB"/>
    <w:rsid w:val="00E57B7F"/>
    <w:rsid w:val="00E67462"/>
    <w:rsid w:val="00E67736"/>
    <w:rsid w:val="00E67EE5"/>
    <w:rsid w:val="00E74EB9"/>
    <w:rsid w:val="00E754B6"/>
    <w:rsid w:val="00E7641E"/>
    <w:rsid w:val="00E77EBB"/>
    <w:rsid w:val="00E77ECB"/>
    <w:rsid w:val="00E8222F"/>
    <w:rsid w:val="00E8253F"/>
    <w:rsid w:val="00E926AC"/>
    <w:rsid w:val="00E95A7C"/>
    <w:rsid w:val="00EA0332"/>
    <w:rsid w:val="00EA74EE"/>
    <w:rsid w:val="00EB0475"/>
    <w:rsid w:val="00EB5952"/>
    <w:rsid w:val="00EB6424"/>
    <w:rsid w:val="00EB64B2"/>
    <w:rsid w:val="00EB68A4"/>
    <w:rsid w:val="00EB73F7"/>
    <w:rsid w:val="00EC2E8F"/>
    <w:rsid w:val="00ED043F"/>
    <w:rsid w:val="00ED0834"/>
    <w:rsid w:val="00ED26B1"/>
    <w:rsid w:val="00ED5A14"/>
    <w:rsid w:val="00EE23FC"/>
    <w:rsid w:val="00EE463F"/>
    <w:rsid w:val="00EE7F4E"/>
    <w:rsid w:val="00EF0CB4"/>
    <w:rsid w:val="00F0351E"/>
    <w:rsid w:val="00F04F3D"/>
    <w:rsid w:val="00F07CDF"/>
    <w:rsid w:val="00F10C19"/>
    <w:rsid w:val="00F14BD4"/>
    <w:rsid w:val="00F17A8D"/>
    <w:rsid w:val="00F235B7"/>
    <w:rsid w:val="00F23F45"/>
    <w:rsid w:val="00F26DF7"/>
    <w:rsid w:val="00F3297D"/>
    <w:rsid w:val="00F34BAA"/>
    <w:rsid w:val="00F3590F"/>
    <w:rsid w:val="00F37254"/>
    <w:rsid w:val="00F401BF"/>
    <w:rsid w:val="00F40972"/>
    <w:rsid w:val="00F409DD"/>
    <w:rsid w:val="00F40A22"/>
    <w:rsid w:val="00F415CD"/>
    <w:rsid w:val="00F42400"/>
    <w:rsid w:val="00F44561"/>
    <w:rsid w:val="00F448D4"/>
    <w:rsid w:val="00F4686F"/>
    <w:rsid w:val="00F471A0"/>
    <w:rsid w:val="00F517FA"/>
    <w:rsid w:val="00F54A48"/>
    <w:rsid w:val="00F55FA5"/>
    <w:rsid w:val="00F62ABD"/>
    <w:rsid w:val="00F67A90"/>
    <w:rsid w:val="00F72899"/>
    <w:rsid w:val="00F72A21"/>
    <w:rsid w:val="00F76825"/>
    <w:rsid w:val="00F8226A"/>
    <w:rsid w:val="00F8661A"/>
    <w:rsid w:val="00F91932"/>
    <w:rsid w:val="00FA135D"/>
    <w:rsid w:val="00FA266F"/>
    <w:rsid w:val="00FA4F26"/>
    <w:rsid w:val="00FA6AE4"/>
    <w:rsid w:val="00FB3938"/>
    <w:rsid w:val="00FB3A7B"/>
    <w:rsid w:val="00FB3E2A"/>
    <w:rsid w:val="00FB4170"/>
    <w:rsid w:val="00FB64EE"/>
    <w:rsid w:val="00FD0916"/>
    <w:rsid w:val="00FD167D"/>
    <w:rsid w:val="00FD34BA"/>
    <w:rsid w:val="00FD41B3"/>
    <w:rsid w:val="00FD5049"/>
    <w:rsid w:val="00FE5ABD"/>
    <w:rsid w:val="00FE624C"/>
    <w:rsid w:val="00FE6272"/>
    <w:rsid w:val="00FE7E96"/>
    <w:rsid w:val="00FF061E"/>
    <w:rsid w:val="00FF2426"/>
    <w:rsid w:val="00FF3C43"/>
    <w:rsid w:val="00FF6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toa heading" w:uiPriority="0"/>
    <w:lsdException w:name="List"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List Continue 2"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60EC"/>
    <w:rPr>
      <w:rFonts w:ascii="Arial" w:hAnsi="Arial"/>
      <w:sz w:val="18"/>
      <w:lang w:val="cs-CZ" w:eastAsia="cs-CZ"/>
    </w:rPr>
  </w:style>
  <w:style w:type="paragraph" w:styleId="Nadpis1">
    <w:name w:val="heading 1"/>
    <w:basedOn w:val="Normln"/>
    <w:next w:val="Normln"/>
    <w:link w:val="Nadpis1Char"/>
    <w:qFormat/>
    <w:rsid w:val="00C037FE"/>
    <w:pPr>
      <w:keepNext/>
      <w:overflowPunct w:val="0"/>
      <w:autoSpaceDE w:val="0"/>
      <w:autoSpaceDN w:val="0"/>
      <w:adjustRightInd w:val="0"/>
      <w:jc w:val="right"/>
      <w:textAlignment w:val="baseline"/>
      <w:outlineLvl w:val="0"/>
    </w:pPr>
    <w:rPr>
      <w:rFonts w:ascii="Cambria" w:hAnsi="Cambria"/>
      <w:b/>
      <w:bCs/>
      <w:kern w:val="32"/>
      <w:sz w:val="32"/>
      <w:szCs w:val="32"/>
      <w:lang/>
    </w:rPr>
  </w:style>
  <w:style w:type="paragraph" w:styleId="Nadpis2">
    <w:name w:val="heading 2"/>
    <w:basedOn w:val="Normln"/>
    <w:next w:val="Normln"/>
    <w:link w:val="Nadpis2Char"/>
    <w:qFormat/>
    <w:rsid w:val="00C037FE"/>
    <w:pPr>
      <w:keepNext/>
      <w:tabs>
        <w:tab w:val="left" w:pos="2268"/>
        <w:tab w:val="left" w:pos="3232"/>
      </w:tabs>
      <w:overflowPunct w:val="0"/>
      <w:autoSpaceDE w:val="0"/>
      <w:autoSpaceDN w:val="0"/>
      <w:adjustRightInd w:val="0"/>
      <w:spacing w:before="40"/>
      <w:jc w:val="center"/>
      <w:textAlignment w:val="baseline"/>
      <w:outlineLvl w:val="1"/>
    </w:pPr>
    <w:rPr>
      <w:rFonts w:ascii="Cambria" w:hAnsi="Cambria"/>
      <w:b/>
      <w:bCs/>
      <w:i/>
      <w:iCs/>
      <w:sz w:val="28"/>
      <w:szCs w:val="28"/>
      <w:lang/>
    </w:rPr>
  </w:style>
  <w:style w:type="paragraph" w:styleId="Nadpis3">
    <w:name w:val="heading 3"/>
    <w:basedOn w:val="Normln"/>
    <w:next w:val="Normln"/>
    <w:link w:val="Nadpis3Char"/>
    <w:qFormat/>
    <w:rsid w:val="00C037FE"/>
    <w:pPr>
      <w:keepNext/>
      <w:ind w:left="425" w:firstLine="1"/>
      <w:jc w:val="both"/>
      <w:outlineLvl w:val="2"/>
    </w:pPr>
    <w:rPr>
      <w:rFonts w:ascii="Cambria" w:hAnsi="Cambria"/>
      <w:b/>
      <w:bCs/>
      <w:sz w:val="26"/>
      <w:szCs w:val="26"/>
      <w:lang/>
    </w:rPr>
  </w:style>
  <w:style w:type="paragraph" w:styleId="Nadpis4">
    <w:name w:val="heading 4"/>
    <w:basedOn w:val="Normln"/>
    <w:next w:val="Normln"/>
    <w:link w:val="Nadpis4Char"/>
    <w:qFormat/>
    <w:rsid w:val="00C037FE"/>
    <w:pPr>
      <w:keepNext/>
      <w:pBdr>
        <w:bottom w:val="dotted" w:sz="4" w:space="1" w:color="auto"/>
      </w:pBdr>
      <w:outlineLvl w:val="3"/>
    </w:pPr>
    <w:rPr>
      <w:rFonts w:ascii="Calibri" w:hAnsi="Calibri"/>
      <w:b/>
      <w:bCs/>
      <w:sz w:val="28"/>
      <w:szCs w:val="28"/>
      <w:lang/>
    </w:rPr>
  </w:style>
  <w:style w:type="paragraph" w:styleId="Nadpis5">
    <w:name w:val="heading 5"/>
    <w:basedOn w:val="Normln"/>
    <w:next w:val="Normln"/>
    <w:link w:val="Nadpis5Char"/>
    <w:qFormat/>
    <w:rsid w:val="00A55969"/>
    <w:pPr>
      <w:spacing w:before="240" w:after="60"/>
      <w:outlineLvl w:val="4"/>
    </w:pPr>
    <w:rPr>
      <w:rFonts w:ascii="Calibri" w:hAnsi="Calibri"/>
      <w:b/>
      <w:bCs/>
      <w:i/>
      <w:iCs/>
      <w:sz w:val="26"/>
      <w:szCs w:val="26"/>
      <w:lang/>
    </w:rPr>
  </w:style>
  <w:style w:type="paragraph" w:styleId="Nadpis6">
    <w:name w:val="heading 6"/>
    <w:basedOn w:val="Normln"/>
    <w:next w:val="Normln"/>
    <w:link w:val="Nadpis6Char"/>
    <w:qFormat/>
    <w:rsid w:val="00A55969"/>
    <w:pPr>
      <w:spacing w:before="240" w:after="60"/>
      <w:outlineLvl w:val="5"/>
    </w:pPr>
    <w:rPr>
      <w:rFonts w:ascii="Calibri" w:hAnsi="Calibri"/>
      <w:b/>
      <w:bCs/>
      <w:sz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D36696"/>
    <w:rPr>
      <w:rFonts w:ascii="Cambria" w:hAnsi="Cambria" w:cs="Times New Roman"/>
      <w:b/>
      <w:bCs/>
      <w:kern w:val="32"/>
      <w:sz w:val="32"/>
      <w:szCs w:val="32"/>
    </w:rPr>
  </w:style>
  <w:style w:type="character" w:customStyle="1" w:styleId="Nadpis2Char">
    <w:name w:val="Nadpis 2 Char"/>
    <w:link w:val="Nadpis2"/>
    <w:semiHidden/>
    <w:locked/>
    <w:rsid w:val="00D36696"/>
    <w:rPr>
      <w:rFonts w:ascii="Cambria" w:hAnsi="Cambria" w:cs="Times New Roman"/>
      <w:b/>
      <w:bCs/>
      <w:i/>
      <w:iCs/>
      <w:sz w:val="28"/>
      <w:szCs w:val="28"/>
    </w:rPr>
  </w:style>
  <w:style w:type="character" w:customStyle="1" w:styleId="Nadpis3Char">
    <w:name w:val="Nadpis 3 Char"/>
    <w:link w:val="Nadpis3"/>
    <w:semiHidden/>
    <w:locked/>
    <w:rsid w:val="00D36696"/>
    <w:rPr>
      <w:rFonts w:ascii="Cambria" w:hAnsi="Cambria" w:cs="Times New Roman"/>
      <w:b/>
      <w:bCs/>
      <w:sz w:val="26"/>
      <w:szCs w:val="26"/>
    </w:rPr>
  </w:style>
  <w:style w:type="character" w:customStyle="1" w:styleId="Nadpis4Char">
    <w:name w:val="Nadpis 4 Char"/>
    <w:link w:val="Nadpis4"/>
    <w:semiHidden/>
    <w:locked/>
    <w:rsid w:val="00D36696"/>
    <w:rPr>
      <w:rFonts w:ascii="Calibri" w:hAnsi="Calibri" w:cs="Times New Roman"/>
      <w:b/>
      <w:bCs/>
      <w:sz w:val="28"/>
      <w:szCs w:val="28"/>
    </w:rPr>
  </w:style>
  <w:style w:type="character" w:customStyle="1" w:styleId="Nadpis5Char">
    <w:name w:val="Nadpis 5 Char"/>
    <w:link w:val="Nadpis5"/>
    <w:semiHidden/>
    <w:locked/>
    <w:rsid w:val="00D36696"/>
    <w:rPr>
      <w:rFonts w:ascii="Calibri" w:hAnsi="Calibri" w:cs="Times New Roman"/>
      <w:b/>
      <w:bCs/>
      <w:i/>
      <w:iCs/>
      <w:sz w:val="26"/>
      <w:szCs w:val="26"/>
    </w:rPr>
  </w:style>
  <w:style w:type="character" w:customStyle="1" w:styleId="Nadpis6Char">
    <w:name w:val="Nadpis 6 Char"/>
    <w:link w:val="Nadpis6"/>
    <w:semiHidden/>
    <w:locked/>
    <w:rsid w:val="00D36696"/>
    <w:rPr>
      <w:rFonts w:ascii="Calibri" w:hAnsi="Calibri" w:cs="Times New Roman"/>
      <w:b/>
      <w:bCs/>
    </w:rPr>
  </w:style>
  <w:style w:type="paragraph" w:styleId="Zhlav">
    <w:name w:val="header"/>
    <w:basedOn w:val="Normln"/>
    <w:link w:val="ZhlavChar"/>
    <w:rsid w:val="00C037FE"/>
    <w:pPr>
      <w:tabs>
        <w:tab w:val="center" w:pos="4153"/>
        <w:tab w:val="right" w:pos="8306"/>
      </w:tabs>
    </w:pPr>
    <w:rPr>
      <w:sz w:val="20"/>
      <w:lang/>
    </w:rPr>
  </w:style>
  <w:style w:type="character" w:customStyle="1" w:styleId="ZhlavChar">
    <w:name w:val="Záhlaví Char"/>
    <w:link w:val="Zhlav"/>
    <w:semiHidden/>
    <w:locked/>
    <w:rsid w:val="00D36696"/>
    <w:rPr>
      <w:rFonts w:ascii="Arial" w:hAnsi="Arial" w:cs="Times New Roman"/>
      <w:sz w:val="20"/>
      <w:szCs w:val="20"/>
    </w:rPr>
  </w:style>
  <w:style w:type="paragraph" w:styleId="Zpat">
    <w:name w:val="footer"/>
    <w:basedOn w:val="Normln"/>
    <w:link w:val="ZpatChar"/>
    <w:rsid w:val="00C037FE"/>
    <w:pPr>
      <w:tabs>
        <w:tab w:val="center" w:pos="4153"/>
        <w:tab w:val="right" w:pos="10206"/>
      </w:tabs>
    </w:pPr>
    <w:rPr>
      <w:sz w:val="20"/>
      <w:lang/>
    </w:rPr>
  </w:style>
  <w:style w:type="character" w:customStyle="1" w:styleId="ZpatChar">
    <w:name w:val="Zápatí Char"/>
    <w:link w:val="Zpat"/>
    <w:semiHidden/>
    <w:locked/>
    <w:rsid w:val="00D36696"/>
    <w:rPr>
      <w:rFonts w:ascii="Arial" w:hAnsi="Arial" w:cs="Times New Roman"/>
      <w:sz w:val="20"/>
      <w:szCs w:val="20"/>
    </w:rPr>
  </w:style>
  <w:style w:type="character" w:styleId="slostrnky">
    <w:name w:val="page number"/>
    <w:rsid w:val="00C037FE"/>
    <w:rPr>
      <w:rFonts w:cs="Times New Roman"/>
      <w:b/>
      <w:sz w:val="18"/>
      <w:lang w:val="cs-CZ"/>
    </w:rPr>
  </w:style>
  <w:style w:type="paragraph" w:customStyle="1" w:styleId="HlavniNazev">
    <w:name w:val="HlavniNazev"/>
    <w:basedOn w:val="Normln"/>
    <w:rsid w:val="00C037FE"/>
    <w:pPr>
      <w:widowControl w:val="0"/>
      <w:spacing w:before="140"/>
      <w:jc w:val="center"/>
    </w:pPr>
    <w:rPr>
      <w:b/>
      <w:caps/>
      <w:sz w:val="32"/>
    </w:rPr>
  </w:style>
  <w:style w:type="paragraph" w:customStyle="1" w:styleId="DoplnekNazvu">
    <w:name w:val="DoplnekNazvu"/>
    <w:basedOn w:val="HlavniNazev"/>
    <w:rsid w:val="00C037FE"/>
    <w:pPr>
      <w:spacing w:before="0" w:line="216" w:lineRule="auto"/>
    </w:pPr>
    <w:rPr>
      <w:caps w:val="0"/>
      <w:sz w:val="28"/>
    </w:rPr>
  </w:style>
  <w:style w:type="paragraph" w:customStyle="1" w:styleId="Zkladntext21">
    <w:name w:val="Základní text 21"/>
    <w:aliases w:val="b2,i"/>
    <w:basedOn w:val="Normln"/>
    <w:uiPriority w:val="99"/>
    <w:rsid w:val="00C037FE"/>
    <w:pPr>
      <w:widowControl w:val="0"/>
      <w:overflowPunct w:val="0"/>
      <w:autoSpaceDE w:val="0"/>
      <w:autoSpaceDN w:val="0"/>
      <w:adjustRightInd w:val="0"/>
      <w:ind w:left="720" w:hanging="720"/>
      <w:textAlignment w:val="baseline"/>
    </w:pPr>
    <w:rPr>
      <w:sz w:val="22"/>
      <w:lang w:val="en-GB"/>
    </w:rPr>
  </w:style>
  <w:style w:type="paragraph" w:customStyle="1" w:styleId="ZapatiBold">
    <w:name w:val="ZapatiBold"/>
    <w:basedOn w:val="Normln"/>
    <w:rsid w:val="00C037FE"/>
    <w:rPr>
      <w:b/>
      <w:sz w:val="12"/>
    </w:rPr>
  </w:style>
  <w:style w:type="paragraph" w:customStyle="1" w:styleId="ZapatiNormal">
    <w:name w:val="ZapatiNormal"/>
    <w:basedOn w:val="Normln"/>
    <w:rsid w:val="00C037FE"/>
    <w:rPr>
      <w:sz w:val="12"/>
    </w:rPr>
  </w:style>
  <w:style w:type="paragraph" w:customStyle="1" w:styleId="ZapatiStrana">
    <w:name w:val="ZapatiStrana"/>
    <w:basedOn w:val="Normln"/>
    <w:rsid w:val="00C037FE"/>
    <w:rPr>
      <w:b/>
    </w:rPr>
  </w:style>
  <w:style w:type="paragraph" w:styleId="Seznam">
    <w:name w:val="List"/>
    <w:aliases w:val="l"/>
    <w:basedOn w:val="Normln"/>
    <w:rsid w:val="00C037FE"/>
    <w:pPr>
      <w:overflowPunct w:val="0"/>
      <w:autoSpaceDE w:val="0"/>
      <w:autoSpaceDN w:val="0"/>
      <w:adjustRightInd w:val="0"/>
      <w:ind w:left="283" w:hanging="283"/>
      <w:textAlignment w:val="baseline"/>
    </w:pPr>
    <w:rPr>
      <w:rFonts w:ascii="Times New Roman" w:hAnsi="Times New Roman"/>
      <w:sz w:val="24"/>
    </w:rPr>
  </w:style>
  <w:style w:type="paragraph" w:styleId="Seznam2">
    <w:name w:val="List 2"/>
    <w:aliases w:val="l2"/>
    <w:basedOn w:val="Normln"/>
    <w:rsid w:val="00C037FE"/>
    <w:pPr>
      <w:overflowPunct w:val="0"/>
      <w:autoSpaceDE w:val="0"/>
      <w:autoSpaceDN w:val="0"/>
      <w:adjustRightInd w:val="0"/>
      <w:ind w:left="566" w:hanging="283"/>
      <w:textAlignment w:val="baseline"/>
    </w:pPr>
    <w:rPr>
      <w:rFonts w:ascii="Times New Roman" w:hAnsi="Times New Roman"/>
      <w:sz w:val="24"/>
    </w:rPr>
  </w:style>
  <w:style w:type="paragraph" w:styleId="Pokraovnseznamu2">
    <w:name w:val="List Continue 2"/>
    <w:aliases w:val="lc2"/>
    <w:basedOn w:val="Normln"/>
    <w:rsid w:val="00C037FE"/>
    <w:pPr>
      <w:overflowPunct w:val="0"/>
      <w:autoSpaceDE w:val="0"/>
      <w:autoSpaceDN w:val="0"/>
      <w:adjustRightInd w:val="0"/>
      <w:spacing w:after="120"/>
      <w:ind w:left="566"/>
      <w:textAlignment w:val="baseline"/>
    </w:pPr>
    <w:rPr>
      <w:rFonts w:ascii="Times New Roman" w:hAnsi="Times New Roman"/>
      <w:sz w:val="24"/>
    </w:rPr>
  </w:style>
  <w:style w:type="paragraph" w:styleId="Normlnodsazen">
    <w:name w:val="Normal Indent"/>
    <w:basedOn w:val="Normln"/>
    <w:rsid w:val="00C037FE"/>
    <w:pPr>
      <w:overflowPunct w:val="0"/>
      <w:autoSpaceDE w:val="0"/>
      <w:autoSpaceDN w:val="0"/>
      <w:adjustRightInd w:val="0"/>
      <w:ind w:left="708"/>
      <w:textAlignment w:val="baseline"/>
    </w:pPr>
    <w:rPr>
      <w:rFonts w:ascii="Times New Roman" w:hAnsi="Times New Roman"/>
      <w:sz w:val="24"/>
    </w:rPr>
  </w:style>
  <w:style w:type="paragraph" w:customStyle="1" w:styleId="Zkrcenzpteenadresa">
    <w:name w:val="Zkrácená zpáteení adresa"/>
    <w:basedOn w:val="Normln"/>
    <w:rsid w:val="00C037FE"/>
    <w:pPr>
      <w:overflowPunct w:val="0"/>
      <w:autoSpaceDE w:val="0"/>
      <w:autoSpaceDN w:val="0"/>
      <w:adjustRightInd w:val="0"/>
      <w:textAlignment w:val="baseline"/>
    </w:pPr>
    <w:rPr>
      <w:rFonts w:ascii="Times New Roman" w:hAnsi="Times New Roman"/>
      <w:sz w:val="24"/>
    </w:rPr>
  </w:style>
  <w:style w:type="character" w:customStyle="1" w:styleId="Hyperlink1">
    <w:name w:val="Hyperlink1"/>
    <w:rsid w:val="00C037FE"/>
    <w:rPr>
      <w:rFonts w:cs="Times New Roman"/>
      <w:color w:val="0000FF"/>
      <w:u w:val="single"/>
    </w:rPr>
  </w:style>
  <w:style w:type="paragraph" w:customStyle="1" w:styleId="Zkladntextodsazen31">
    <w:name w:val="Základní text odsazený 31"/>
    <w:aliases w:val="i3"/>
    <w:basedOn w:val="Normln"/>
    <w:uiPriority w:val="99"/>
    <w:rsid w:val="00C037FE"/>
    <w:pPr>
      <w:tabs>
        <w:tab w:val="left" w:pos="4320"/>
      </w:tabs>
      <w:spacing w:after="240"/>
      <w:ind w:left="4320" w:hanging="4320"/>
    </w:pPr>
    <w:rPr>
      <w:rFonts w:ascii="Times New Roman" w:hAnsi="Times New Roman"/>
      <w:sz w:val="24"/>
      <w:lang w:val="en-US"/>
    </w:rPr>
  </w:style>
  <w:style w:type="paragraph" w:customStyle="1" w:styleId="Zkladntextodsazen21">
    <w:name w:val="Základní text odsazený 21"/>
    <w:aliases w:val="i2"/>
    <w:basedOn w:val="Normln"/>
    <w:uiPriority w:val="99"/>
    <w:rsid w:val="00C037FE"/>
    <w:pPr>
      <w:spacing w:line="480" w:lineRule="auto"/>
      <w:ind w:left="1440"/>
    </w:pPr>
    <w:rPr>
      <w:rFonts w:ascii="Times New Roman" w:hAnsi="Times New Roman"/>
      <w:sz w:val="24"/>
      <w:lang w:val="en-US"/>
    </w:rPr>
  </w:style>
  <w:style w:type="paragraph" w:styleId="Zkladntext">
    <w:name w:val="Body Text"/>
    <w:aliases w:val="b"/>
    <w:basedOn w:val="Normln"/>
    <w:link w:val="ZkladntextChar"/>
    <w:rsid w:val="00C037FE"/>
    <w:pPr>
      <w:overflowPunct w:val="0"/>
      <w:autoSpaceDE w:val="0"/>
      <w:autoSpaceDN w:val="0"/>
      <w:adjustRightInd w:val="0"/>
      <w:jc w:val="center"/>
      <w:textAlignment w:val="baseline"/>
    </w:pPr>
    <w:rPr>
      <w:sz w:val="20"/>
      <w:lang/>
    </w:rPr>
  </w:style>
  <w:style w:type="character" w:customStyle="1" w:styleId="ZkladntextChar">
    <w:name w:val="Základní text Char"/>
    <w:aliases w:val="b Char"/>
    <w:link w:val="Zkladntext"/>
    <w:semiHidden/>
    <w:locked/>
    <w:rsid w:val="00D36696"/>
    <w:rPr>
      <w:rFonts w:ascii="Arial" w:hAnsi="Arial" w:cs="Times New Roman"/>
      <w:sz w:val="20"/>
      <w:szCs w:val="20"/>
    </w:rPr>
  </w:style>
  <w:style w:type="paragraph" w:customStyle="1" w:styleId="H6">
    <w:name w:val="H6"/>
    <w:basedOn w:val="Normln"/>
    <w:next w:val="Normln"/>
    <w:rsid w:val="00C037FE"/>
    <w:pPr>
      <w:keepNext/>
      <w:widowControl w:val="0"/>
      <w:overflowPunct w:val="0"/>
      <w:autoSpaceDE w:val="0"/>
      <w:autoSpaceDN w:val="0"/>
      <w:adjustRightInd w:val="0"/>
      <w:spacing w:before="100" w:after="100"/>
      <w:textAlignment w:val="baseline"/>
    </w:pPr>
    <w:rPr>
      <w:rFonts w:ascii="Times New Roman" w:hAnsi="Times New Roman"/>
      <w:b/>
      <w:sz w:val="16"/>
      <w:lang w:val="de-DE"/>
    </w:rPr>
  </w:style>
  <w:style w:type="paragraph" w:customStyle="1" w:styleId="H5">
    <w:name w:val="H5"/>
    <w:basedOn w:val="Normln"/>
    <w:next w:val="Normln"/>
    <w:rsid w:val="00C037FE"/>
    <w:pPr>
      <w:keepNext/>
      <w:widowControl w:val="0"/>
      <w:overflowPunct w:val="0"/>
      <w:autoSpaceDE w:val="0"/>
      <w:autoSpaceDN w:val="0"/>
      <w:adjustRightInd w:val="0"/>
      <w:spacing w:before="100" w:after="100"/>
      <w:textAlignment w:val="baseline"/>
    </w:pPr>
    <w:rPr>
      <w:rFonts w:ascii="Times New Roman" w:hAnsi="Times New Roman"/>
      <w:b/>
      <w:sz w:val="20"/>
      <w:lang w:val="de-DE"/>
    </w:rPr>
  </w:style>
  <w:style w:type="paragraph" w:customStyle="1" w:styleId="DefinitionList">
    <w:name w:val="Definition List"/>
    <w:basedOn w:val="Normln"/>
    <w:next w:val="DefinitionTerm"/>
    <w:rsid w:val="00C037FE"/>
    <w:pPr>
      <w:widowControl w:val="0"/>
      <w:overflowPunct w:val="0"/>
      <w:autoSpaceDE w:val="0"/>
      <w:autoSpaceDN w:val="0"/>
      <w:adjustRightInd w:val="0"/>
      <w:ind w:left="360"/>
      <w:textAlignment w:val="baseline"/>
    </w:pPr>
    <w:rPr>
      <w:rFonts w:ascii="Times New Roman" w:hAnsi="Times New Roman"/>
      <w:sz w:val="24"/>
      <w:lang w:val="de-DE"/>
    </w:rPr>
  </w:style>
  <w:style w:type="paragraph" w:customStyle="1" w:styleId="DefinitionTerm">
    <w:name w:val="Definition Term"/>
    <w:basedOn w:val="Normln"/>
    <w:next w:val="DefinitionList"/>
    <w:rsid w:val="00C037FE"/>
    <w:pPr>
      <w:widowControl w:val="0"/>
      <w:overflowPunct w:val="0"/>
      <w:autoSpaceDE w:val="0"/>
      <w:autoSpaceDN w:val="0"/>
      <w:adjustRightInd w:val="0"/>
      <w:textAlignment w:val="baseline"/>
    </w:pPr>
    <w:rPr>
      <w:rFonts w:ascii="Times New Roman" w:hAnsi="Times New Roman"/>
      <w:sz w:val="24"/>
      <w:lang w:val="de-DE"/>
    </w:rPr>
  </w:style>
  <w:style w:type="paragraph" w:styleId="Zkladntext2">
    <w:name w:val="Body Text 2"/>
    <w:basedOn w:val="Normln"/>
    <w:link w:val="Zkladntext2Char"/>
    <w:rsid w:val="00C037FE"/>
    <w:pPr>
      <w:tabs>
        <w:tab w:val="left" w:pos="1064"/>
        <w:tab w:val="left" w:pos="2482"/>
      </w:tabs>
    </w:pPr>
    <w:rPr>
      <w:sz w:val="20"/>
      <w:lang/>
    </w:rPr>
  </w:style>
  <w:style w:type="character" w:customStyle="1" w:styleId="Zkladntext2Char">
    <w:name w:val="Základní text 2 Char"/>
    <w:link w:val="Zkladntext2"/>
    <w:semiHidden/>
    <w:locked/>
    <w:rsid w:val="00D36696"/>
    <w:rPr>
      <w:rFonts w:ascii="Arial" w:hAnsi="Arial" w:cs="Times New Roman"/>
      <w:sz w:val="20"/>
      <w:szCs w:val="20"/>
    </w:rPr>
  </w:style>
  <w:style w:type="paragraph" w:styleId="Zkladntext3">
    <w:name w:val="Body Text 3"/>
    <w:basedOn w:val="Normln"/>
    <w:link w:val="Zkladntext3Char"/>
    <w:rsid w:val="00C037FE"/>
    <w:pPr>
      <w:jc w:val="both"/>
    </w:pPr>
    <w:rPr>
      <w:sz w:val="16"/>
      <w:szCs w:val="16"/>
      <w:lang/>
    </w:rPr>
  </w:style>
  <w:style w:type="character" w:customStyle="1" w:styleId="Zkladntext3Char">
    <w:name w:val="Základní text 3 Char"/>
    <w:link w:val="Zkladntext3"/>
    <w:semiHidden/>
    <w:locked/>
    <w:rsid w:val="00D36696"/>
    <w:rPr>
      <w:rFonts w:ascii="Arial" w:hAnsi="Arial" w:cs="Times New Roman"/>
      <w:sz w:val="16"/>
      <w:szCs w:val="16"/>
    </w:rPr>
  </w:style>
  <w:style w:type="paragraph" w:customStyle="1" w:styleId="BodyText31">
    <w:name w:val="Body Text 31"/>
    <w:basedOn w:val="Normln"/>
    <w:rsid w:val="00C037FE"/>
    <w:pPr>
      <w:overflowPunct w:val="0"/>
      <w:autoSpaceDE w:val="0"/>
      <w:autoSpaceDN w:val="0"/>
      <w:adjustRightInd w:val="0"/>
      <w:jc w:val="both"/>
      <w:textAlignment w:val="baseline"/>
    </w:pPr>
    <w:rPr>
      <w:rFonts w:ascii="Times New Roman" w:hAnsi="Times New Roman"/>
      <w:sz w:val="24"/>
    </w:rPr>
  </w:style>
  <w:style w:type="paragraph" w:customStyle="1" w:styleId="Zkladntextodsazenb2i">
    <w:name w:val="Základní text odsazený.b2.i"/>
    <w:basedOn w:val="Normln"/>
    <w:rsid w:val="00C037FE"/>
    <w:pPr>
      <w:tabs>
        <w:tab w:val="left" w:pos="570"/>
      </w:tabs>
      <w:overflowPunct w:val="0"/>
      <w:autoSpaceDE w:val="0"/>
      <w:autoSpaceDN w:val="0"/>
      <w:adjustRightInd w:val="0"/>
      <w:spacing w:line="240" w:lineRule="atLeast"/>
      <w:ind w:left="570"/>
      <w:jc w:val="both"/>
      <w:textAlignment w:val="baseline"/>
    </w:pPr>
    <w:rPr>
      <w:rFonts w:ascii="Times New Roman" w:hAnsi="Times New Roman"/>
      <w:color w:val="FF0000"/>
      <w:sz w:val="22"/>
    </w:rPr>
  </w:style>
  <w:style w:type="character" w:styleId="Hypertextovodkaz">
    <w:name w:val="Hyperlink"/>
    <w:rsid w:val="00C037FE"/>
    <w:rPr>
      <w:rFonts w:cs="Times New Roman"/>
      <w:color w:val="0000FF"/>
      <w:u w:val="single"/>
    </w:rPr>
  </w:style>
  <w:style w:type="paragraph" w:styleId="Textpoznpodarou">
    <w:name w:val="footnote text"/>
    <w:aliases w:val="fn"/>
    <w:basedOn w:val="Normln"/>
    <w:link w:val="TextpoznpodarouChar"/>
    <w:semiHidden/>
    <w:rsid w:val="00C037FE"/>
    <w:rPr>
      <w:sz w:val="20"/>
      <w:lang/>
    </w:rPr>
  </w:style>
  <w:style w:type="character" w:customStyle="1" w:styleId="TextpoznpodarouChar">
    <w:name w:val="Text pozn. pod čarou Char"/>
    <w:aliases w:val="fn Char"/>
    <w:link w:val="Textpoznpodarou"/>
    <w:semiHidden/>
    <w:locked/>
    <w:rsid w:val="00D36696"/>
    <w:rPr>
      <w:rFonts w:ascii="Arial" w:hAnsi="Arial" w:cs="Times New Roman"/>
      <w:sz w:val="20"/>
      <w:szCs w:val="20"/>
    </w:rPr>
  </w:style>
  <w:style w:type="character" w:styleId="Znakapoznpodarou">
    <w:name w:val="footnote reference"/>
    <w:semiHidden/>
    <w:rsid w:val="00C037FE"/>
    <w:rPr>
      <w:rFonts w:cs="Times New Roman"/>
      <w:vertAlign w:val="superscript"/>
    </w:rPr>
  </w:style>
  <w:style w:type="character" w:styleId="Sledovanodkaz">
    <w:name w:val="FollowedHyperlink"/>
    <w:rsid w:val="00C037FE"/>
    <w:rPr>
      <w:rFonts w:cs="Times New Roman"/>
      <w:color w:val="606420"/>
      <w:u w:val="single"/>
    </w:rPr>
  </w:style>
  <w:style w:type="paragraph" w:styleId="Textbubliny">
    <w:name w:val="Balloon Text"/>
    <w:basedOn w:val="Normln"/>
    <w:link w:val="TextbublinyChar"/>
    <w:semiHidden/>
    <w:rsid w:val="002560EC"/>
    <w:pPr>
      <w:autoSpaceDE w:val="0"/>
      <w:autoSpaceDN w:val="0"/>
      <w:adjustRightInd w:val="0"/>
    </w:pPr>
    <w:rPr>
      <w:rFonts w:ascii="Times New Roman" w:hAnsi="Times New Roman"/>
      <w:sz w:val="16"/>
      <w:lang/>
    </w:rPr>
  </w:style>
  <w:style w:type="character" w:customStyle="1" w:styleId="TextbublinyChar">
    <w:name w:val="Text bubliny Char"/>
    <w:link w:val="Textbubliny"/>
    <w:semiHidden/>
    <w:locked/>
    <w:rsid w:val="002560EC"/>
    <w:rPr>
      <w:sz w:val="16"/>
      <w:lang/>
    </w:rPr>
  </w:style>
  <w:style w:type="paragraph" w:styleId="Zkladntextodsazen2">
    <w:name w:val="Body Text Indent 2"/>
    <w:basedOn w:val="Normln"/>
    <w:link w:val="Zkladntextodsazen2Char"/>
    <w:rsid w:val="00DF10F3"/>
    <w:pPr>
      <w:spacing w:after="120" w:line="480" w:lineRule="auto"/>
      <w:ind w:left="283"/>
    </w:pPr>
    <w:rPr>
      <w:lang/>
    </w:rPr>
  </w:style>
  <w:style w:type="character" w:customStyle="1" w:styleId="Zkladntextodsazen2Char">
    <w:name w:val="Základní text odsazený 2 Char"/>
    <w:link w:val="Zkladntextodsazen2"/>
    <w:locked/>
    <w:rsid w:val="00AB38EE"/>
    <w:rPr>
      <w:rFonts w:ascii="Arial" w:hAnsi="Arial" w:cs="Times New Roman"/>
      <w:sz w:val="18"/>
    </w:rPr>
  </w:style>
  <w:style w:type="character" w:styleId="Odkaznakoment">
    <w:name w:val="annotation reference"/>
    <w:semiHidden/>
    <w:rsid w:val="008D581A"/>
    <w:rPr>
      <w:rFonts w:cs="Times New Roman"/>
      <w:sz w:val="16"/>
      <w:szCs w:val="16"/>
    </w:rPr>
  </w:style>
  <w:style w:type="paragraph" w:styleId="Textkomente">
    <w:name w:val="annotation text"/>
    <w:basedOn w:val="Normln"/>
    <w:link w:val="TextkomenteChar"/>
    <w:semiHidden/>
    <w:rsid w:val="002560EC"/>
    <w:rPr>
      <w:sz w:val="16"/>
      <w:lang/>
    </w:rPr>
  </w:style>
  <w:style w:type="character" w:customStyle="1" w:styleId="TextkomenteChar">
    <w:name w:val="Text komentáře Char"/>
    <w:link w:val="Textkomente"/>
    <w:semiHidden/>
    <w:locked/>
    <w:rsid w:val="002560EC"/>
    <w:rPr>
      <w:rFonts w:ascii="Arial" w:hAnsi="Arial"/>
      <w:sz w:val="16"/>
      <w:lang/>
    </w:rPr>
  </w:style>
  <w:style w:type="paragraph" w:styleId="Zkladntextodsazen3">
    <w:name w:val="Body Text Indent 3"/>
    <w:basedOn w:val="Normln"/>
    <w:link w:val="Zkladntextodsazen3Char"/>
    <w:rsid w:val="00167674"/>
    <w:pPr>
      <w:spacing w:after="120"/>
      <w:ind w:left="283"/>
    </w:pPr>
    <w:rPr>
      <w:sz w:val="16"/>
      <w:szCs w:val="16"/>
      <w:lang/>
    </w:rPr>
  </w:style>
  <w:style w:type="character" w:customStyle="1" w:styleId="Zkladntextodsazen3Char">
    <w:name w:val="Základní text odsazený 3 Char"/>
    <w:link w:val="Zkladntextodsazen3"/>
    <w:semiHidden/>
    <w:locked/>
    <w:rsid w:val="00D36696"/>
    <w:rPr>
      <w:rFonts w:ascii="Arial" w:hAnsi="Arial" w:cs="Times New Roman"/>
      <w:sz w:val="16"/>
      <w:szCs w:val="16"/>
    </w:rPr>
  </w:style>
  <w:style w:type="paragraph" w:customStyle="1" w:styleId="Standard">
    <w:name w:val="Standard"/>
    <w:basedOn w:val="Normln"/>
    <w:rsid w:val="00167674"/>
    <w:pPr>
      <w:spacing w:after="240"/>
    </w:pPr>
    <w:rPr>
      <w:rFonts w:ascii="Times New Roman" w:hAnsi="Times New Roman"/>
      <w:sz w:val="24"/>
      <w:lang w:val="en-US"/>
    </w:rPr>
  </w:style>
  <w:style w:type="table" w:styleId="Mkatabulky">
    <w:name w:val="Table Grid"/>
    <w:basedOn w:val="Normlntabulka"/>
    <w:rsid w:val="00167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morandum">
    <w:name w:val="Memorandum"/>
    <w:basedOn w:val="Normln"/>
    <w:rsid w:val="00A55969"/>
    <w:pPr>
      <w:spacing w:after="720"/>
      <w:jc w:val="center"/>
    </w:pPr>
    <w:rPr>
      <w:rFonts w:ascii="EngraversGothic BT" w:hAnsi="EngraversGothic BT"/>
      <w:b/>
      <w:spacing w:val="100"/>
      <w:sz w:val="28"/>
      <w:lang w:val="en-US"/>
    </w:rPr>
  </w:style>
  <w:style w:type="paragraph" w:customStyle="1" w:styleId="BlockText2">
    <w:name w:val="Block Text 2"/>
    <w:aliases w:val="k2"/>
    <w:basedOn w:val="Normln"/>
    <w:rsid w:val="00A55969"/>
    <w:pPr>
      <w:spacing w:line="480" w:lineRule="auto"/>
      <w:ind w:left="1440" w:right="1440"/>
    </w:pPr>
    <w:rPr>
      <w:rFonts w:ascii="Times New Roman" w:hAnsi="Times New Roman"/>
      <w:sz w:val="24"/>
      <w:lang w:val="en-US"/>
    </w:rPr>
  </w:style>
  <w:style w:type="paragraph" w:customStyle="1" w:styleId="BodyTextb">
    <w:name w:val="Body Text.b"/>
    <w:basedOn w:val="Normln"/>
    <w:rsid w:val="00A55969"/>
    <w:pPr>
      <w:autoSpaceDE w:val="0"/>
      <w:autoSpaceDN w:val="0"/>
      <w:adjustRightInd w:val="0"/>
      <w:spacing w:after="240"/>
      <w:ind w:firstLine="1440"/>
    </w:pPr>
    <w:rPr>
      <w:rFonts w:ascii="Times New Roman" w:hAnsi="Times New Roman"/>
      <w:sz w:val="24"/>
      <w:szCs w:val="24"/>
      <w:lang w:val="en-US"/>
    </w:rPr>
  </w:style>
  <w:style w:type="paragraph" w:styleId="Pedmtkomente">
    <w:name w:val="annotation subject"/>
    <w:basedOn w:val="Textkomente"/>
    <w:next w:val="Textkomente"/>
    <w:link w:val="PedmtkomenteChar"/>
    <w:semiHidden/>
    <w:rsid w:val="002A2DDB"/>
    <w:rPr>
      <w:b/>
      <w:bCs/>
    </w:rPr>
  </w:style>
  <w:style w:type="character" w:customStyle="1" w:styleId="PedmtkomenteChar">
    <w:name w:val="Předmět komentáře Char"/>
    <w:link w:val="Pedmtkomente"/>
    <w:semiHidden/>
    <w:locked/>
    <w:rsid w:val="00D36696"/>
    <w:rPr>
      <w:rFonts w:ascii="Arial" w:hAnsi="Arial" w:cs="Times New Roman"/>
      <w:b/>
      <w:bCs/>
      <w:sz w:val="20"/>
      <w:szCs w:val="20"/>
    </w:rPr>
  </w:style>
  <w:style w:type="paragraph" w:styleId="Odstavecseseznamem">
    <w:name w:val="List Paragraph"/>
    <w:basedOn w:val="Normln"/>
    <w:uiPriority w:val="99"/>
    <w:qFormat/>
    <w:rsid w:val="007372FA"/>
    <w:pPr>
      <w:ind w:left="708"/>
    </w:pPr>
  </w:style>
  <w:style w:type="paragraph" w:styleId="Revize">
    <w:name w:val="Revision"/>
    <w:hidden/>
    <w:uiPriority w:val="99"/>
    <w:semiHidden/>
    <w:rsid w:val="007E5D80"/>
    <w:rPr>
      <w:rFonts w:ascii="Arial" w:hAnsi="Arial"/>
      <w:sz w:val="18"/>
      <w:lang w:val="cs-CZ" w:eastAsia="cs-CZ"/>
    </w:rPr>
  </w:style>
  <w:style w:type="paragraph" w:customStyle="1" w:styleId="head">
    <w:name w:val="head"/>
    <w:basedOn w:val="Normln"/>
    <w:rsid w:val="000169BC"/>
    <w:pPr>
      <w:spacing w:before="100" w:beforeAutospacing="1" w:after="100" w:afterAutospacing="1"/>
    </w:pPr>
    <w:rPr>
      <w:rFonts w:ascii="Verdana" w:hAnsi="Verdana"/>
      <w:b/>
      <w:bCs/>
      <w:color w:val="00517C"/>
      <w:sz w:val="26"/>
      <w:szCs w:val="26"/>
    </w:rPr>
  </w:style>
  <w:style w:type="paragraph" w:customStyle="1" w:styleId="Default">
    <w:name w:val="Default"/>
    <w:rsid w:val="000169BC"/>
    <w:pPr>
      <w:autoSpaceDE w:val="0"/>
      <w:autoSpaceDN w:val="0"/>
      <w:adjustRightInd w:val="0"/>
    </w:pPr>
    <w:rPr>
      <w:rFonts w:ascii="Arial" w:hAnsi="Arial" w:cs="Arial"/>
      <w:color w:val="000000"/>
      <w:sz w:val="24"/>
      <w:szCs w:val="24"/>
      <w:lang w:val="cs-CZ" w:eastAsia="cs-CZ"/>
    </w:rPr>
  </w:style>
  <w:style w:type="paragraph" w:customStyle="1" w:styleId="Standard1">
    <w:name w:val="Standard1"/>
    <w:basedOn w:val="Normln"/>
    <w:rsid w:val="00863C4B"/>
    <w:pPr>
      <w:spacing w:after="240"/>
    </w:pPr>
    <w:rPr>
      <w:rFonts w:ascii="Times New Roman" w:hAnsi="Times New Roman"/>
      <w:sz w:val="24"/>
      <w:lang w:val="en-US"/>
    </w:rPr>
  </w:style>
  <w:style w:type="paragraph" w:styleId="Hlavikaobsahu">
    <w:name w:val="toa heading"/>
    <w:basedOn w:val="Normln"/>
    <w:next w:val="Normln"/>
    <w:semiHidden/>
    <w:rsid w:val="00863C4B"/>
    <w:pPr>
      <w:autoSpaceDE w:val="0"/>
      <w:autoSpaceDN w:val="0"/>
      <w:adjustRightInd w:val="0"/>
      <w:spacing w:before="240" w:after="240"/>
    </w:pPr>
    <w:rPr>
      <w:rFonts w:ascii="Times New Roman" w:hAnsi="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http://www.csas.cz" TargetMode="Externa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www.investicnicentru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FA950-1F85-4FF7-9710-BD23D272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6039</Words>
  <Characters>37798</Characters>
  <Application>Microsoft Office Word</Application>
  <DocSecurity>4</DocSecurity>
  <Lines>314</Lines>
  <Paragraphs>87</Paragraphs>
  <ScaleCrop>false</ScaleCrop>
  <HeadingPairs>
    <vt:vector size="2" baseType="variant">
      <vt:variant>
        <vt:lpstr>Název</vt:lpstr>
      </vt:variant>
      <vt:variant>
        <vt:i4>1</vt:i4>
      </vt:variant>
    </vt:vector>
  </HeadingPairs>
  <TitlesOfParts>
    <vt:vector size="1" baseType="lpstr">
      <vt:lpstr>SMLOUVA O OBHOSPODAŘOVÁNÍ CENNÝCH PAPÍRŮ</vt:lpstr>
    </vt:vector>
  </TitlesOfParts>
  <Company>Česká spořitelna, a.s.</Company>
  <LinksUpToDate>false</LinksUpToDate>
  <CharactersWithSpaces>43750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OBHOSPODAŘOVÁNÍ CENNÝCH PAPÍRŮ</dc:title>
  <dc:creator>cen31619</dc:creator>
  <cp:lastModifiedBy>Machálková Markéta</cp:lastModifiedBy>
  <cp:revision>2</cp:revision>
  <cp:lastPrinted>2014-03-19T09:23:00Z</cp:lastPrinted>
  <dcterms:created xsi:type="dcterms:W3CDTF">2018-02-14T09:25:00Z</dcterms:created>
  <dcterms:modified xsi:type="dcterms:W3CDTF">2018-02-14T09:25:00Z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1763360</vt:i4>
  </property>
</Properties>
</file>