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B180" w14:textId="5BE30E34" w:rsidR="001F3771" w:rsidRPr="001F3771" w:rsidRDefault="009B6E40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bookmarkStart w:id="0" w:name="_GoBack"/>
      <w:bookmarkEnd w:id="0"/>
      <w:r>
        <w:rPr>
          <w:rFonts w:eastAsia="Calibri"/>
          <w:b/>
          <w:bCs/>
          <w:caps/>
          <w:sz w:val="24"/>
          <w:szCs w:val="24"/>
          <w:lang w:val="cs-CZ" w:eastAsia="en-US"/>
        </w:rPr>
        <w:t>Dodatek č. 1</w:t>
      </w:r>
    </w:p>
    <w:p w14:paraId="5E89405C" w14:textId="34B47247" w:rsidR="001F3771" w:rsidRPr="001F3771" w:rsidRDefault="009B6E40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Tento dodatek č. 1</w:t>
      </w:r>
      <w:r w:rsidR="001F3771" w:rsidRPr="001F3771">
        <w:rPr>
          <w:rFonts w:eastAsia="Calibri"/>
          <w:bCs/>
          <w:lang w:val="cs-CZ" w:eastAsia="en-US"/>
        </w:rPr>
        <w:t xml:space="preserve"> (dále jen „</w:t>
      </w:r>
      <w:r>
        <w:rPr>
          <w:rFonts w:eastAsia="Calibri"/>
          <w:b/>
          <w:bCs/>
          <w:lang w:val="cs-CZ" w:eastAsia="en-US"/>
        </w:rPr>
        <w:t>Dodatek</w:t>
      </w:r>
      <w:r>
        <w:rPr>
          <w:rFonts w:eastAsia="Calibri"/>
          <w:bCs/>
          <w:lang w:val="cs-CZ" w:eastAsia="en-US"/>
        </w:rPr>
        <w:t>“) byl uzavřen</w:t>
      </w:r>
      <w:r w:rsidR="001F3771" w:rsidRPr="001F3771">
        <w:rPr>
          <w:rFonts w:eastAsia="Calibri"/>
          <w:bCs/>
          <w:lang w:val="cs-CZ" w:eastAsia="en-US"/>
        </w:rPr>
        <w:t xml:space="preserve"> </w:t>
      </w:r>
      <w:r w:rsidR="003F68A6">
        <w:rPr>
          <w:rFonts w:eastAsia="Calibri"/>
          <w:bCs/>
          <w:lang w:val="cs-CZ" w:eastAsia="en-US"/>
        </w:rPr>
        <w:t>v souladu s</w:t>
      </w:r>
      <w:r>
        <w:rPr>
          <w:rFonts w:eastAsia="Calibri"/>
          <w:bCs/>
          <w:lang w:val="cs-CZ" w:eastAsia="en-US"/>
        </w:rPr>
        <w:t>e zákonem</w:t>
      </w:r>
      <w:r w:rsidR="003F68A6">
        <w:rPr>
          <w:rFonts w:eastAsia="Calibri"/>
          <w:bCs/>
          <w:lang w:val="cs-CZ" w:eastAsia="en-US"/>
        </w:rPr>
        <w:t xml:space="preserve"> č. 89/2012 Sb., občanský zákoník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="001F3771" w:rsidRPr="001F3771">
        <w:rPr>
          <w:rFonts w:eastAsia="Calibri"/>
          <w:bCs/>
          <w:lang w:val="cs-CZ" w:eastAsia="en-US"/>
        </w:rPr>
        <w:t>níže uvedeného dne, měsíce a roku mezi: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5837DCCB" w14:textId="721E48A9" w:rsidR="00EB3C59" w:rsidRDefault="001F3771" w:rsidP="00EB3C59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0813E27F" w14:textId="27A1AAAB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5CA57496" w14:textId="7D796885" w:rsidR="00DB01E8" w:rsidRPr="00805E6B" w:rsidRDefault="00EB792C" w:rsidP="00DB01E8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EB792C">
        <w:rPr>
          <w:rFonts w:eastAsia="Calibri"/>
          <w:b/>
          <w:lang w:eastAsia="en-US"/>
        </w:rPr>
        <w:t>OM Consulting s.r.o.</w:t>
      </w:r>
    </w:p>
    <w:p w14:paraId="52768FA2" w14:textId="56CEF0C0" w:rsidR="00DB01E8" w:rsidRPr="001F3771" w:rsidRDefault="00DB01E8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="00EB792C" w:rsidRPr="00EB792C">
        <w:rPr>
          <w:rFonts w:eastAsia="Calibri"/>
          <w:lang w:val="cs-CZ" w:eastAsia="en-US"/>
        </w:rPr>
        <w:t>Kaprova 42/14, Staré Město, 110 00 Praha 1</w:t>
      </w:r>
    </w:p>
    <w:p w14:paraId="29711E55" w14:textId="1F5B1B36" w:rsidR="00DB01E8" w:rsidRPr="001F3771" w:rsidRDefault="00DB01E8" w:rsidP="00DB01E8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="00EB792C" w:rsidRPr="00EB792C">
        <w:rPr>
          <w:rFonts w:eastAsia="Calibri"/>
          <w:lang w:val="cs-CZ" w:eastAsia="en-US"/>
        </w:rPr>
        <w:t>02154439</w:t>
      </w:r>
    </w:p>
    <w:p w14:paraId="21C1A6FC" w14:textId="5D430861" w:rsidR="001F3771" w:rsidRPr="001F3771" w:rsidRDefault="001F3771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B792C">
        <w:rPr>
          <w:rFonts w:eastAsia="Calibri"/>
          <w:b/>
          <w:lang w:val="cs-CZ" w:eastAsia="en-US"/>
        </w:rPr>
        <w:t>Poskytovatel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14:paraId="1D2FC493" w14:textId="32B6F604" w:rsidR="001F3771" w:rsidRPr="001F3771" w:rsidRDefault="001F3771" w:rsidP="00DB01E8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DB01E8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EB792C">
        <w:rPr>
          <w:rFonts w:eastAsia="Calibri"/>
          <w:bCs/>
          <w:lang w:val="cs-CZ" w:eastAsia="en-US"/>
        </w:rPr>
        <w:t>Poskytovatel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34F4321F" w14:textId="39A3DD46" w:rsidR="001F3771" w:rsidRDefault="009B6E40" w:rsidP="009B6E40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Strany uzavřely </w:t>
      </w:r>
      <w:r w:rsidR="00DB01E8">
        <w:rPr>
          <w:lang w:val="cs-CZ" w:eastAsia="en-US"/>
        </w:rPr>
        <w:t xml:space="preserve">dne </w:t>
      </w:r>
      <w:r w:rsidR="0058556B">
        <w:rPr>
          <w:lang w:val="cs-CZ" w:eastAsia="en-US"/>
        </w:rPr>
        <w:t>7. 2</w:t>
      </w:r>
      <w:r w:rsidR="00DB01E8">
        <w:rPr>
          <w:lang w:val="cs-CZ" w:eastAsia="en-US"/>
        </w:rPr>
        <w:t xml:space="preserve">. 2017 smlouvu, na jejímž základě se </w:t>
      </w:r>
      <w:r w:rsidR="0058556B">
        <w:rPr>
          <w:lang w:val="cs-CZ" w:eastAsia="en-US"/>
        </w:rPr>
        <w:t>Poskytovatel</w:t>
      </w:r>
      <w:r w:rsidR="00DB01E8">
        <w:rPr>
          <w:lang w:val="cs-CZ" w:eastAsia="en-US"/>
        </w:rPr>
        <w:t xml:space="preserve"> zavázal pro Objednatele provést </w:t>
      </w:r>
      <w:r w:rsidR="0058556B">
        <w:rPr>
          <w:lang w:val="cs-CZ" w:eastAsia="en-US"/>
        </w:rPr>
        <w:t>Služby</w:t>
      </w:r>
      <w:r>
        <w:rPr>
          <w:lang w:val="cs-CZ" w:eastAsia="en-US"/>
        </w:rPr>
        <w:t xml:space="preserve"> (dále jen „</w:t>
      </w:r>
      <w:r w:rsidRPr="009B6E40">
        <w:rPr>
          <w:b/>
          <w:lang w:val="cs-CZ" w:eastAsia="en-US"/>
        </w:rPr>
        <w:t>Smlouva</w:t>
      </w:r>
      <w:r>
        <w:rPr>
          <w:lang w:val="cs-CZ" w:eastAsia="en-US"/>
        </w:rPr>
        <w:t>“).</w:t>
      </w:r>
    </w:p>
    <w:p w14:paraId="6AFD0C2F" w14:textId="0C58A9FC" w:rsidR="0058556B" w:rsidRDefault="00DB01E8" w:rsidP="0058556B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V průběhu </w:t>
      </w:r>
      <w:r w:rsidR="0058556B">
        <w:rPr>
          <w:lang w:val="cs-CZ" w:eastAsia="en-US"/>
        </w:rPr>
        <w:t>poskytování Služeb</w:t>
      </w:r>
      <w:r>
        <w:rPr>
          <w:lang w:val="cs-CZ" w:eastAsia="en-US"/>
        </w:rPr>
        <w:t xml:space="preserve"> vyšlo najevo, že je potřeba </w:t>
      </w:r>
      <w:r w:rsidR="00E902B1">
        <w:rPr>
          <w:lang w:val="cs-CZ" w:eastAsia="en-US"/>
        </w:rPr>
        <w:t xml:space="preserve">ještě </w:t>
      </w:r>
      <w:r w:rsidR="0058556B">
        <w:rPr>
          <w:lang w:val="cs-CZ" w:eastAsia="en-US"/>
        </w:rPr>
        <w:t>poskytnout dodatečné služby nad rámec Smlouvy. Dále bylo zjištěno, že předpokládaná doba trvání Smlouvy (poskytnutí Služeb) bude podstatně delší, než se předpokládalo, což přináší dodatečné náklady na straně Poskytovatele.</w:t>
      </w:r>
    </w:p>
    <w:p w14:paraId="38F6F60A" w14:textId="15BA232D" w:rsidR="00EB3C59" w:rsidRPr="009B6E40" w:rsidRDefault="0058556B" w:rsidP="009B6E40">
      <w:pPr>
        <w:pStyle w:val="Normln-sted"/>
        <w:rPr>
          <w:lang w:val="cs-CZ" w:eastAsia="en-US"/>
        </w:rPr>
      </w:pPr>
      <w:r>
        <w:rPr>
          <w:lang w:val="cs-CZ" w:eastAsia="en-US"/>
        </w:rPr>
        <w:t>Poskytovatel je připraven dodatečné služby poskytnout, a to za dohodnutou úplatu</w:t>
      </w:r>
      <w:r w:rsidR="00EB3C59">
        <w:rPr>
          <w:lang w:val="cs-CZ" w:eastAsia="en-US"/>
        </w:rPr>
        <w:t>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334A235C" w14:textId="00A91C35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 xml:space="preserve">Předmět </w:t>
      </w:r>
      <w:r w:rsidR="009B6E40">
        <w:rPr>
          <w:lang w:val="cs-CZ" w:eastAsia="en-US"/>
        </w:rPr>
        <w:t>dodatku</w:t>
      </w:r>
    </w:p>
    <w:p w14:paraId="3AD0BA96" w14:textId="01833CE9" w:rsidR="00ED3C1F" w:rsidRPr="00E902B1" w:rsidRDefault="0058556B" w:rsidP="00E902B1">
      <w:pPr>
        <w:pStyle w:val="Nadpis2"/>
        <w:rPr>
          <w:lang w:val="cs-CZ" w:eastAsia="en-US"/>
        </w:rPr>
      </w:pPr>
      <w:r>
        <w:rPr>
          <w:lang w:val="cs-CZ" w:eastAsia="en-US"/>
        </w:rPr>
        <w:t>Strany se dohodly</w:t>
      </w:r>
      <w:r w:rsidR="00DB01E8">
        <w:rPr>
          <w:lang w:val="cs-CZ" w:eastAsia="en-US"/>
        </w:rPr>
        <w:t xml:space="preserve">, </w:t>
      </w:r>
      <w:r>
        <w:rPr>
          <w:lang w:val="cs-CZ" w:eastAsia="en-US"/>
        </w:rPr>
        <w:t xml:space="preserve">že za dodatečné služby, které jsou popsány </w:t>
      </w:r>
      <w:r w:rsidR="00DB01E8">
        <w:rPr>
          <w:lang w:val="cs-CZ" w:eastAsia="en-US"/>
        </w:rPr>
        <w:t>v </w:t>
      </w:r>
      <w:r>
        <w:rPr>
          <w:u w:val="single"/>
          <w:lang w:val="cs-CZ" w:eastAsia="en-US"/>
        </w:rPr>
        <w:t xml:space="preserve">Příloze </w:t>
      </w:r>
      <w:r w:rsidR="00DB01E8" w:rsidRPr="0058556B">
        <w:rPr>
          <w:u w:val="single"/>
          <w:lang w:val="cs-CZ" w:eastAsia="en-US"/>
        </w:rPr>
        <w:t>1</w:t>
      </w:r>
      <w:r w:rsidR="00DB01E8">
        <w:rPr>
          <w:lang w:val="cs-CZ" w:eastAsia="en-US"/>
        </w:rPr>
        <w:t xml:space="preserve"> k tomuto Dodatku</w:t>
      </w:r>
      <w:r w:rsidR="00E902B1">
        <w:rPr>
          <w:lang w:val="cs-CZ" w:eastAsia="en-US"/>
        </w:rPr>
        <w:t xml:space="preserve"> a za prodlouženou dobu plnění Smlouvy (oproti původně předpokládané)</w:t>
      </w:r>
      <w:r>
        <w:rPr>
          <w:lang w:val="cs-CZ" w:eastAsia="en-US"/>
        </w:rPr>
        <w:t>, uhradí Objednatel Poskytovateli</w:t>
      </w:r>
      <w:r w:rsidR="00B06240">
        <w:rPr>
          <w:lang w:val="cs-CZ" w:eastAsia="en-US"/>
        </w:rPr>
        <w:t xml:space="preserve"> </w:t>
      </w:r>
      <w:r>
        <w:rPr>
          <w:lang w:val="cs-CZ" w:eastAsia="en-US"/>
        </w:rPr>
        <w:t>částku ve výši 247 950,- Kč bez DPH</w:t>
      </w:r>
      <w:r w:rsidR="009B6E40">
        <w:rPr>
          <w:lang w:val="cs-CZ" w:eastAsia="en-US"/>
        </w:rPr>
        <w:t>.</w:t>
      </w:r>
      <w:r w:rsidR="00E902B1">
        <w:rPr>
          <w:lang w:val="cs-CZ" w:eastAsia="en-US"/>
        </w:rPr>
        <w:t xml:space="preserve"> Tato částka </w:t>
      </w:r>
      <w:r w:rsidRPr="00E902B1">
        <w:rPr>
          <w:lang w:val="cs-CZ" w:eastAsia="en-US"/>
        </w:rPr>
        <w:t>je v podrobnostech rozepsá</w:t>
      </w:r>
      <w:r w:rsidR="00E902B1" w:rsidRPr="00E902B1">
        <w:rPr>
          <w:lang w:val="cs-CZ" w:eastAsia="en-US"/>
        </w:rPr>
        <w:t>na v </w:t>
      </w:r>
      <w:r w:rsidR="00E902B1" w:rsidRPr="00E902B1">
        <w:rPr>
          <w:u w:val="single"/>
          <w:lang w:val="cs-CZ" w:eastAsia="en-US"/>
        </w:rPr>
        <w:t>Příloze 1</w:t>
      </w:r>
      <w:r w:rsidR="00E902B1" w:rsidRPr="00E902B1">
        <w:rPr>
          <w:lang w:val="cs-CZ" w:eastAsia="en-US"/>
        </w:rPr>
        <w:t xml:space="preserve"> k tomuto Dodatku</w:t>
      </w:r>
      <w:r w:rsidR="00B06240" w:rsidRPr="00E902B1">
        <w:rPr>
          <w:lang w:val="cs-CZ" w:eastAsia="en-US"/>
        </w:rPr>
        <w:t>.</w:t>
      </w:r>
    </w:p>
    <w:p w14:paraId="50F53FC5" w14:textId="77777777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Závěrečná ustanovení</w:t>
      </w:r>
    </w:p>
    <w:p w14:paraId="4B9FEBC1" w14:textId="7A2C2F4B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Slova s velkým písmenem mají stejný význam jako v</w:t>
      </w:r>
      <w:r w:rsidR="00EB3C59">
        <w:rPr>
          <w:lang w:val="cs-CZ" w:eastAsia="en-US"/>
        </w:rPr>
        <w:t>e Smlouvě, nestanoví-li tento D</w:t>
      </w:r>
      <w:r>
        <w:rPr>
          <w:lang w:val="cs-CZ" w:eastAsia="en-US"/>
        </w:rPr>
        <w:t>odatek jinak</w:t>
      </w:r>
      <w:r w:rsidR="001F3771" w:rsidRPr="001F3771">
        <w:rPr>
          <w:lang w:val="cs-CZ" w:eastAsia="en-US"/>
        </w:rPr>
        <w:t>.</w:t>
      </w:r>
    </w:p>
    <w:p w14:paraId="6742BEEF" w14:textId="48C0E2D9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1F3771" w:rsidRPr="001F3771">
        <w:rPr>
          <w:lang w:val="cs-CZ" w:eastAsia="en-US"/>
        </w:rPr>
        <w:t>se vyhotovuje ve čtyřech (4) stejnopisech, přičemž každá ze Stran obdrží po dvou stejnopisech.</w:t>
      </w:r>
    </w:p>
    <w:p w14:paraId="527227C5" w14:textId="68457C45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lastRenderedPageBreak/>
        <w:t xml:space="preserve">Tento Dodatek </w:t>
      </w:r>
      <w:r w:rsidR="00EB3C59">
        <w:rPr>
          <w:lang w:val="cs-CZ" w:eastAsia="en-US"/>
        </w:rPr>
        <w:t xml:space="preserve">nabývá platnosti </w:t>
      </w:r>
      <w:r w:rsidR="001F3771" w:rsidRPr="001F3771">
        <w:rPr>
          <w:lang w:val="cs-CZ" w:eastAsia="en-US"/>
        </w:rPr>
        <w:t xml:space="preserve">dnem </w:t>
      </w:r>
      <w:r>
        <w:rPr>
          <w:lang w:val="cs-CZ" w:eastAsia="en-US"/>
        </w:rPr>
        <w:t>jeho</w:t>
      </w:r>
      <w:r w:rsidR="001F3771" w:rsidRPr="001F3771">
        <w:rPr>
          <w:lang w:val="cs-CZ" w:eastAsia="en-US"/>
        </w:rPr>
        <w:t xml:space="preserve"> podpisu oběma Stranami</w:t>
      </w:r>
      <w:r w:rsidR="00EB3C59">
        <w:rPr>
          <w:lang w:val="cs-CZ" w:eastAsia="en-US"/>
        </w:rPr>
        <w:t xml:space="preserve"> a účinnosti dnem zveřejnění v registru smluv</w:t>
      </w:r>
      <w:r w:rsidR="001F3771" w:rsidRPr="001F3771">
        <w:rPr>
          <w:lang w:val="cs-CZ" w:eastAsia="en-US"/>
        </w:rPr>
        <w:t>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77777777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vlastnoruční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4BA9E845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EB792C" w14:paraId="6D02F42E" w14:textId="77777777" w:rsidTr="00C43401">
        <w:tc>
          <w:tcPr>
            <w:tcW w:w="4322" w:type="dxa"/>
            <w:hideMark/>
          </w:tcPr>
          <w:p w14:paraId="4E60A767" w14:textId="6076DF72" w:rsidR="001F3771" w:rsidRPr="001F3771" w:rsidRDefault="001F3771" w:rsidP="00351157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EB3C59" w:rsidRPr="00EB3C59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56007BB8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Zhotovitel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EB3C59">
        <w:trPr>
          <w:trHeight w:val="277"/>
        </w:trPr>
        <w:tc>
          <w:tcPr>
            <w:tcW w:w="4322" w:type="dxa"/>
            <w:hideMark/>
          </w:tcPr>
          <w:p w14:paraId="2167133E" w14:textId="4CBD4EE3" w:rsidR="001F3771" w:rsidRPr="001F3771" w:rsidRDefault="001F3771" w:rsidP="00EB3C59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158842EB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footerReference w:type="default" r:id="rId9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C046" w14:textId="77777777" w:rsidR="007D59E4" w:rsidRDefault="007D59E4" w:rsidP="00B237C7">
      <w:r>
        <w:separator/>
      </w:r>
    </w:p>
  </w:endnote>
  <w:endnote w:type="continuationSeparator" w:id="0">
    <w:p w14:paraId="67C2D7D7" w14:textId="77777777" w:rsidR="007D59E4" w:rsidRDefault="007D59E4" w:rsidP="00B237C7">
      <w:r>
        <w:continuationSeparator/>
      </w:r>
    </w:p>
  </w:endnote>
  <w:endnote w:type="continuationNotice" w:id="1">
    <w:p w14:paraId="688386C7" w14:textId="77777777" w:rsidR="007D59E4" w:rsidRDefault="007D5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77777777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484F14">
            <w:rPr>
              <w:rStyle w:val="slostrnky"/>
              <w:noProof/>
            </w:rPr>
            <w:t>1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83A2" w14:textId="77777777" w:rsidR="007D59E4" w:rsidRDefault="007D59E4" w:rsidP="00B237C7">
      <w:r>
        <w:separator/>
      </w:r>
    </w:p>
  </w:footnote>
  <w:footnote w:type="continuationSeparator" w:id="0">
    <w:p w14:paraId="502B26E3" w14:textId="77777777" w:rsidR="007D59E4" w:rsidRDefault="007D59E4" w:rsidP="00B237C7">
      <w:r>
        <w:continuationSeparator/>
      </w:r>
    </w:p>
  </w:footnote>
  <w:footnote w:type="continuationNotice" w:id="1">
    <w:p w14:paraId="1A0FDAD5" w14:textId="77777777" w:rsidR="007D59E4" w:rsidRDefault="007D59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5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26139E2"/>
    <w:multiLevelType w:val="hybridMultilevel"/>
    <w:tmpl w:val="F0E401FC"/>
    <w:lvl w:ilvl="0" w:tplc="DD22DA78">
      <w:numFmt w:val="bullet"/>
      <w:lvlText w:val="-"/>
      <w:lvlJc w:val="left"/>
      <w:pPr>
        <w:ind w:left="1778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2120D"/>
    <w:rsid w:val="000212BD"/>
    <w:rsid w:val="00021915"/>
    <w:rsid w:val="00022876"/>
    <w:rsid w:val="00025823"/>
    <w:rsid w:val="000261F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6714A"/>
    <w:rsid w:val="000703B4"/>
    <w:rsid w:val="000722A5"/>
    <w:rsid w:val="00080A1F"/>
    <w:rsid w:val="00081497"/>
    <w:rsid w:val="00084B82"/>
    <w:rsid w:val="0008745F"/>
    <w:rsid w:val="00087A02"/>
    <w:rsid w:val="000949E8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349F"/>
    <w:rsid w:val="000D73B4"/>
    <w:rsid w:val="000E1722"/>
    <w:rsid w:val="000E2B2C"/>
    <w:rsid w:val="000E4772"/>
    <w:rsid w:val="000F4818"/>
    <w:rsid w:val="000F55F1"/>
    <w:rsid w:val="00102722"/>
    <w:rsid w:val="0010516C"/>
    <w:rsid w:val="001054C6"/>
    <w:rsid w:val="00110247"/>
    <w:rsid w:val="00112776"/>
    <w:rsid w:val="00112F7C"/>
    <w:rsid w:val="001131FA"/>
    <w:rsid w:val="0011666B"/>
    <w:rsid w:val="001175BE"/>
    <w:rsid w:val="00120B84"/>
    <w:rsid w:val="0012594C"/>
    <w:rsid w:val="001323D2"/>
    <w:rsid w:val="0013285A"/>
    <w:rsid w:val="00135779"/>
    <w:rsid w:val="0014305F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1EEF"/>
    <w:rsid w:val="001A3AE3"/>
    <w:rsid w:val="001A4A2D"/>
    <w:rsid w:val="001A66E0"/>
    <w:rsid w:val="001B076C"/>
    <w:rsid w:val="001B60F3"/>
    <w:rsid w:val="001B63A4"/>
    <w:rsid w:val="001C46F5"/>
    <w:rsid w:val="001C6EFF"/>
    <w:rsid w:val="001D5833"/>
    <w:rsid w:val="001E053A"/>
    <w:rsid w:val="001E07C8"/>
    <w:rsid w:val="001E31D8"/>
    <w:rsid w:val="001F0C41"/>
    <w:rsid w:val="001F2C9C"/>
    <w:rsid w:val="001F3771"/>
    <w:rsid w:val="00202791"/>
    <w:rsid w:val="00202FDF"/>
    <w:rsid w:val="0020519E"/>
    <w:rsid w:val="002116E3"/>
    <w:rsid w:val="00212F80"/>
    <w:rsid w:val="00215558"/>
    <w:rsid w:val="002174BC"/>
    <w:rsid w:val="002240BD"/>
    <w:rsid w:val="002259FE"/>
    <w:rsid w:val="00241368"/>
    <w:rsid w:val="00245567"/>
    <w:rsid w:val="002519C4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96D46"/>
    <w:rsid w:val="00297FA1"/>
    <w:rsid w:val="002A1955"/>
    <w:rsid w:val="002A219B"/>
    <w:rsid w:val="002A72ED"/>
    <w:rsid w:val="002A7EE6"/>
    <w:rsid w:val="002B003A"/>
    <w:rsid w:val="002B0F46"/>
    <w:rsid w:val="002B3D80"/>
    <w:rsid w:val="002B5444"/>
    <w:rsid w:val="002B6499"/>
    <w:rsid w:val="002B6A34"/>
    <w:rsid w:val="002D1BC0"/>
    <w:rsid w:val="002D4821"/>
    <w:rsid w:val="002D63B9"/>
    <w:rsid w:val="002E1332"/>
    <w:rsid w:val="002E1AE9"/>
    <w:rsid w:val="002E2A87"/>
    <w:rsid w:val="002F3DC3"/>
    <w:rsid w:val="002F4A0E"/>
    <w:rsid w:val="002F5100"/>
    <w:rsid w:val="00301D8D"/>
    <w:rsid w:val="003041F7"/>
    <w:rsid w:val="00306E7C"/>
    <w:rsid w:val="00312A0A"/>
    <w:rsid w:val="003138CB"/>
    <w:rsid w:val="0031453C"/>
    <w:rsid w:val="00315B00"/>
    <w:rsid w:val="00316CCD"/>
    <w:rsid w:val="00320CE0"/>
    <w:rsid w:val="00321CE4"/>
    <w:rsid w:val="0033288C"/>
    <w:rsid w:val="003435D3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5F9D"/>
    <w:rsid w:val="00385FF1"/>
    <w:rsid w:val="0039028A"/>
    <w:rsid w:val="00390BE4"/>
    <w:rsid w:val="0039201C"/>
    <w:rsid w:val="00394656"/>
    <w:rsid w:val="003970F1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28AE"/>
    <w:rsid w:val="003C4CBB"/>
    <w:rsid w:val="003D1668"/>
    <w:rsid w:val="003D4B4E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37130"/>
    <w:rsid w:val="0043727B"/>
    <w:rsid w:val="004372FB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4F14"/>
    <w:rsid w:val="00485C6F"/>
    <w:rsid w:val="004B2604"/>
    <w:rsid w:val="004B67AE"/>
    <w:rsid w:val="004C5406"/>
    <w:rsid w:val="004C5CE0"/>
    <w:rsid w:val="004D031E"/>
    <w:rsid w:val="004F0B6D"/>
    <w:rsid w:val="004F1D29"/>
    <w:rsid w:val="004F4458"/>
    <w:rsid w:val="00503328"/>
    <w:rsid w:val="005035D3"/>
    <w:rsid w:val="00503C4C"/>
    <w:rsid w:val="00513868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757C"/>
    <w:rsid w:val="005720C2"/>
    <w:rsid w:val="005749ED"/>
    <w:rsid w:val="00575B4F"/>
    <w:rsid w:val="00580D24"/>
    <w:rsid w:val="0058556B"/>
    <w:rsid w:val="00595656"/>
    <w:rsid w:val="005A56DA"/>
    <w:rsid w:val="005A78F6"/>
    <w:rsid w:val="005A798A"/>
    <w:rsid w:val="005B25F2"/>
    <w:rsid w:val="005C02E9"/>
    <w:rsid w:val="005C7C64"/>
    <w:rsid w:val="005D2D0E"/>
    <w:rsid w:val="005E2619"/>
    <w:rsid w:val="005E3067"/>
    <w:rsid w:val="005E6922"/>
    <w:rsid w:val="005F209A"/>
    <w:rsid w:val="005F2863"/>
    <w:rsid w:val="005F4AE0"/>
    <w:rsid w:val="006013A3"/>
    <w:rsid w:val="006059EB"/>
    <w:rsid w:val="00610ABC"/>
    <w:rsid w:val="00612930"/>
    <w:rsid w:val="0061341C"/>
    <w:rsid w:val="006142E1"/>
    <w:rsid w:val="00615585"/>
    <w:rsid w:val="00623AC1"/>
    <w:rsid w:val="00627703"/>
    <w:rsid w:val="00630B1B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C2B4E"/>
    <w:rsid w:val="006C2FC0"/>
    <w:rsid w:val="006C42D5"/>
    <w:rsid w:val="006D011B"/>
    <w:rsid w:val="006D07B0"/>
    <w:rsid w:val="006D1A1E"/>
    <w:rsid w:val="006D3C93"/>
    <w:rsid w:val="006E1461"/>
    <w:rsid w:val="006E43D6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5CE1"/>
    <w:rsid w:val="00746FDD"/>
    <w:rsid w:val="0076043D"/>
    <w:rsid w:val="007617E5"/>
    <w:rsid w:val="007649AD"/>
    <w:rsid w:val="007721F0"/>
    <w:rsid w:val="00775990"/>
    <w:rsid w:val="00775FCE"/>
    <w:rsid w:val="00777D89"/>
    <w:rsid w:val="00780FAA"/>
    <w:rsid w:val="00782D9D"/>
    <w:rsid w:val="00785E82"/>
    <w:rsid w:val="00795B68"/>
    <w:rsid w:val="007A5F23"/>
    <w:rsid w:val="007A610F"/>
    <w:rsid w:val="007B1164"/>
    <w:rsid w:val="007C082F"/>
    <w:rsid w:val="007C0831"/>
    <w:rsid w:val="007C6F8B"/>
    <w:rsid w:val="007D2393"/>
    <w:rsid w:val="007D59E4"/>
    <w:rsid w:val="007D6313"/>
    <w:rsid w:val="007F0D3E"/>
    <w:rsid w:val="007F3E8D"/>
    <w:rsid w:val="007F6E6C"/>
    <w:rsid w:val="00802189"/>
    <w:rsid w:val="00810056"/>
    <w:rsid w:val="00815755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80E58"/>
    <w:rsid w:val="00880EB3"/>
    <w:rsid w:val="00882463"/>
    <w:rsid w:val="00884CC0"/>
    <w:rsid w:val="00886F1E"/>
    <w:rsid w:val="0089020A"/>
    <w:rsid w:val="0089417F"/>
    <w:rsid w:val="008960C1"/>
    <w:rsid w:val="008A01FC"/>
    <w:rsid w:val="008A0720"/>
    <w:rsid w:val="008A34A5"/>
    <w:rsid w:val="008A5804"/>
    <w:rsid w:val="008A5D32"/>
    <w:rsid w:val="008B20A7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9025B9"/>
    <w:rsid w:val="00910F1E"/>
    <w:rsid w:val="00920C7A"/>
    <w:rsid w:val="00926288"/>
    <w:rsid w:val="0093012C"/>
    <w:rsid w:val="00931AC0"/>
    <w:rsid w:val="00931B6A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82A52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6E40"/>
    <w:rsid w:val="009B7AF1"/>
    <w:rsid w:val="009B7EB7"/>
    <w:rsid w:val="009C0DD6"/>
    <w:rsid w:val="009D5CD9"/>
    <w:rsid w:val="009E11AB"/>
    <w:rsid w:val="009E2DC4"/>
    <w:rsid w:val="009E2EAC"/>
    <w:rsid w:val="009E3BFD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3D67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5760"/>
    <w:rsid w:val="00AB1441"/>
    <w:rsid w:val="00AB24F6"/>
    <w:rsid w:val="00AB36B1"/>
    <w:rsid w:val="00AB4F65"/>
    <w:rsid w:val="00AB6446"/>
    <w:rsid w:val="00AC64C2"/>
    <w:rsid w:val="00AC7231"/>
    <w:rsid w:val="00AD6034"/>
    <w:rsid w:val="00AD6533"/>
    <w:rsid w:val="00AE3AFD"/>
    <w:rsid w:val="00AF04AB"/>
    <w:rsid w:val="00AF4414"/>
    <w:rsid w:val="00AF4616"/>
    <w:rsid w:val="00AF65A3"/>
    <w:rsid w:val="00AF6A28"/>
    <w:rsid w:val="00B01CF2"/>
    <w:rsid w:val="00B04309"/>
    <w:rsid w:val="00B06240"/>
    <w:rsid w:val="00B110A6"/>
    <w:rsid w:val="00B157BF"/>
    <w:rsid w:val="00B237C7"/>
    <w:rsid w:val="00B25321"/>
    <w:rsid w:val="00B36EB0"/>
    <w:rsid w:val="00B5010E"/>
    <w:rsid w:val="00B52980"/>
    <w:rsid w:val="00B55FF0"/>
    <w:rsid w:val="00B60B1C"/>
    <w:rsid w:val="00B60CCF"/>
    <w:rsid w:val="00B76541"/>
    <w:rsid w:val="00B827FA"/>
    <w:rsid w:val="00B82947"/>
    <w:rsid w:val="00B85002"/>
    <w:rsid w:val="00B865B4"/>
    <w:rsid w:val="00B912AD"/>
    <w:rsid w:val="00B929E0"/>
    <w:rsid w:val="00B92D4D"/>
    <w:rsid w:val="00B96095"/>
    <w:rsid w:val="00B970D3"/>
    <w:rsid w:val="00BA47FF"/>
    <w:rsid w:val="00BA6870"/>
    <w:rsid w:val="00BD0890"/>
    <w:rsid w:val="00BD1860"/>
    <w:rsid w:val="00BD1EBA"/>
    <w:rsid w:val="00BD7951"/>
    <w:rsid w:val="00BE78CD"/>
    <w:rsid w:val="00C00590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62651"/>
    <w:rsid w:val="00C66A37"/>
    <w:rsid w:val="00C713E1"/>
    <w:rsid w:val="00C76938"/>
    <w:rsid w:val="00C77FE6"/>
    <w:rsid w:val="00C85578"/>
    <w:rsid w:val="00C915EF"/>
    <w:rsid w:val="00C951BE"/>
    <w:rsid w:val="00CA0504"/>
    <w:rsid w:val="00CA4F99"/>
    <w:rsid w:val="00CA7F74"/>
    <w:rsid w:val="00CB63C1"/>
    <w:rsid w:val="00CB6C13"/>
    <w:rsid w:val="00CC1B25"/>
    <w:rsid w:val="00CC30FF"/>
    <w:rsid w:val="00CD7032"/>
    <w:rsid w:val="00CE0AF4"/>
    <w:rsid w:val="00CE1066"/>
    <w:rsid w:val="00CE7B1C"/>
    <w:rsid w:val="00CF007B"/>
    <w:rsid w:val="00CF5247"/>
    <w:rsid w:val="00CF55C9"/>
    <w:rsid w:val="00CF5E54"/>
    <w:rsid w:val="00CF7462"/>
    <w:rsid w:val="00D00BA2"/>
    <w:rsid w:val="00D03E3D"/>
    <w:rsid w:val="00D05A30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1C0"/>
    <w:rsid w:val="00D949BC"/>
    <w:rsid w:val="00D95FED"/>
    <w:rsid w:val="00DA094B"/>
    <w:rsid w:val="00DA127A"/>
    <w:rsid w:val="00DA13F3"/>
    <w:rsid w:val="00DA6179"/>
    <w:rsid w:val="00DA6F6A"/>
    <w:rsid w:val="00DB01E8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5B00"/>
    <w:rsid w:val="00DD6D96"/>
    <w:rsid w:val="00DE0DDF"/>
    <w:rsid w:val="00DE23D4"/>
    <w:rsid w:val="00DE5653"/>
    <w:rsid w:val="00DE5ABB"/>
    <w:rsid w:val="00DF0ED8"/>
    <w:rsid w:val="00DF42CC"/>
    <w:rsid w:val="00E01B1E"/>
    <w:rsid w:val="00E04ACC"/>
    <w:rsid w:val="00E05742"/>
    <w:rsid w:val="00E21286"/>
    <w:rsid w:val="00E252C4"/>
    <w:rsid w:val="00E270B2"/>
    <w:rsid w:val="00E274C4"/>
    <w:rsid w:val="00E36CCC"/>
    <w:rsid w:val="00E37F46"/>
    <w:rsid w:val="00E415BB"/>
    <w:rsid w:val="00E44F9B"/>
    <w:rsid w:val="00E52BBA"/>
    <w:rsid w:val="00E55AAB"/>
    <w:rsid w:val="00E55C24"/>
    <w:rsid w:val="00E5722C"/>
    <w:rsid w:val="00E603E7"/>
    <w:rsid w:val="00E6592B"/>
    <w:rsid w:val="00E85DC7"/>
    <w:rsid w:val="00E868E4"/>
    <w:rsid w:val="00E902B1"/>
    <w:rsid w:val="00E92E4F"/>
    <w:rsid w:val="00E94E47"/>
    <w:rsid w:val="00E955CA"/>
    <w:rsid w:val="00EA4703"/>
    <w:rsid w:val="00EA531A"/>
    <w:rsid w:val="00EA6D4E"/>
    <w:rsid w:val="00EB07C2"/>
    <w:rsid w:val="00EB1711"/>
    <w:rsid w:val="00EB3C59"/>
    <w:rsid w:val="00EB5A04"/>
    <w:rsid w:val="00EB792C"/>
    <w:rsid w:val="00EC189E"/>
    <w:rsid w:val="00ED3C1F"/>
    <w:rsid w:val="00EE3A63"/>
    <w:rsid w:val="00EE529E"/>
    <w:rsid w:val="00EE633A"/>
    <w:rsid w:val="00EF3E34"/>
    <w:rsid w:val="00EF58F1"/>
    <w:rsid w:val="00EF67A7"/>
    <w:rsid w:val="00F03A50"/>
    <w:rsid w:val="00F04E73"/>
    <w:rsid w:val="00F11053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4460"/>
    <w:rsid w:val="00FC4F7D"/>
    <w:rsid w:val="00FC64F4"/>
    <w:rsid w:val="00FC7243"/>
    <w:rsid w:val="00FD49CB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EA75-BD03-485A-BB49-87936F8F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(5).dotx</Template>
  <TotalTime>0</TotalTime>
  <Pages>2</Pages>
  <Words>297</Words>
  <Characters>1678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1972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2018-02-14T10:05:00Z</dcterms:created>
  <dcterms:modified xsi:type="dcterms:W3CDTF">2018-02-14T10:05:00Z</dcterms:modified>
</cp:coreProperties>
</file>