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51" w:rsidRDefault="00B15651">
      <w:pPr>
        <w:spacing w:line="14" w:lineRule="exact"/>
      </w:pPr>
    </w:p>
    <w:p w:rsidR="00B15651" w:rsidRDefault="00B6676A">
      <w:pPr>
        <w:pStyle w:val="Nadpis20"/>
        <w:framePr w:w="9139" w:h="408" w:hRule="exact" w:wrap="none" w:vAnchor="page" w:hAnchor="page" w:x="1036" w:y="1020"/>
        <w:shd w:val="clear" w:color="auto" w:fill="auto"/>
        <w:spacing w:after="0"/>
      </w:pPr>
      <w:bookmarkStart w:id="0" w:name="bookmark0"/>
      <w:r>
        <w:t>OBJEDNÁVKA</w:t>
      </w:r>
      <w:bookmarkEnd w:id="0"/>
    </w:p>
    <w:p w:rsidR="00B15651" w:rsidRDefault="00B6676A">
      <w:pPr>
        <w:pStyle w:val="Nadpis30"/>
        <w:framePr w:w="9139" w:h="2803" w:hRule="exact" w:wrap="none" w:vAnchor="page" w:hAnchor="page" w:x="1036" w:y="1663"/>
        <w:shd w:val="clear" w:color="auto" w:fill="auto"/>
        <w:spacing w:after="0"/>
      </w:pPr>
      <w:bookmarkStart w:id="1" w:name="bookmark1"/>
      <w:r>
        <w:t>1 .Objednatel</w:t>
      </w:r>
      <w:bookmarkEnd w:id="1"/>
    </w:p>
    <w:p w:rsidR="00B15651" w:rsidRDefault="00B6676A">
      <w:pPr>
        <w:pStyle w:val="Zkladntext1"/>
        <w:framePr w:w="9139" w:h="2803" w:hRule="exact" w:wrap="none" w:vAnchor="page" w:hAnchor="page" w:x="1036" w:y="1663"/>
        <w:shd w:val="clear" w:color="auto" w:fill="auto"/>
        <w:spacing w:after="0" w:line="233" w:lineRule="auto"/>
      </w:pPr>
      <w:r>
        <w:rPr>
          <w:b/>
          <w:bCs/>
        </w:rPr>
        <w:t>Lesy města Dvůr Králové nad Labem s.r.o.</w:t>
      </w:r>
    </w:p>
    <w:p w:rsidR="00B15651" w:rsidRDefault="00B6676A">
      <w:pPr>
        <w:pStyle w:val="Zkladntext1"/>
        <w:framePr w:w="9139" w:h="2803" w:hRule="exact" w:wrap="none" w:vAnchor="page" w:hAnchor="page" w:x="1036" w:y="1663"/>
        <w:shd w:val="clear" w:color="auto" w:fill="auto"/>
        <w:spacing w:after="0" w:line="233" w:lineRule="auto"/>
      </w:pPr>
      <w:r>
        <w:t>Se sídlem: Raisova 2824, Dvůr Králové nad Labem</w:t>
      </w:r>
    </w:p>
    <w:p w:rsidR="00B15651" w:rsidRDefault="00B6676A">
      <w:pPr>
        <w:pStyle w:val="Zkladntext1"/>
        <w:framePr w:w="9139" w:h="2803" w:hRule="exact" w:wrap="none" w:vAnchor="page" w:hAnchor="page" w:x="1036" w:y="1663"/>
        <w:shd w:val="clear" w:color="auto" w:fill="auto"/>
        <w:spacing w:after="0"/>
      </w:pPr>
      <w:r>
        <w:t>IČ : 275 53 884 DIČ : CZ275 53 884</w:t>
      </w:r>
    </w:p>
    <w:p w:rsidR="00B15651" w:rsidRDefault="00B6676A">
      <w:pPr>
        <w:pStyle w:val="Zkladntext1"/>
        <w:framePr w:w="9139" w:h="2803" w:hRule="exact" w:wrap="none" w:vAnchor="page" w:hAnchor="page" w:x="1036" w:y="1663"/>
        <w:shd w:val="clear" w:color="auto" w:fill="auto"/>
        <w:tabs>
          <w:tab w:val="left" w:leader="dot" w:pos="2366"/>
          <w:tab w:val="left" w:leader="dot" w:pos="3389"/>
          <w:tab w:val="left" w:pos="4397"/>
          <w:tab w:val="left" w:leader="dot" w:pos="6492"/>
        </w:tabs>
        <w:spacing w:after="0"/>
      </w:pPr>
      <w:r>
        <w:t xml:space="preserve">Bankovní spojení: </w:t>
      </w:r>
      <w:r>
        <w:tab/>
        <w:t>ČSOB</w:t>
      </w:r>
      <w:r>
        <w:tab/>
        <w:t>, č.účtu</w:t>
      </w:r>
      <w:r>
        <w:tab/>
        <w:t>226038589/0300</w:t>
      </w:r>
      <w:r>
        <w:tab/>
      </w:r>
    </w:p>
    <w:p w:rsidR="00B15651" w:rsidRDefault="00B6676A">
      <w:pPr>
        <w:pStyle w:val="Zkladntext1"/>
        <w:framePr w:w="9139" w:h="2803" w:hRule="exact" w:wrap="none" w:vAnchor="page" w:hAnchor="page" w:x="1036" w:y="1663"/>
        <w:shd w:val="clear" w:color="auto" w:fill="auto"/>
        <w:spacing w:after="0"/>
      </w:pPr>
      <w:r>
        <w:t xml:space="preserve">Osoba oprávněná jednat a smlouvu uzavřít: p. Ing.Petr </w:t>
      </w:r>
      <w:r>
        <w:t>Tepera, jednatel</w:t>
      </w:r>
    </w:p>
    <w:p w:rsidR="00B15651" w:rsidRDefault="00B6676A">
      <w:pPr>
        <w:pStyle w:val="Zkladntext1"/>
        <w:framePr w:w="9139" w:h="2803" w:hRule="exact" w:wrap="none" w:vAnchor="page" w:hAnchor="page" w:x="1036" w:y="1663"/>
        <w:shd w:val="clear" w:color="auto" w:fill="auto"/>
        <w:spacing w:after="0"/>
      </w:pPr>
      <w:r>
        <w:t>Osoba oprávněná jednat ve věcech technických : Ing. Pavel David</w:t>
      </w:r>
    </w:p>
    <w:p w:rsidR="00B15651" w:rsidRDefault="00B6676A">
      <w:pPr>
        <w:pStyle w:val="Zkladntext1"/>
        <w:framePr w:w="9139" w:h="2803" w:hRule="exact" w:wrap="none" w:vAnchor="page" w:hAnchor="page" w:x="1036" w:y="1663"/>
        <w:shd w:val="clear" w:color="auto" w:fill="auto"/>
        <w:spacing w:after="0" w:line="233" w:lineRule="auto"/>
      </w:pPr>
      <w:r>
        <w:t>Telefon : 499/622474</w:t>
      </w:r>
    </w:p>
    <w:p w:rsidR="00B15651" w:rsidRDefault="00B6676A">
      <w:pPr>
        <w:pStyle w:val="Zkladntext1"/>
        <w:framePr w:w="9139" w:h="2803" w:hRule="exact" w:wrap="none" w:vAnchor="page" w:hAnchor="page" w:x="1036" w:y="1663"/>
        <w:shd w:val="clear" w:color="auto" w:fill="auto"/>
        <w:spacing w:after="0"/>
      </w:pPr>
      <w:r>
        <w:t xml:space="preserve">e-mail: </w:t>
      </w:r>
      <w:hyperlink r:id="rId7" w:history="1">
        <w:r>
          <w:rPr>
            <w:lang w:val="en-US" w:eastAsia="en-US" w:bidi="en-US"/>
          </w:rPr>
          <w:t>lesydvur@lesydvur.cz</w:t>
        </w:r>
      </w:hyperlink>
    </w:p>
    <w:p w:rsidR="00B15651" w:rsidRDefault="00B6676A">
      <w:pPr>
        <w:pStyle w:val="Zkladntext1"/>
        <w:framePr w:w="9139" w:h="2803" w:hRule="exact" w:wrap="none" w:vAnchor="page" w:hAnchor="page" w:x="1036" w:y="1663"/>
        <w:shd w:val="clear" w:color="auto" w:fill="auto"/>
        <w:spacing w:after="0"/>
      </w:pPr>
      <w:r>
        <w:t>Právnická osoba zapsaná v obchodním rejstříku KS v Hradci Králové v oddílu C, č.vl.</w:t>
      </w:r>
      <w:r>
        <w:t>25764</w:t>
      </w:r>
    </w:p>
    <w:p w:rsidR="00B15651" w:rsidRDefault="00B6676A">
      <w:pPr>
        <w:pStyle w:val="Nadpis30"/>
        <w:framePr w:w="9139" w:h="600" w:hRule="exact" w:wrap="none" w:vAnchor="page" w:hAnchor="page" w:x="1036" w:y="4970"/>
        <w:numPr>
          <w:ilvl w:val="0"/>
          <w:numId w:val="1"/>
        </w:numPr>
        <w:shd w:val="clear" w:color="auto" w:fill="auto"/>
        <w:tabs>
          <w:tab w:val="left" w:pos="368"/>
        </w:tabs>
        <w:spacing w:after="0"/>
        <w:ind w:right="7680"/>
        <w:jc w:val="left"/>
      </w:pPr>
      <w:bookmarkStart w:id="2" w:name="bookmark2"/>
      <w:r>
        <w:t xml:space="preserve">Zhotovitel </w:t>
      </w:r>
      <w:r>
        <w:rPr>
          <w:u w:val="single"/>
        </w:rPr>
        <w:t xml:space="preserve">Jiří </w:t>
      </w:r>
      <w:r>
        <w:rPr>
          <w:u w:val="single"/>
          <w:lang w:val="en-US" w:eastAsia="en-US" w:bidi="en-US"/>
        </w:rPr>
        <w:t>Hartman</w:t>
      </w:r>
      <w:bookmarkEnd w:id="2"/>
    </w:p>
    <w:p w:rsidR="00B15651" w:rsidRDefault="00B6676A">
      <w:pPr>
        <w:pStyle w:val="Zkladntext1"/>
        <w:framePr w:w="9139" w:h="9163" w:hRule="exact" w:wrap="none" w:vAnchor="page" w:hAnchor="page" w:x="1036" w:y="5801"/>
        <w:shd w:val="clear" w:color="auto" w:fill="auto"/>
        <w:spacing w:after="0"/>
      </w:pPr>
      <w:r>
        <w:t>Se sídlem : Choteč 121, Lázně Bělohrad 50781</w:t>
      </w:r>
    </w:p>
    <w:p w:rsidR="00B15651" w:rsidRDefault="00B6676A">
      <w:pPr>
        <w:pStyle w:val="Zkladntext1"/>
        <w:framePr w:w="9139" w:h="9163" w:hRule="exact" w:wrap="none" w:vAnchor="page" w:hAnchor="page" w:x="1036" w:y="5801"/>
        <w:shd w:val="clear" w:color="auto" w:fill="auto"/>
        <w:spacing w:after="0"/>
      </w:pPr>
      <w:r>
        <w:t xml:space="preserve">jednající: </w:t>
      </w:r>
      <w:r>
        <w:rPr>
          <w:lang w:val="en-US" w:eastAsia="en-US" w:bidi="en-US"/>
        </w:rPr>
        <w:t xml:space="preserve">Hartman </w:t>
      </w:r>
      <w:r>
        <w:t>Jiří</w:t>
      </w:r>
    </w:p>
    <w:p w:rsidR="00B15651" w:rsidRDefault="00B6676A">
      <w:pPr>
        <w:pStyle w:val="Zkladntext1"/>
        <w:framePr w:w="9139" w:h="9163" w:hRule="exact" w:wrap="none" w:vAnchor="page" w:hAnchor="page" w:x="1036" w:y="5801"/>
        <w:shd w:val="clear" w:color="auto" w:fill="auto"/>
        <w:spacing w:after="0"/>
      </w:pPr>
      <w:r>
        <w:t xml:space="preserve">IČ: </w:t>
      </w:r>
      <w:r>
        <w:rPr>
          <w:b/>
          <w:bCs/>
        </w:rPr>
        <w:t xml:space="preserve">45528853 </w:t>
      </w:r>
      <w:r>
        <w:t>DIČ CZ</w:t>
      </w:r>
    </w:p>
    <w:p w:rsidR="00B15651" w:rsidRDefault="00B6676A">
      <w:pPr>
        <w:pStyle w:val="Zkladntext1"/>
        <w:framePr w:w="9139" w:h="9163" w:hRule="exact" w:wrap="none" w:vAnchor="page" w:hAnchor="page" w:x="1036" w:y="5801"/>
        <w:shd w:val="clear" w:color="auto" w:fill="auto"/>
        <w:spacing w:after="0"/>
      </w:pPr>
      <w:r>
        <w:t>bankovní spojení: 78-8436240247/0100, KB Jičín</w:t>
      </w:r>
    </w:p>
    <w:p w:rsidR="00B15651" w:rsidRDefault="00B6676A">
      <w:pPr>
        <w:pStyle w:val="Zkladntext1"/>
        <w:framePr w:w="9139" w:h="9163" w:hRule="exact" w:wrap="none" w:vAnchor="page" w:hAnchor="page" w:x="1036" w:y="5801"/>
        <w:shd w:val="clear" w:color="auto" w:fill="auto"/>
        <w:spacing w:after="0"/>
      </w:pPr>
      <w:r>
        <w:t>živnostenský list č.5-170/160/Mac/92/650157 Žú Lázně Bělohrad</w:t>
      </w:r>
    </w:p>
    <w:p w:rsidR="00B15651" w:rsidRDefault="00B6676A">
      <w:pPr>
        <w:pStyle w:val="Zkladntext1"/>
        <w:framePr w:w="9139" w:h="9163" w:hRule="exact" w:wrap="none" w:vAnchor="page" w:hAnchor="page" w:x="1036" w:y="5801"/>
        <w:shd w:val="clear" w:color="auto" w:fill="auto"/>
        <w:tabs>
          <w:tab w:val="left" w:leader="dot" w:pos="1219"/>
          <w:tab w:val="left" w:leader="dot" w:pos="3389"/>
          <w:tab w:val="left" w:leader="dot" w:pos="6492"/>
        </w:tabs>
      </w:pPr>
      <w:r>
        <w:t>telefon:</w:t>
      </w:r>
      <w:r>
        <w:tab/>
        <w:t>775216561</w:t>
      </w:r>
      <w:r>
        <w:tab/>
        <w:t xml:space="preserve"> e-mail</w:t>
      </w:r>
      <w:r>
        <w:tab/>
      </w:r>
    </w:p>
    <w:p w:rsidR="00B15651" w:rsidRDefault="00B6676A">
      <w:pPr>
        <w:pStyle w:val="Nadpis30"/>
        <w:framePr w:w="9139" w:h="9163" w:hRule="exact" w:wrap="none" w:vAnchor="page" w:hAnchor="page" w:x="1036" w:y="5801"/>
        <w:numPr>
          <w:ilvl w:val="0"/>
          <w:numId w:val="1"/>
        </w:numPr>
        <w:shd w:val="clear" w:color="auto" w:fill="auto"/>
        <w:tabs>
          <w:tab w:val="left" w:pos="368"/>
        </w:tabs>
      </w:pPr>
      <w:bookmarkStart w:id="3" w:name="bookmark3"/>
      <w:r>
        <w:t>Předmět objednávky:</w:t>
      </w:r>
      <w:bookmarkEnd w:id="3"/>
    </w:p>
    <w:p w:rsidR="00B15651" w:rsidRDefault="00B6676A">
      <w:pPr>
        <w:pStyle w:val="Zkladntext1"/>
        <w:framePr w:w="9139" w:h="9163" w:hRule="exact" w:wrap="none" w:vAnchor="page" w:hAnchor="page" w:x="1036" w:y="5801"/>
        <w:shd w:val="clear" w:color="auto" w:fill="auto"/>
      </w:pPr>
      <w:r>
        <w:t>Odvoz a vagónování dříví, vytěženého na LHC Městské lesy Dvůr Králové nad Labem, odvozní soupravou zhotovitele dle dispozic objednatele.</w:t>
      </w:r>
    </w:p>
    <w:p w:rsidR="00B15651" w:rsidRDefault="00B6676A">
      <w:pPr>
        <w:pStyle w:val="Zkladntext1"/>
        <w:framePr w:w="9139" w:h="9163" w:hRule="exact" w:wrap="none" w:vAnchor="page" w:hAnchor="page" w:x="1036" w:y="5801"/>
        <w:numPr>
          <w:ilvl w:val="0"/>
          <w:numId w:val="1"/>
        </w:numPr>
        <w:shd w:val="clear" w:color="auto" w:fill="auto"/>
        <w:tabs>
          <w:tab w:val="left" w:pos="368"/>
        </w:tabs>
      </w:pPr>
      <w:r>
        <w:rPr>
          <w:b/>
          <w:bCs/>
        </w:rPr>
        <w:t xml:space="preserve">Časový rozsah </w:t>
      </w:r>
      <w:r>
        <w:t>: 4.1.2018-31.12.2018</w:t>
      </w:r>
    </w:p>
    <w:p w:rsidR="00B15651" w:rsidRDefault="00B6676A">
      <w:pPr>
        <w:pStyle w:val="Nadpis30"/>
        <w:framePr w:w="9139" w:h="9163" w:hRule="exact" w:wrap="none" w:vAnchor="page" w:hAnchor="page" w:x="1036" w:y="5801"/>
        <w:numPr>
          <w:ilvl w:val="0"/>
          <w:numId w:val="1"/>
        </w:numPr>
        <w:shd w:val="clear" w:color="auto" w:fill="auto"/>
        <w:tabs>
          <w:tab w:val="left" w:pos="368"/>
        </w:tabs>
        <w:spacing w:after="0"/>
      </w:pPr>
      <w:bookmarkStart w:id="4" w:name="bookmark4"/>
      <w:r>
        <w:t>Cena:</w:t>
      </w:r>
      <w:bookmarkEnd w:id="4"/>
    </w:p>
    <w:p w:rsidR="00B15651" w:rsidRDefault="00B6676A">
      <w:pPr>
        <w:pStyle w:val="Zkladntext1"/>
        <w:framePr w:w="9139" w:h="9163" w:hRule="exact" w:wrap="none" w:vAnchor="page" w:hAnchor="page" w:x="1036" w:y="5801"/>
        <w:shd w:val="clear" w:color="auto" w:fill="auto"/>
      </w:pPr>
      <w:r>
        <w:t xml:space="preserve">Je stanovena jako smluvní podle ceníku, který přílohou </w:t>
      </w:r>
      <w:r>
        <w:t xml:space="preserve">objednávky. Předpokládaná výše je </w:t>
      </w:r>
      <w:r w:rsidR="00AE5702">
        <w:t xml:space="preserve">xxxx </w:t>
      </w:r>
      <w:r>
        <w:t>Kč bez DPH.</w:t>
      </w:r>
    </w:p>
    <w:p w:rsidR="00B15651" w:rsidRDefault="00B6676A">
      <w:pPr>
        <w:pStyle w:val="Nadpis30"/>
        <w:framePr w:w="9139" w:h="9163" w:hRule="exact" w:wrap="none" w:vAnchor="page" w:hAnchor="page" w:x="1036" w:y="5801"/>
        <w:numPr>
          <w:ilvl w:val="0"/>
          <w:numId w:val="1"/>
        </w:numPr>
        <w:shd w:val="clear" w:color="auto" w:fill="auto"/>
        <w:tabs>
          <w:tab w:val="left" w:pos="368"/>
        </w:tabs>
      </w:pPr>
      <w:bookmarkStart w:id="5" w:name="bookmark5"/>
      <w:r>
        <w:t>Platební podmínky:</w:t>
      </w:r>
      <w:bookmarkEnd w:id="5"/>
    </w:p>
    <w:p w:rsidR="00B15651" w:rsidRDefault="00B6676A">
      <w:pPr>
        <w:pStyle w:val="Zkladntext1"/>
        <w:framePr w:w="9139" w:h="9163" w:hRule="exact" w:wrap="none" w:vAnchor="page" w:hAnchor="page" w:x="1036" w:y="5801"/>
        <w:shd w:val="clear" w:color="auto" w:fill="auto"/>
      </w:pPr>
      <w:r>
        <w:t>Úhrada bude provedena na základě vystaveného daňového dokladu - faktury, který bude vystaven k poslednímu dni v měsíci, po písemném odsouhlasení množství a objemu dopraveného dříví</w:t>
      </w:r>
      <w:r>
        <w:t>, které je přílohou daňového dokladu. Splatnost faktur je 14 dní od doručení faktury.</w:t>
      </w:r>
    </w:p>
    <w:p w:rsidR="00B15651" w:rsidRDefault="00B6676A">
      <w:pPr>
        <w:pStyle w:val="Nadpis30"/>
        <w:framePr w:w="9139" w:h="9163" w:hRule="exact" w:wrap="none" w:vAnchor="page" w:hAnchor="page" w:x="1036" w:y="5801"/>
        <w:numPr>
          <w:ilvl w:val="0"/>
          <w:numId w:val="1"/>
        </w:numPr>
        <w:shd w:val="clear" w:color="auto" w:fill="auto"/>
        <w:tabs>
          <w:tab w:val="left" w:pos="368"/>
        </w:tabs>
      </w:pPr>
      <w:bookmarkStart w:id="6" w:name="bookmark6"/>
      <w:r>
        <w:t>Registr smluv:</w:t>
      </w:r>
      <w:bookmarkEnd w:id="6"/>
    </w:p>
    <w:p w:rsidR="00B15651" w:rsidRDefault="00B6676A">
      <w:pPr>
        <w:pStyle w:val="Zkladntext1"/>
        <w:framePr w:w="9139" w:h="9163" w:hRule="exact" w:wrap="none" w:vAnchor="page" w:hAnchor="page" w:x="1036" w:y="5801"/>
        <w:shd w:val="clear" w:color="auto" w:fill="auto"/>
        <w:spacing w:after="0"/>
      </w:pPr>
      <w:r>
        <w:t>Objednatel i zhotovitel berou na vědomí, že na předmětnou objednávku a její případné dodatky se ve smyslu ust. § 6 zákona č. 340/2016 Sb. vztahuje s účinno</w:t>
      </w:r>
      <w:r>
        <w:t>sti od 1.7. 2017 povinnost jejího uveřejnění prostřednictvím registru smluv, když o vzniku této povinnosti nabývá účinnosti nejdříve dnem uveřejnění. Pokud by smlouva nebyla uveřejněna prostřednictvím registru smluv ani do tří měsíců ode dne, kdy byla uzav</w:t>
      </w:r>
      <w:r>
        <w:t>řena, platí že je zrušena od počátku.</w:t>
      </w:r>
    </w:p>
    <w:p w:rsidR="00B15651" w:rsidRDefault="00B6676A">
      <w:pPr>
        <w:pStyle w:val="Zhlavnebozpat0"/>
        <w:framePr w:wrap="none" w:vAnchor="page" w:hAnchor="page" w:x="5558" w:y="15185"/>
        <w:shd w:val="clear" w:color="auto" w:fill="auto"/>
      </w:pPr>
      <w:r>
        <w:t>1</w:t>
      </w:r>
    </w:p>
    <w:p w:rsidR="00B15651" w:rsidRDefault="00B15651">
      <w:pPr>
        <w:spacing w:line="14" w:lineRule="exact"/>
        <w:sectPr w:rsidR="00B156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15651" w:rsidRDefault="00B15651">
      <w:pPr>
        <w:spacing w:line="14" w:lineRule="exact"/>
      </w:pPr>
    </w:p>
    <w:p w:rsidR="00B15651" w:rsidRDefault="00B6676A">
      <w:pPr>
        <w:pStyle w:val="Zkladntext1"/>
        <w:framePr w:wrap="none" w:vAnchor="page" w:hAnchor="page" w:x="1715" w:y="1385"/>
        <w:shd w:val="clear" w:color="auto" w:fill="auto"/>
        <w:spacing w:after="0"/>
        <w:jc w:val="left"/>
      </w:pPr>
      <w:r>
        <w:t>Přílohy:</w:t>
      </w:r>
    </w:p>
    <w:p w:rsidR="00B15651" w:rsidRDefault="00B6676A">
      <w:pPr>
        <w:pStyle w:val="Zkladntext1"/>
        <w:framePr w:w="8501" w:h="586" w:hRule="exact" w:wrap="none" w:vAnchor="page" w:hAnchor="page" w:x="1355" w:y="1937"/>
        <w:numPr>
          <w:ilvl w:val="0"/>
          <w:numId w:val="2"/>
        </w:numPr>
        <w:shd w:val="clear" w:color="auto" w:fill="auto"/>
        <w:tabs>
          <w:tab w:val="left" w:pos="1402"/>
        </w:tabs>
        <w:spacing w:after="0"/>
        <w:ind w:left="1200"/>
        <w:jc w:val="left"/>
      </w:pPr>
      <w:r>
        <w:t>kopie Živnostenského listu zhotovitele</w:t>
      </w:r>
    </w:p>
    <w:p w:rsidR="00B15651" w:rsidRDefault="00B6676A">
      <w:pPr>
        <w:pStyle w:val="Zkladntext1"/>
        <w:framePr w:w="8501" w:h="586" w:hRule="exact" w:wrap="none" w:vAnchor="page" w:hAnchor="page" w:x="1355" w:y="1937"/>
        <w:numPr>
          <w:ilvl w:val="0"/>
          <w:numId w:val="2"/>
        </w:numPr>
        <w:shd w:val="clear" w:color="auto" w:fill="auto"/>
        <w:tabs>
          <w:tab w:val="left" w:pos="1407"/>
        </w:tabs>
        <w:spacing w:after="0" w:line="233" w:lineRule="auto"/>
        <w:ind w:left="1200"/>
        <w:jc w:val="left"/>
      </w:pPr>
      <w:r>
        <w:t>ceník</w:t>
      </w:r>
    </w:p>
    <w:p w:rsidR="00B15651" w:rsidRDefault="00B6676A">
      <w:pPr>
        <w:pStyle w:val="Zkladntext20"/>
        <w:framePr w:w="8501" w:h="1186" w:hRule="exact" w:wrap="none" w:vAnchor="page" w:hAnchor="page" w:x="1355" w:y="3065"/>
        <w:shd w:val="clear" w:color="auto" w:fill="auto"/>
        <w:ind w:left="316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Ve Dvoře Králové nad Labem, dne 4.1.2018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br/>
      </w:r>
    </w:p>
    <w:p w:rsidR="00B15651" w:rsidRDefault="00B6676A" w:rsidP="00AE5702">
      <w:pPr>
        <w:pStyle w:val="Titulekobrzku0"/>
        <w:framePr w:w="7846" w:wrap="none" w:vAnchor="page" w:hAnchor="page" w:x="3016" w:y="4701"/>
        <w:shd w:val="clear" w:color="auto" w:fill="auto"/>
      </w:pPr>
      <w:r>
        <w:t>O</w:t>
      </w:r>
      <w:r>
        <w:t>bjednatel</w:t>
      </w:r>
      <w:r w:rsidR="00AE5702">
        <w:t xml:space="preserve">                                                         Zhotovitel</w:t>
      </w:r>
    </w:p>
    <w:p w:rsidR="00B15651" w:rsidRDefault="00B6676A">
      <w:pPr>
        <w:pStyle w:val="Zhlavnebozpat0"/>
        <w:framePr w:wrap="none" w:vAnchor="page" w:hAnchor="page" w:x="6203" w:y="15549"/>
        <w:shd w:val="clear" w:color="auto" w:fill="auto"/>
      </w:pPr>
      <w:r>
        <w:t>2</w:t>
      </w:r>
    </w:p>
    <w:p w:rsidR="00B15651" w:rsidRDefault="00B15651">
      <w:pPr>
        <w:spacing w:line="14" w:lineRule="exact"/>
        <w:sectPr w:rsidR="00B156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15651" w:rsidRDefault="00B15651">
      <w:pPr>
        <w:spacing w:line="14" w:lineRule="exact"/>
      </w:pPr>
    </w:p>
    <w:p w:rsidR="00B15651" w:rsidRDefault="00B6676A">
      <w:pPr>
        <w:pStyle w:val="Nadpis10"/>
        <w:framePr w:wrap="none" w:vAnchor="page" w:hAnchor="page" w:x="1065" w:y="1315"/>
        <w:shd w:val="clear" w:color="auto" w:fill="auto"/>
        <w:spacing w:after="0"/>
      </w:pPr>
      <w:bookmarkStart w:id="7" w:name="bookmark7"/>
      <w:r>
        <w:t>Ceník dopravy 2018</w:t>
      </w:r>
      <w:bookmarkEnd w:id="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9"/>
        <w:gridCol w:w="1157"/>
        <w:gridCol w:w="1272"/>
      </w:tblGrid>
      <w:tr w:rsidR="00B1565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149" w:type="dxa"/>
            <w:shd w:val="clear" w:color="auto" w:fill="FFFFFF"/>
          </w:tcPr>
          <w:p w:rsidR="00B15651" w:rsidRDefault="00B6676A">
            <w:pPr>
              <w:pStyle w:val="Jin0"/>
              <w:framePr w:w="5578" w:h="3125" w:wrap="none" w:vAnchor="page" w:hAnchor="page" w:x="1075" w:y="2164"/>
              <w:shd w:val="clear" w:color="auto" w:fill="auto"/>
              <w:spacing w:after="0"/>
              <w:jc w:val="left"/>
              <w:rPr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Destinace</w:t>
            </w:r>
          </w:p>
        </w:tc>
        <w:tc>
          <w:tcPr>
            <w:tcW w:w="1157" w:type="dxa"/>
            <w:shd w:val="clear" w:color="auto" w:fill="FFFFFF"/>
          </w:tcPr>
          <w:p w:rsidR="00B15651" w:rsidRDefault="00B15651">
            <w:pPr>
              <w:framePr w:w="5578" w:h="3125" w:wrap="none" w:vAnchor="page" w:hAnchor="page" w:x="1075" w:y="2164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B15651" w:rsidRDefault="00B6676A">
            <w:pPr>
              <w:pStyle w:val="Jin0"/>
              <w:framePr w:w="5578" w:h="3125" w:wrap="none" w:vAnchor="page" w:hAnchor="page" w:x="1075" w:y="2164"/>
              <w:shd w:val="clear" w:color="auto" w:fill="auto"/>
              <w:spacing w:after="0"/>
              <w:jc w:val="right"/>
              <w:rPr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Kč /m3</w:t>
            </w:r>
          </w:p>
        </w:tc>
      </w:tr>
      <w:tr w:rsidR="00B1565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149" w:type="dxa"/>
            <w:shd w:val="clear" w:color="auto" w:fill="FFFFFF"/>
          </w:tcPr>
          <w:p w:rsidR="00B15651" w:rsidRDefault="00B6676A">
            <w:pPr>
              <w:pStyle w:val="Jin0"/>
              <w:framePr w:w="5578" w:h="3125" w:wrap="none" w:vAnchor="page" w:hAnchor="page" w:x="1075" w:y="2164"/>
              <w:shd w:val="clear" w:color="auto" w:fill="auto"/>
              <w:spacing w:after="0"/>
              <w:jc w:val="left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Solnice, Borohrádek</w:t>
            </w:r>
          </w:p>
        </w:tc>
        <w:tc>
          <w:tcPr>
            <w:tcW w:w="1157" w:type="dxa"/>
            <w:shd w:val="clear" w:color="auto" w:fill="FFFFFF"/>
          </w:tcPr>
          <w:p w:rsidR="00B15651" w:rsidRDefault="00B15651">
            <w:pPr>
              <w:framePr w:w="5578" w:h="3125" w:wrap="none" w:vAnchor="page" w:hAnchor="page" w:x="1075" w:y="2164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B15651" w:rsidRDefault="00AE5702" w:rsidP="00AE5702">
            <w:pPr>
              <w:pStyle w:val="Jin0"/>
              <w:framePr w:w="5578" w:h="3125" w:wrap="none" w:vAnchor="page" w:hAnchor="page" w:x="1075" w:y="2164"/>
              <w:shd w:val="clear" w:color="auto" w:fill="auto"/>
              <w:spacing w:after="0"/>
              <w:jc w:val="center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xxx</w:t>
            </w:r>
          </w:p>
        </w:tc>
      </w:tr>
      <w:tr w:rsidR="00B15651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3149" w:type="dxa"/>
            <w:shd w:val="clear" w:color="auto" w:fill="FFFFFF"/>
            <w:vAlign w:val="center"/>
          </w:tcPr>
          <w:p w:rsidR="00B15651" w:rsidRDefault="00B6676A">
            <w:pPr>
              <w:pStyle w:val="Jin0"/>
              <w:framePr w:w="5578" w:h="3125" w:wrap="none" w:vAnchor="page" w:hAnchor="page" w:x="1075" w:y="2164"/>
              <w:shd w:val="clear" w:color="auto" w:fill="auto"/>
              <w:spacing w:after="0"/>
              <w:jc w:val="left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Vagony</w:t>
            </w:r>
          </w:p>
        </w:tc>
        <w:tc>
          <w:tcPr>
            <w:tcW w:w="1157" w:type="dxa"/>
            <w:shd w:val="clear" w:color="auto" w:fill="FFFFFF"/>
          </w:tcPr>
          <w:p w:rsidR="00B15651" w:rsidRDefault="00B15651">
            <w:pPr>
              <w:framePr w:w="5578" w:h="3125" w:wrap="none" w:vAnchor="page" w:hAnchor="page" w:x="1075" w:y="2164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  <w:vAlign w:val="center"/>
          </w:tcPr>
          <w:p w:rsidR="00B15651" w:rsidRDefault="00AE5702">
            <w:pPr>
              <w:pStyle w:val="Jin0"/>
              <w:framePr w:w="5578" w:h="3125" w:wrap="none" w:vAnchor="page" w:hAnchor="page" w:x="1075" w:y="2164"/>
              <w:shd w:val="clear" w:color="auto" w:fill="auto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</w:t>
            </w:r>
          </w:p>
        </w:tc>
      </w:tr>
      <w:tr w:rsidR="00B15651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149" w:type="dxa"/>
            <w:shd w:val="clear" w:color="auto" w:fill="FFFFFF"/>
            <w:vAlign w:val="bottom"/>
          </w:tcPr>
          <w:p w:rsidR="00B15651" w:rsidRDefault="00B6676A">
            <w:pPr>
              <w:pStyle w:val="Jin0"/>
              <w:framePr w:w="5578" w:h="3125" w:wrap="none" w:vAnchor="page" w:hAnchor="page" w:x="1075" w:y="2164"/>
              <w:shd w:val="clear" w:color="auto" w:fill="auto"/>
              <w:spacing w:after="0"/>
              <w:jc w:val="left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Štípačka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B15651" w:rsidRDefault="00B6676A">
            <w:pPr>
              <w:pStyle w:val="Jin0"/>
              <w:framePr w:w="5578" w:h="3125" w:wrap="none" w:vAnchor="page" w:hAnchor="page" w:x="1075" w:y="2164"/>
              <w:shd w:val="clear" w:color="auto" w:fill="auto"/>
              <w:spacing w:after="0"/>
              <w:ind w:right="80"/>
              <w:jc w:val="center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jehl</w:t>
            </w:r>
          </w:p>
        </w:tc>
        <w:tc>
          <w:tcPr>
            <w:tcW w:w="1272" w:type="dxa"/>
            <w:shd w:val="clear" w:color="auto" w:fill="FFFFFF"/>
            <w:vAlign w:val="bottom"/>
          </w:tcPr>
          <w:p w:rsidR="00B15651" w:rsidRDefault="00AE5702">
            <w:pPr>
              <w:pStyle w:val="Jin0"/>
              <w:framePr w:w="5578" w:h="3125" w:wrap="none" w:vAnchor="page" w:hAnchor="page" w:x="1075" w:y="2164"/>
              <w:shd w:val="clear" w:color="auto" w:fill="auto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</w:t>
            </w:r>
          </w:p>
        </w:tc>
      </w:tr>
      <w:tr w:rsidR="00B15651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3149" w:type="dxa"/>
            <w:shd w:val="clear" w:color="auto" w:fill="FFFFFF"/>
            <w:vAlign w:val="bottom"/>
          </w:tcPr>
          <w:p w:rsidR="00B15651" w:rsidRDefault="00B6676A">
            <w:pPr>
              <w:pStyle w:val="Jin0"/>
              <w:framePr w:w="5578" w:h="3125" w:wrap="none" w:vAnchor="page" w:hAnchor="page" w:x="1075" w:y="2164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Ostatní destinace dle domluvy.</w:t>
            </w:r>
          </w:p>
        </w:tc>
        <w:tc>
          <w:tcPr>
            <w:tcW w:w="1157" w:type="dxa"/>
            <w:shd w:val="clear" w:color="auto" w:fill="FFFFFF"/>
          </w:tcPr>
          <w:p w:rsidR="00B15651" w:rsidRDefault="00B6676A">
            <w:pPr>
              <w:pStyle w:val="Jin0"/>
              <w:framePr w:w="5578" w:h="3125" w:wrap="none" w:vAnchor="page" w:hAnchor="page" w:x="1075" w:y="2164"/>
              <w:shd w:val="clear" w:color="auto" w:fill="auto"/>
              <w:spacing w:after="0"/>
              <w:jc w:val="center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list</w:t>
            </w:r>
          </w:p>
        </w:tc>
        <w:tc>
          <w:tcPr>
            <w:tcW w:w="1272" w:type="dxa"/>
            <w:shd w:val="clear" w:color="auto" w:fill="FFFFFF"/>
          </w:tcPr>
          <w:p w:rsidR="00B15651" w:rsidRDefault="00AE5702">
            <w:pPr>
              <w:pStyle w:val="Jin0"/>
              <w:framePr w:w="5578" w:h="3125" w:wrap="none" w:vAnchor="page" w:hAnchor="page" w:x="1075" w:y="2164"/>
              <w:shd w:val="clear" w:color="auto" w:fill="auto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</w:t>
            </w:r>
          </w:p>
        </w:tc>
      </w:tr>
    </w:tbl>
    <w:p w:rsidR="00B15651" w:rsidRDefault="00B6676A">
      <w:pPr>
        <w:pStyle w:val="Titulektabulky0"/>
        <w:framePr w:w="8496" w:h="614" w:hRule="exact" w:wrap="none" w:vAnchor="page" w:hAnchor="page" w:x="1070" w:y="5289"/>
        <w:shd w:val="clear" w:color="auto" w:fill="auto"/>
      </w:pPr>
      <w:r>
        <w:t xml:space="preserve">Ceny dopravy je závislé na </w:t>
      </w:r>
      <w:r>
        <w:t>vnějších vstupech a můžou být v průběhu roku upraveny dodatkem. Ceny jsou bez DPH a m3 po přejímce .</w:t>
      </w:r>
    </w:p>
    <w:p w:rsidR="00B15651" w:rsidRDefault="00B15651">
      <w:pPr>
        <w:framePr w:wrap="none" w:vAnchor="page" w:hAnchor="page" w:x="8832" w:y="6321"/>
      </w:pPr>
    </w:p>
    <w:p w:rsidR="00B15651" w:rsidRDefault="00B6676A">
      <w:pPr>
        <w:pStyle w:val="Zkladntext30"/>
        <w:framePr w:wrap="none" w:vAnchor="page" w:hAnchor="page" w:x="1065" w:y="6734"/>
        <w:shd w:val="clear" w:color="auto" w:fill="auto"/>
      </w:pPr>
      <w:r>
        <w:t>Ve Dvoře Králové nad Labem dne 4.1.2018</w:t>
      </w:r>
    </w:p>
    <w:p w:rsidR="00B15651" w:rsidRDefault="00B15651">
      <w:pPr>
        <w:spacing w:line="14" w:lineRule="exact"/>
      </w:pPr>
      <w:bookmarkStart w:id="8" w:name="_GoBack"/>
      <w:bookmarkEnd w:id="8"/>
    </w:p>
    <w:sectPr w:rsidR="00B1565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76A" w:rsidRDefault="00B6676A">
      <w:r>
        <w:separator/>
      </w:r>
    </w:p>
  </w:endnote>
  <w:endnote w:type="continuationSeparator" w:id="0">
    <w:p w:rsidR="00B6676A" w:rsidRDefault="00B6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76A" w:rsidRDefault="00B6676A"/>
  </w:footnote>
  <w:footnote w:type="continuationSeparator" w:id="0">
    <w:p w:rsidR="00B6676A" w:rsidRDefault="00B667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C0465"/>
    <w:multiLevelType w:val="multilevel"/>
    <w:tmpl w:val="829872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C903CE"/>
    <w:multiLevelType w:val="multilevel"/>
    <w:tmpl w:val="55AAF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51"/>
    <w:rsid w:val="00AE5702"/>
    <w:rsid w:val="00B15651"/>
    <w:rsid w:val="00B6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AE76E-645D-4108-B737-792FD83F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singl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ind w:left="54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3" w:lineRule="auto"/>
      <w:ind w:right="1180" w:firstLine="380"/>
    </w:pPr>
    <w:rPr>
      <w:rFonts w:ascii="Arial" w:eastAsia="Arial" w:hAnsi="Arial" w:cs="Arial"/>
      <w:b/>
      <w:bCs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20"/>
      <w:ind w:left="1880"/>
      <w:outlineLvl w:val="0"/>
    </w:pPr>
    <w:rPr>
      <w:rFonts w:ascii="Calibri" w:eastAsia="Calibri" w:hAnsi="Calibri" w:cs="Calibri"/>
      <w:b/>
      <w:bCs/>
      <w:sz w:val="40"/>
      <w:szCs w:val="40"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4" w:lineRule="auto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sydvur@lesydvu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2018-02-13T11:50:00Z</dcterms:created>
  <dcterms:modified xsi:type="dcterms:W3CDTF">2018-02-13T11:52:00Z</dcterms:modified>
</cp:coreProperties>
</file>