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30146B80" w:rsidR="00573F0E" w:rsidRPr="00372B83" w:rsidRDefault="007B4DD6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KUPNÍ SMLOUVA č. 5/2018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9A4A04">
        <w:rPr>
          <w:b/>
          <w:bCs/>
        </w:rPr>
        <w:t>prodávajícím, jímž je:</w:t>
      </w:r>
    </w:p>
    <w:p w14:paraId="597D07B0" w14:textId="757E9C00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9A4A04">
        <w:t xml:space="preserve">    </w:t>
      </w:r>
      <w:r w:rsidR="009A4A04">
        <w:tab/>
      </w:r>
      <w:proofErr w:type="spellStart"/>
      <w:r w:rsidR="009A4A04">
        <w:t>MeWAdia</w:t>
      </w:r>
      <w:proofErr w:type="spellEnd"/>
      <w:r w:rsidR="009A4A04">
        <w:t xml:space="preserve"> s.r.o.</w:t>
      </w:r>
    </w:p>
    <w:p w14:paraId="2C9CDF9A" w14:textId="537EC288" w:rsidR="005335F3" w:rsidRDefault="00573F0E">
      <w:r w:rsidRPr="004D4D93">
        <w:t>se sídlem:</w:t>
      </w:r>
      <w:r w:rsidR="009A4A04">
        <w:t xml:space="preserve"> </w:t>
      </w:r>
      <w:r w:rsidR="009A4A04">
        <w:tab/>
      </w:r>
      <w:r w:rsidR="009A4A04">
        <w:tab/>
        <w:t>Hlinky 64, 603 00 Brno</w:t>
      </w:r>
      <w:r w:rsidRPr="004D4D93">
        <w:tab/>
      </w:r>
      <w:r w:rsidR="004155DF">
        <w:t xml:space="preserve">   </w:t>
      </w:r>
    </w:p>
    <w:p w14:paraId="193AE9AB" w14:textId="1359962A" w:rsidR="005335F3" w:rsidRDefault="00573F0E">
      <w:r w:rsidRPr="004D4D93">
        <w:t>IČ :</w:t>
      </w:r>
      <w:r w:rsidR="009A4A04">
        <w:tab/>
      </w:r>
      <w:r w:rsidR="009A4A04">
        <w:tab/>
      </w:r>
      <w:r w:rsidR="009A4A04">
        <w:tab/>
        <w:t>27683818</w:t>
      </w:r>
    </w:p>
    <w:p w14:paraId="04230CFB" w14:textId="23394B17" w:rsidR="005335F3" w:rsidRDefault="00573F0E">
      <w:r w:rsidRPr="004D4D93">
        <w:t xml:space="preserve">DIČ: </w:t>
      </w:r>
      <w:r w:rsidR="009A4A04">
        <w:tab/>
      </w:r>
      <w:r w:rsidR="009A4A04">
        <w:tab/>
      </w:r>
      <w:r w:rsidR="009A4A04">
        <w:tab/>
        <w:t>CZ 27683818</w:t>
      </w:r>
    </w:p>
    <w:p w14:paraId="4FB5B414" w14:textId="414475A2" w:rsidR="003346D8" w:rsidRPr="004D4D93" w:rsidRDefault="00573F0E">
      <w:r w:rsidRPr="004D4D93">
        <w:t>jehož jménem jedná:</w:t>
      </w:r>
      <w:r w:rsidRPr="004D4D93">
        <w:tab/>
      </w:r>
      <w:r w:rsidR="009A4A04">
        <w:t xml:space="preserve">Ing. Attila </w:t>
      </w:r>
      <w:proofErr w:type="spellStart"/>
      <w:r w:rsidR="009A4A04">
        <w:t>Kürti</w:t>
      </w:r>
      <w:proofErr w:type="spellEnd"/>
    </w:p>
    <w:p w14:paraId="08CA3444" w14:textId="08936D95" w:rsidR="00281BA5" w:rsidRDefault="00573F0E">
      <w:r w:rsidRPr="004D4D93">
        <w:t>tel.:</w:t>
      </w:r>
      <w:r w:rsidR="009A4A04">
        <w:tab/>
      </w:r>
      <w:r w:rsidR="009A4A04">
        <w:tab/>
      </w:r>
      <w:r w:rsidR="009A4A04">
        <w:tab/>
      </w:r>
      <w:proofErr w:type="spellStart"/>
      <w:r w:rsidR="007B4DD6">
        <w:t>xxxxxxxxxxxxx</w:t>
      </w:r>
      <w:proofErr w:type="spellEnd"/>
    </w:p>
    <w:p w14:paraId="5043D5BD" w14:textId="7AD2A37D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8629AC">
        <w:t>xxxxxxxxxxxxxxxxxxx</w:t>
      </w:r>
      <w:proofErr w:type="spellEnd"/>
    </w:p>
    <w:p w14:paraId="556BA6F9" w14:textId="71173558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</w:p>
    <w:p w14:paraId="1DF18D34" w14:textId="61A4D81B" w:rsidR="00281BA5" w:rsidRPr="004D4D93" w:rsidRDefault="00281BA5" w:rsidP="006F7B38">
      <w:r>
        <w:t xml:space="preserve">zapsaná v obchodním </w:t>
      </w:r>
      <w:r w:rsidR="009A4A04">
        <w:t>rejstříku vedeném u Krajského soudu v Brně, oddíl C</w:t>
      </w:r>
      <w:r>
        <w:t>, vložka</w:t>
      </w:r>
      <w:r w:rsidR="009A4A04">
        <w:t xml:space="preserve"> 51846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0312347B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8629AC">
        <w:t>xxxxxxxxxxxxxxxxxxx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0D16C03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8629AC">
        <w:t>xxxxxxxxxxxxxxxxxxx</w:t>
      </w:r>
      <w:proofErr w:type="spellEnd"/>
      <w:r w:rsidR="00573F0E" w:rsidRPr="00E72AED">
        <w:tab/>
      </w:r>
    </w:p>
    <w:p w14:paraId="4C462011" w14:textId="53185EE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8629AC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AD2B8D1" w14:textId="77777777" w:rsidR="00372B83" w:rsidRDefault="00372B83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Pr="00E72AED" w:rsidRDefault="001404C8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DF59208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proofErr w:type="spellStart"/>
      <w:r w:rsidR="009A4A04">
        <w:rPr>
          <w:szCs w:val="24"/>
        </w:rPr>
        <w:t>Shalya</w:t>
      </w:r>
      <w:proofErr w:type="spellEnd"/>
      <w:r w:rsidR="009A4A04">
        <w:rPr>
          <w:szCs w:val="24"/>
        </w:rPr>
        <w:t xml:space="preserve"> Vista VSE </w:t>
      </w:r>
      <w:proofErr w:type="spellStart"/>
      <w:r w:rsidR="009A4A04">
        <w:rPr>
          <w:szCs w:val="24"/>
        </w:rPr>
        <w:t>RFaST</w:t>
      </w:r>
      <w:proofErr w:type="spellEnd"/>
    </w:p>
    <w:p w14:paraId="2ADB43A4" w14:textId="77777777" w:rsidR="0043645E" w:rsidRDefault="0043645E" w:rsidP="00AA38DE"/>
    <w:p w14:paraId="54319EB8" w14:textId="39F10421" w:rsidR="004D4D93" w:rsidRDefault="004155DF" w:rsidP="00AA38DE">
      <w:r>
        <w:t>Dle cenové nabídky</w:t>
      </w:r>
      <w:r w:rsidR="005335F3">
        <w:t xml:space="preserve">: </w:t>
      </w:r>
    </w:p>
    <w:p w14:paraId="28BB7698" w14:textId="77777777" w:rsidR="0043645E" w:rsidRDefault="0043645E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3619F1" w14:paraId="24B39342" w14:textId="77777777">
        <w:tc>
          <w:tcPr>
            <w:tcW w:w="4223" w:type="dxa"/>
          </w:tcPr>
          <w:p w14:paraId="29791857" w14:textId="77777777" w:rsidR="00573F0E" w:rsidRPr="003619F1" w:rsidRDefault="00573F0E">
            <w:pPr>
              <w:spacing w:before="120" w:line="240" w:lineRule="atLeast"/>
              <w:rPr>
                <w:b/>
              </w:rPr>
            </w:pPr>
            <w:r w:rsidRPr="003619F1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40204DC" w:rsidR="00573F0E" w:rsidRPr="003619F1" w:rsidRDefault="003619F1" w:rsidP="009D23C9">
            <w:pPr>
              <w:spacing w:before="120" w:line="240" w:lineRule="atLeast"/>
              <w:jc w:val="right"/>
              <w:rPr>
                <w:b/>
              </w:rPr>
            </w:pPr>
            <w:r w:rsidRPr="003619F1">
              <w:rPr>
                <w:b/>
              </w:rPr>
              <w:t>519 000</w:t>
            </w:r>
            <w:r w:rsidR="005335F3" w:rsidRPr="003619F1">
              <w:rPr>
                <w:b/>
              </w:rPr>
              <w:t>,-</w:t>
            </w:r>
            <w:r w:rsidR="004155DF" w:rsidRPr="003619F1">
              <w:rPr>
                <w:b/>
              </w:rPr>
              <w:t xml:space="preserve">Kč </w:t>
            </w:r>
          </w:p>
        </w:tc>
      </w:tr>
      <w:tr w:rsidR="00573F0E" w:rsidRPr="003619F1" w14:paraId="65C7273B" w14:textId="77777777">
        <w:tc>
          <w:tcPr>
            <w:tcW w:w="4223" w:type="dxa"/>
          </w:tcPr>
          <w:p w14:paraId="18251D1A" w14:textId="378F427C" w:rsidR="00573F0E" w:rsidRPr="003619F1" w:rsidRDefault="00573F0E" w:rsidP="005335F3">
            <w:pPr>
              <w:spacing w:before="120" w:line="240" w:lineRule="atLeast"/>
              <w:rPr>
                <w:b/>
              </w:rPr>
            </w:pPr>
            <w:r w:rsidRPr="003619F1">
              <w:rPr>
                <w:b/>
              </w:rPr>
              <w:t>DPH</w:t>
            </w:r>
            <w:r w:rsidR="001A4F8A" w:rsidRPr="003619F1">
              <w:rPr>
                <w:b/>
              </w:rPr>
              <w:t>:</w:t>
            </w:r>
            <w:r w:rsidR="005335F3" w:rsidRPr="003619F1">
              <w:rPr>
                <w:b/>
              </w:rPr>
              <w:t xml:space="preserve">  </w:t>
            </w:r>
            <w:r w:rsidR="009A4A04" w:rsidRPr="003619F1">
              <w:rPr>
                <w:b/>
              </w:rPr>
              <w:t>21</w:t>
            </w:r>
            <w:r w:rsidR="005335F3" w:rsidRPr="003619F1">
              <w:rPr>
                <w:b/>
              </w:rPr>
              <w:t xml:space="preserve"> </w:t>
            </w:r>
            <w:r w:rsidR="0045018F" w:rsidRPr="003619F1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6B941E7" w:rsidR="00573F0E" w:rsidRPr="003619F1" w:rsidRDefault="002A207D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108 990</w:t>
            </w:r>
            <w:r w:rsidR="005335F3" w:rsidRPr="003619F1">
              <w:rPr>
                <w:b/>
              </w:rPr>
              <w:t>,-</w:t>
            </w:r>
            <w:r w:rsidR="0045018F" w:rsidRPr="003619F1">
              <w:rPr>
                <w:b/>
              </w:rPr>
              <w:t xml:space="preserve">Kč 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3619F1" w:rsidRDefault="00573F0E">
            <w:pPr>
              <w:spacing w:before="120" w:line="240" w:lineRule="atLeast"/>
              <w:rPr>
                <w:b/>
              </w:rPr>
            </w:pPr>
            <w:r w:rsidRPr="003619F1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6CFA740" w:rsidR="00573F0E" w:rsidRPr="003619F1" w:rsidRDefault="002A207D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627 990</w:t>
            </w:r>
            <w:r w:rsidR="005335F3" w:rsidRPr="003619F1">
              <w:rPr>
                <w:b/>
              </w:rPr>
              <w:t>,-</w:t>
            </w:r>
            <w:r w:rsidR="004155DF" w:rsidRPr="003619F1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42A4B533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4F5491">
        <w:t xml:space="preserve">, </w:t>
      </w:r>
      <w:r w:rsidRPr="00080606">
        <w:t xml:space="preserve">cenu zaškolení </w:t>
      </w:r>
      <w:r w:rsidR="004F5491">
        <w:t>obslužného personálu kupujícího a záruční servis.</w:t>
      </w:r>
    </w:p>
    <w:p w14:paraId="5842A366" w14:textId="777777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B9D8FA" w14:textId="77777777" w:rsidR="00BF1D89" w:rsidRPr="00AC2D8B" w:rsidRDefault="00BF1D89" w:rsidP="00BF1D89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>
      <w:pPr>
        <w:pStyle w:val="Nadpis1"/>
        <w:rPr>
          <w:bCs/>
          <w:szCs w:val="24"/>
        </w:rPr>
      </w:pPr>
    </w:p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Pr="007820B1" w:rsidRDefault="00BD4E5C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62D2F5FB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BF1D89" w:rsidRPr="001B434F">
        <w:rPr>
          <w:rFonts w:ascii="Garamond" w:hAnsi="Garamond"/>
          <w:sz w:val="24"/>
          <w:szCs w:val="24"/>
        </w:rPr>
        <w:t xml:space="preserve">Nemocnice Šternberk - </w:t>
      </w:r>
      <w:proofErr w:type="spellStart"/>
      <w:r w:rsidR="00BF1D89" w:rsidRPr="001B434F">
        <w:rPr>
          <w:rFonts w:ascii="Garamond" w:hAnsi="Garamond"/>
          <w:bCs/>
          <w:sz w:val="24"/>
          <w:szCs w:val="24"/>
        </w:rPr>
        <w:t>Jívavská</w:t>
      </w:r>
      <w:proofErr w:type="spellEnd"/>
      <w:r w:rsidR="00BF1D89" w:rsidRPr="001B434F">
        <w:rPr>
          <w:rFonts w:ascii="Garamond" w:hAnsi="Garamond"/>
          <w:bCs/>
          <w:sz w:val="24"/>
          <w:szCs w:val="24"/>
        </w:rPr>
        <w:t xml:space="preserve"> 20, 785 01 Šternberk.</w:t>
      </w:r>
    </w:p>
    <w:p w14:paraId="729D6EC2" w14:textId="029CB8B2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9A4A04">
        <w:rPr>
          <w:rFonts w:ascii="Garamond" w:hAnsi="Garamond"/>
          <w:sz w:val="24"/>
          <w:szCs w:val="24"/>
        </w:rPr>
        <w:t>6 týdnů</w:t>
      </w:r>
      <w:r w:rsidR="00A73CC5">
        <w:rPr>
          <w:rFonts w:ascii="Garamond" w:hAnsi="Garamond"/>
          <w:sz w:val="24"/>
          <w:szCs w:val="24"/>
        </w:rPr>
        <w:t xml:space="preserve"> od podpisu smlouvy.</w:t>
      </w:r>
      <w:r w:rsidR="0055086D">
        <w:tab/>
      </w: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8554F37" w:rsidR="00BD4E5C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9A4A0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</w:t>
      </w:r>
      <w:r w:rsidRPr="00E72AED">
        <w:lastRenderedPageBreak/>
        <w:t>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5EC9F9BC" w14:textId="2250F21B" w:rsidR="003346D8" w:rsidRPr="0055086D" w:rsidRDefault="00002783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3619F1">
        <w:t xml:space="preserve"> </w:t>
      </w:r>
      <w:proofErr w:type="spellStart"/>
      <w:r w:rsidR="008629AC">
        <w:t>xxxxxxxxxxxxxxxxxxxxx</w:t>
      </w:r>
      <w:proofErr w:type="spellEnd"/>
    </w:p>
    <w:p w14:paraId="057E93CB" w14:textId="31F1DB03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9A4A04">
        <w:t>2</w:t>
      </w:r>
      <w:r w:rsidRPr="004D4D93">
        <w:t xml:space="preserve"> dnů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9A4A04">
        <w:t>7</w:t>
      </w:r>
      <w:r w:rsidRPr="004D4D93">
        <w:t xml:space="preserve"> kalendářních</w:t>
      </w:r>
      <w:r w:rsidRPr="00E72AED">
        <w:t xml:space="preserve"> dnů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Pr="00E72AED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1742E75F" w14:textId="77777777" w:rsidR="00BF1D89" w:rsidRDefault="00BF1D89" w:rsidP="00BF1D89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CB2DA3C" w14:textId="77777777" w:rsidR="00BF1D89" w:rsidRPr="00AA38DE" w:rsidRDefault="00BF1D89" w:rsidP="00BF1D89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D820E90" w:rsidR="00C90296" w:rsidRPr="00DF7E20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DF7E20" w:rsidRPr="00DF7E20">
        <w:rPr>
          <w:rFonts w:ascii="Garamond" w:hAnsi="Garamond"/>
          <w:sz w:val="24"/>
          <w:szCs w:val="24"/>
        </w:rPr>
        <w:t xml:space="preserve">Ing. Attila </w:t>
      </w:r>
      <w:proofErr w:type="spellStart"/>
      <w:r w:rsidR="00DF7E20" w:rsidRPr="00DF7E20">
        <w:rPr>
          <w:rFonts w:ascii="Garamond" w:hAnsi="Garamond"/>
          <w:sz w:val="24"/>
          <w:szCs w:val="24"/>
        </w:rPr>
        <w:t>Kürti</w:t>
      </w:r>
      <w:proofErr w:type="spellEnd"/>
    </w:p>
    <w:p w14:paraId="5A83BF8B" w14:textId="184AFDE1" w:rsidR="00C90296" w:rsidRPr="00DF7E20" w:rsidRDefault="00DF7E20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F7E20">
        <w:rPr>
          <w:rFonts w:ascii="Garamond" w:hAnsi="Garamond"/>
          <w:sz w:val="24"/>
          <w:szCs w:val="24"/>
        </w:rPr>
        <w:t xml:space="preserve">Tel. </w:t>
      </w:r>
      <w:proofErr w:type="spellStart"/>
      <w:r w:rsidR="008629AC">
        <w:rPr>
          <w:rFonts w:ascii="Garamond" w:hAnsi="Garamond"/>
          <w:sz w:val="24"/>
          <w:szCs w:val="24"/>
        </w:rPr>
        <w:t>xxxxxxxxxxxxxxxx</w:t>
      </w:r>
      <w:proofErr w:type="spellEnd"/>
      <w:r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8629AC">
        <w:t>xxxxxxxxxxxxxxxxxxxxx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5807437D" w:rsidR="00C90296" w:rsidRDefault="008629AC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</w:t>
      </w:r>
      <w:proofErr w:type="spellStart"/>
      <w:r w:rsidR="00C90296">
        <w:rPr>
          <w:rFonts w:ascii="Garamond" w:hAnsi="Garamond"/>
          <w:sz w:val="24"/>
          <w:szCs w:val="24"/>
        </w:rPr>
        <w:t>kraje,a.s</w:t>
      </w:r>
      <w:proofErr w:type="spellEnd"/>
      <w:r w:rsidR="00C90296">
        <w:rPr>
          <w:rFonts w:ascii="Garamond" w:hAnsi="Garamond"/>
          <w:sz w:val="24"/>
          <w:szCs w:val="24"/>
        </w:rPr>
        <w:t>.,</w:t>
      </w:r>
    </w:p>
    <w:p w14:paraId="7CAED692" w14:textId="590EB6F2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8629AC">
        <w:rPr>
          <w:rFonts w:ascii="Garamond" w:hAnsi="Garamond"/>
          <w:sz w:val="24"/>
          <w:szCs w:val="24"/>
        </w:rPr>
        <w:t>xxxxxxxxxxxxxxxxxx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8629AC">
        <w:t>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384F586E" w14:textId="6C24092B" w:rsidR="00BF1D89" w:rsidRDefault="008629AC" w:rsidP="00BF1D89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BF1D89">
        <w:t xml:space="preserve"> hlavní správce Středomoravská nemocniční a.s.,</w:t>
      </w:r>
    </w:p>
    <w:p w14:paraId="57004A0D" w14:textId="2FD7D6D6" w:rsidR="00BF1D89" w:rsidRDefault="00BF1D89" w:rsidP="00BF1D89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8629AC">
        <w:t>xxxxxxxxxxxxxxxxx</w:t>
      </w:r>
      <w:proofErr w:type="spellEnd"/>
      <w:r>
        <w:t xml:space="preserve">, fax </w:t>
      </w:r>
      <w:proofErr w:type="spellStart"/>
      <w:r w:rsidR="008629AC">
        <w:t>xxxxxxxxxxxxxxxxxxx</w:t>
      </w:r>
      <w:proofErr w:type="spellEnd"/>
      <w:r>
        <w:t xml:space="preserve">, email: </w:t>
      </w:r>
      <w:hyperlink r:id="rId8" w:history="1">
        <w:proofErr w:type="spellStart"/>
        <w:r w:rsidR="008629AC">
          <w:rPr>
            <w:rStyle w:val="Hypertextovodkaz"/>
          </w:rPr>
          <w:t>xxxxxxxxxxxxxxxxxxxxxxxxxx</w:t>
        </w:r>
        <w:proofErr w:type="spellEnd"/>
      </w:hyperlink>
    </w:p>
    <w:p w14:paraId="5CFC3F0D" w14:textId="3A4D089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</w:p>
    <w:p w14:paraId="61B44D4C" w14:textId="77777777" w:rsidR="00BF1D89" w:rsidRPr="00AC2D8B" w:rsidRDefault="00BF1D89" w:rsidP="00BF1D89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Pr="00AC2D8B">
        <w:rPr>
          <w:rFonts w:ascii="Garamond" w:hAnsi="Garamond"/>
          <w:sz w:val="24"/>
          <w:szCs w:val="24"/>
          <w:u w:val="single"/>
        </w:rPr>
        <w:t xml:space="preserve">Toto uveřejnění zajistí kupující.  </w:t>
      </w:r>
    </w:p>
    <w:p w14:paraId="62D610E4" w14:textId="77777777" w:rsidR="00573F0E" w:rsidRPr="00E72AED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lastRenderedPageBreak/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45B66A6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9A4A04">
        <w:rPr>
          <w:rFonts w:ascii="Garamond" w:hAnsi="Garamond"/>
          <w:sz w:val="24"/>
          <w:szCs w:val="24"/>
        </w:rPr>
        <w:t>: č.1 Specifikace předmětu smlouvy -Cenová nabídka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6A5479C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9A4A04">
        <w:rPr>
          <w:bCs/>
        </w:rPr>
        <w:t>Brně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8629AC">
        <w:rPr>
          <w:bCs/>
        </w:rPr>
        <w:t>30. 1. 2018</w:t>
      </w:r>
    </w:p>
    <w:p w14:paraId="5BB6A0B4" w14:textId="77777777" w:rsidR="009A4A04" w:rsidRDefault="009A4A04" w:rsidP="00F46576">
      <w:pPr>
        <w:spacing w:before="120"/>
        <w:jc w:val="both"/>
        <w:rPr>
          <w:bCs/>
        </w:rPr>
      </w:pPr>
    </w:p>
    <w:p w14:paraId="083FFF12" w14:textId="77777777" w:rsidR="009A4A04" w:rsidRPr="00BD277B" w:rsidRDefault="009A4A04" w:rsidP="00F46576">
      <w:pPr>
        <w:spacing w:before="120"/>
        <w:jc w:val="both"/>
        <w:rPr>
          <w:bCs/>
        </w:rPr>
      </w:pPr>
    </w:p>
    <w:p w14:paraId="5B6A295D" w14:textId="6BF972D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9A4A04">
        <w:rPr>
          <w:bCs/>
        </w:rPr>
        <w:t>………………………………………</w:t>
      </w:r>
    </w:p>
    <w:p w14:paraId="7DE57B6F" w14:textId="27F9EDD8" w:rsidR="00F46576" w:rsidRDefault="009A4A04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Ing. Attila </w:t>
      </w:r>
      <w:proofErr w:type="spellStart"/>
      <w:r>
        <w:rPr>
          <w:bCs/>
        </w:rPr>
        <w:t>Kürti</w:t>
      </w:r>
      <w:proofErr w:type="spellEnd"/>
    </w:p>
    <w:p w14:paraId="3A264A1E" w14:textId="227B0166" w:rsidR="009A4A04" w:rsidRPr="00BD277B" w:rsidRDefault="009A4A04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jednatel</w:t>
      </w:r>
    </w:p>
    <w:p w14:paraId="417D9438" w14:textId="77777777" w:rsidR="009A4A04" w:rsidRDefault="009A4A04" w:rsidP="00F46576">
      <w:pPr>
        <w:spacing w:before="120"/>
        <w:jc w:val="both"/>
        <w:rPr>
          <w:bCs/>
        </w:rPr>
      </w:pPr>
    </w:p>
    <w:p w14:paraId="09ABFEBD" w14:textId="77777777" w:rsidR="009A4A04" w:rsidRDefault="009A4A04" w:rsidP="00F46576">
      <w:pPr>
        <w:spacing w:before="120"/>
        <w:jc w:val="both"/>
        <w:rPr>
          <w:bCs/>
        </w:rPr>
      </w:pPr>
    </w:p>
    <w:p w14:paraId="26585CB2" w14:textId="77777777" w:rsidR="009A4A04" w:rsidRDefault="009A4A04" w:rsidP="00F46576">
      <w:pPr>
        <w:spacing w:before="120"/>
        <w:jc w:val="both"/>
        <w:rPr>
          <w:bCs/>
        </w:rPr>
      </w:pPr>
    </w:p>
    <w:p w14:paraId="67BD4396" w14:textId="45CFD4A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8629AC">
        <w:rPr>
          <w:bCs/>
        </w:rPr>
        <w:t>5. 2. 2018</w:t>
      </w: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Default="00A21C3B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p w14:paraId="63F176AD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4162B5C5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2E42821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5E41A23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ACB6146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75F7984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74C55EEE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2D7CBD4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BB373E2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6E718635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143688AE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0B264492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562141D8" w14:textId="77777777" w:rsidR="009A4A04" w:rsidRDefault="009A4A04" w:rsidP="005A7BE3">
      <w:pPr>
        <w:pStyle w:val="Zkladntext"/>
        <w:spacing w:before="120"/>
        <w:rPr>
          <w:rFonts w:ascii="Garamond" w:hAnsi="Garamond"/>
          <w:sz w:val="24"/>
          <w:szCs w:val="24"/>
        </w:rPr>
      </w:pPr>
    </w:p>
    <w:p w14:paraId="3E1EBDC7" w14:textId="77777777" w:rsidR="006A4FB1" w:rsidRPr="006A4FB1" w:rsidRDefault="006A4FB1" w:rsidP="006A4FB1">
      <w:bookmarkStart w:id="2" w:name="_GoBack"/>
      <w:bookmarkEnd w:id="2"/>
    </w:p>
    <w:sectPr w:rsidR="006A4FB1" w:rsidRPr="006A4FB1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D9546" w14:textId="77777777" w:rsidR="00E90C5D" w:rsidRDefault="00E90C5D">
      <w:r>
        <w:separator/>
      </w:r>
    </w:p>
  </w:endnote>
  <w:endnote w:type="continuationSeparator" w:id="0">
    <w:p w14:paraId="4ABBE4E5" w14:textId="77777777" w:rsidR="00E90C5D" w:rsidRDefault="00E9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29AC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2EC08" w14:textId="77777777" w:rsidR="00E90C5D" w:rsidRDefault="00E90C5D">
      <w:r>
        <w:separator/>
      </w:r>
    </w:p>
  </w:footnote>
  <w:footnote w:type="continuationSeparator" w:id="0">
    <w:p w14:paraId="5EE57065" w14:textId="77777777" w:rsidR="00E90C5D" w:rsidRDefault="00E9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51DE"/>
    <w:rsid w:val="000A070B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A4F8A"/>
    <w:rsid w:val="001A694C"/>
    <w:rsid w:val="001C4225"/>
    <w:rsid w:val="001E42F5"/>
    <w:rsid w:val="002025E9"/>
    <w:rsid w:val="00203595"/>
    <w:rsid w:val="00221BF8"/>
    <w:rsid w:val="002465FC"/>
    <w:rsid w:val="00247269"/>
    <w:rsid w:val="00257188"/>
    <w:rsid w:val="00261D53"/>
    <w:rsid w:val="00267951"/>
    <w:rsid w:val="00281BA5"/>
    <w:rsid w:val="00283F2F"/>
    <w:rsid w:val="00297108"/>
    <w:rsid w:val="002A207D"/>
    <w:rsid w:val="002A494F"/>
    <w:rsid w:val="002B0563"/>
    <w:rsid w:val="002B5321"/>
    <w:rsid w:val="00311218"/>
    <w:rsid w:val="00314C5B"/>
    <w:rsid w:val="00327351"/>
    <w:rsid w:val="003346D8"/>
    <w:rsid w:val="003433D1"/>
    <w:rsid w:val="00357E84"/>
    <w:rsid w:val="003619F1"/>
    <w:rsid w:val="00372B83"/>
    <w:rsid w:val="00376D83"/>
    <w:rsid w:val="003C748A"/>
    <w:rsid w:val="003F29F5"/>
    <w:rsid w:val="003F62D2"/>
    <w:rsid w:val="004155DF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028A"/>
    <w:rsid w:val="004A61B4"/>
    <w:rsid w:val="004B0A56"/>
    <w:rsid w:val="004C5FEA"/>
    <w:rsid w:val="004D4D93"/>
    <w:rsid w:val="004F2D6C"/>
    <w:rsid w:val="004F5491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600BE9"/>
    <w:rsid w:val="00602CF9"/>
    <w:rsid w:val="006215ED"/>
    <w:rsid w:val="006464B4"/>
    <w:rsid w:val="00654967"/>
    <w:rsid w:val="00671E1A"/>
    <w:rsid w:val="00691AFE"/>
    <w:rsid w:val="006A4FB1"/>
    <w:rsid w:val="006B10C7"/>
    <w:rsid w:val="006B171C"/>
    <w:rsid w:val="006D2B5E"/>
    <w:rsid w:val="006E4048"/>
    <w:rsid w:val="006F7B38"/>
    <w:rsid w:val="007020D1"/>
    <w:rsid w:val="007409FA"/>
    <w:rsid w:val="00770DB4"/>
    <w:rsid w:val="007742FB"/>
    <w:rsid w:val="00774C27"/>
    <w:rsid w:val="00775C14"/>
    <w:rsid w:val="007820B1"/>
    <w:rsid w:val="00792335"/>
    <w:rsid w:val="007960A3"/>
    <w:rsid w:val="007B4DD6"/>
    <w:rsid w:val="007C33E9"/>
    <w:rsid w:val="007D118F"/>
    <w:rsid w:val="007D2817"/>
    <w:rsid w:val="007D4920"/>
    <w:rsid w:val="007D7A40"/>
    <w:rsid w:val="007E303C"/>
    <w:rsid w:val="0081654F"/>
    <w:rsid w:val="0082460C"/>
    <w:rsid w:val="00844669"/>
    <w:rsid w:val="00853E25"/>
    <w:rsid w:val="008629AC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622F2"/>
    <w:rsid w:val="00967C83"/>
    <w:rsid w:val="009711C3"/>
    <w:rsid w:val="00977685"/>
    <w:rsid w:val="00991B81"/>
    <w:rsid w:val="00991FE0"/>
    <w:rsid w:val="009A4A04"/>
    <w:rsid w:val="009A5B03"/>
    <w:rsid w:val="009C2DBA"/>
    <w:rsid w:val="009C7BF2"/>
    <w:rsid w:val="009D0D70"/>
    <w:rsid w:val="009D23C9"/>
    <w:rsid w:val="009E05E3"/>
    <w:rsid w:val="009E2B56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3477"/>
    <w:rsid w:val="00AD1F28"/>
    <w:rsid w:val="00B127DD"/>
    <w:rsid w:val="00B33EE9"/>
    <w:rsid w:val="00B44F75"/>
    <w:rsid w:val="00B532DB"/>
    <w:rsid w:val="00B604EE"/>
    <w:rsid w:val="00B715BD"/>
    <w:rsid w:val="00BC2960"/>
    <w:rsid w:val="00BD277B"/>
    <w:rsid w:val="00BD4E5C"/>
    <w:rsid w:val="00BE7967"/>
    <w:rsid w:val="00BF1D89"/>
    <w:rsid w:val="00C059C0"/>
    <w:rsid w:val="00C0745C"/>
    <w:rsid w:val="00C168F1"/>
    <w:rsid w:val="00C2673E"/>
    <w:rsid w:val="00C64FB4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C06B4"/>
    <w:rsid w:val="00DF7B82"/>
    <w:rsid w:val="00DF7BAB"/>
    <w:rsid w:val="00DF7E20"/>
    <w:rsid w:val="00E10682"/>
    <w:rsid w:val="00E30A83"/>
    <w:rsid w:val="00E34C94"/>
    <w:rsid w:val="00E5283D"/>
    <w:rsid w:val="00E57736"/>
    <w:rsid w:val="00E72AED"/>
    <w:rsid w:val="00E90C5D"/>
    <w:rsid w:val="00EA5719"/>
    <w:rsid w:val="00EA64D7"/>
    <w:rsid w:val="00EB6471"/>
    <w:rsid w:val="00ED5083"/>
    <w:rsid w:val="00F01BDF"/>
    <w:rsid w:val="00F0404F"/>
    <w:rsid w:val="00F12C6F"/>
    <w:rsid w:val="00F3250C"/>
    <w:rsid w:val="00F42689"/>
    <w:rsid w:val="00F46576"/>
    <w:rsid w:val="00F65A74"/>
    <w:rsid w:val="00F7077C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457F80EE-84F1-4DDD-AF4C-5A464D1A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A1DC-FF5B-45D1-B2A0-2609B42A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1245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2018-01-25T09:44:00Z</cp:lastPrinted>
  <dcterms:created xsi:type="dcterms:W3CDTF">2018-02-07T08:32:00Z</dcterms:created>
  <dcterms:modified xsi:type="dcterms:W3CDTF">2018-02-07T08:52:00Z</dcterms:modified>
</cp:coreProperties>
</file>