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F5A" w:rsidRDefault="00C00F5A" w:rsidP="00C00F5A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  <w:proofErr w:type="spellStart"/>
      <w:r>
        <w:rPr>
          <w:rFonts w:ascii="Calibri" w:hAnsi="Calibri" w:cs="Calibri"/>
          <w:sz w:val="22"/>
          <w:szCs w:val="22"/>
        </w:rPr>
        <w:t>Annex</w:t>
      </w:r>
      <w:proofErr w:type="spellEnd"/>
      <w:r>
        <w:rPr>
          <w:rFonts w:ascii="Calibri" w:hAnsi="Calibri" w:cs="Calibri"/>
          <w:sz w:val="22"/>
          <w:szCs w:val="22"/>
        </w:rPr>
        <w:t xml:space="preserve"> 1: Budget </w:t>
      </w:r>
      <w:proofErr w:type="spellStart"/>
      <w:r>
        <w:rPr>
          <w:rFonts w:ascii="Calibri" w:hAnsi="Calibri" w:cs="Calibri"/>
          <w:sz w:val="22"/>
          <w:szCs w:val="22"/>
        </w:rPr>
        <w:t>for</w:t>
      </w:r>
      <w:proofErr w:type="spellEnd"/>
      <w:r>
        <w:rPr>
          <w:rFonts w:ascii="Calibri" w:hAnsi="Calibri" w:cs="Calibri"/>
          <w:sz w:val="22"/>
          <w:szCs w:val="22"/>
        </w:rPr>
        <w:t xml:space="preserve"> 2018</w:t>
      </w:r>
    </w:p>
    <w:p w:rsidR="00C00F5A" w:rsidRDefault="00C00F5A" w:rsidP="00C00F5A">
      <w:pPr>
        <w:rPr>
          <w:rFonts w:ascii="Calibri" w:hAnsi="Calibri" w:cs="Calibri"/>
          <w:sz w:val="22"/>
          <w:szCs w:val="22"/>
        </w:rPr>
      </w:pPr>
    </w:p>
    <w:p w:rsidR="00C00F5A" w:rsidRPr="00C00F5A" w:rsidRDefault="00C00F5A" w:rsidP="00C00F5A">
      <w:pPr>
        <w:rPr>
          <w:rFonts w:ascii="Calibri" w:hAnsi="Calibri" w:cs="Calibri"/>
          <w:sz w:val="22"/>
          <w:szCs w:val="22"/>
        </w:rPr>
      </w:pPr>
      <w:r w:rsidRPr="00C00F5A">
        <w:rPr>
          <w:rFonts w:ascii="Calibri" w:hAnsi="Calibri" w:cs="Calibri"/>
          <w:sz w:val="22"/>
          <w:szCs w:val="22"/>
        </w:rPr>
        <w:t xml:space="preserve">1 </w:t>
      </w:r>
      <w:proofErr w:type="spellStart"/>
      <w:r w:rsidRPr="00C00F5A">
        <w:rPr>
          <w:rFonts w:ascii="Calibri" w:hAnsi="Calibri" w:cs="Calibri"/>
          <w:sz w:val="22"/>
          <w:szCs w:val="22"/>
        </w:rPr>
        <w:t>The</w:t>
      </w:r>
      <w:proofErr w:type="spellEnd"/>
      <w:r w:rsidRPr="00C00F5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00F5A">
        <w:rPr>
          <w:rFonts w:ascii="Calibri" w:hAnsi="Calibri" w:cs="Calibri"/>
          <w:sz w:val="22"/>
          <w:szCs w:val="22"/>
        </w:rPr>
        <w:t>preparatory</w:t>
      </w:r>
      <w:proofErr w:type="spellEnd"/>
      <w:r w:rsidRPr="00C00F5A">
        <w:rPr>
          <w:rFonts w:ascii="Calibri" w:hAnsi="Calibri" w:cs="Calibri"/>
          <w:sz w:val="22"/>
          <w:szCs w:val="22"/>
        </w:rPr>
        <w:t xml:space="preserve"> and </w:t>
      </w:r>
      <w:proofErr w:type="spellStart"/>
      <w:r w:rsidRPr="00C00F5A">
        <w:rPr>
          <w:rFonts w:ascii="Calibri" w:hAnsi="Calibri" w:cs="Calibri"/>
          <w:sz w:val="22"/>
          <w:szCs w:val="22"/>
        </w:rPr>
        <w:t>earthworks</w:t>
      </w:r>
      <w:proofErr w:type="spellEnd"/>
    </w:p>
    <w:tbl>
      <w:tblPr>
        <w:tblW w:w="9085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040"/>
        <w:gridCol w:w="874"/>
        <w:gridCol w:w="850"/>
        <w:gridCol w:w="1701"/>
      </w:tblGrid>
      <w:tr w:rsidR="00C00F5A" w:rsidRPr="00C00F5A" w:rsidTr="00C00F5A">
        <w:trPr>
          <w:trHeight w:val="256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0F5A" w:rsidRPr="00C00F5A" w:rsidRDefault="0090582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0F5A" w:rsidRPr="00C00F5A" w:rsidRDefault="00C00F5A">
            <w:pPr>
              <w:rPr>
                <w:rFonts w:ascii="Arial" w:hAnsi="Arial" w:cs="Arial"/>
                <w:sz w:val="22"/>
                <w:szCs w:val="22"/>
              </w:rPr>
            </w:pPr>
            <w:r w:rsidRPr="00C00F5A">
              <w:rPr>
                <w:rFonts w:ascii="Arial" w:hAnsi="Arial" w:cs="Arial"/>
                <w:sz w:val="22"/>
                <w:szCs w:val="22"/>
              </w:rPr>
              <w:t xml:space="preserve">Works on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excavation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ground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hot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water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well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water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plumbing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pipes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after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laying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fine-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grained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sand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only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then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soil.Asphalt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cutting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and re-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shrinking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after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passage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PE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pipe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which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water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flows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into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river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Bosna.At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point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passage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below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pavement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it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is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necessary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reinforce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layer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above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pipe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accordance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with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details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00F5A">
              <w:rPr>
                <w:rFonts w:ascii="Arial" w:hAnsi="Arial" w:cs="Arial"/>
                <w:sz w:val="22"/>
                <w:szCs w:val="22"/>
              </w:rPr>
              <w:t>the</w:t>
            </w:r>
            <w:proofErr w:type="spellEnd"/>
            <w:r w:rsidRPr="00C00F5A">
              <w:rPr>
                <w:rFonts w:ascii="Arial" w:hAnsi="Arial" w:cs="Arial"/>
                <w:sz w:val="22"/>
                <w:szCs w:val="22"/>
              </w:rPr>
              <w:t xml:space="preserve"> Project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0F5A" w:rsidRPr="00C00F5A" w:rsidRDefault="00C00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F5A">
              <w:rPr>
                <w:rFonts w:ascii="Arial" w:hAnsi="Arial" w:cs="Arial"/>
                <w:sz w:val="22"/>
                <w:szCs w:val="22"/>
              </w:rPr>
              <w:t>set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0F5A" w:rsidRPr="00C00F5A" w:rsidRDefault="00C00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00F5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0F5A" w:rsidRPr="00C00F5A" w:rsidRDefault="00C00F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00F5A">
              <w:rPr>
                <w:rFonts w:ascii="Arial" w:hAnsi="Arial" w:cs="Arial"/>
                <w:sz w:val="22"/>
                <w:szCs w:val="22"/>
              </w:rPr>
              <w:t>82 000,00 Kč</w:t>
            </w:r>
          </w:p>
        </w:tc>
      </w:tr>
    </w:tbl>
    <w:p w:rsidR="00C00F5A" w:rsidRPr="00C00F5A" w:rsidRDefault="00C00F5A" w:rsidP="00C00F5A">
      <w:pPr>
        <w:rPr>
          <w:rFonts w:ascii="Calibri" w:hAnsi="Calibri" w:cs="Calibri"/>
          <w:sz w:val="22"/>
          <w:szCs w:val="22"/>
        </w:rPr>
      </w:pPr>
    </w:p>
    <w:p w:rsidR="00C00F5A" w:rsidRPr="00C00F5A" w:rsidRDefault="0090582F" w:rsidP="00C00F5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proofErr w:type="spellStart"/>
      <w:r>
        <w:rPr>
          <w:rFonts w:ascii="Calibri" w:hAnsi="Calibri" w:cs="Calibri"/>
          <w:sz w:val="22"/>
          <w:szCs w:val="22"/>
        </w:rPr>
        <w:t>Other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works</w:t>
      </w:r>
      <w:proofErr w:type="spellEnd"/>
      <w:r w:rsidR="00C00F5A" w:rsidRPr="00C00F5A">
        <w:rPr>
          <w:rFonts w:ascii="Calibri" w:hAnsi="Calibri" w:cs="Calibri"/>
          <w:sz w:val="22"/>
          <w:szCs w:val="22"/>
        </w:rPr>
        <w:t>:</w:t>
      </w:r>
    </w:p>
    <w:tbl>
      <w:tblPr>
        <w:tblW w:w="9085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5040"/>
        <w:gridCol w:w="874"/>
        <w:gridCol w:w="850"/>
        <w:gridCol w:w="1701"/>
      </w:tblGrid>
      <w:tr w:rsidR="00C00F5A" w:rsidTr="00C00F5A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0F5A" w:rsidRDefault="00C00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0F5A" w:rsidRDefault="00C00F5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Training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of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operators</w:t>
            </w:r>
            <w:proofErr w:type="spellEnd"/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0F5A" w:rsidRDefault="00C00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L.S.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0F5A" w:rsidRDefault="00C00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0F5A" w:rsidRDefault="00C00F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20 000,00 Kč</w:t>
            </w:r>
          </w:p>
        </w:tc>
      </w:tr>
      <w:tr w:rsidR="00C00F5A" w:rsidTr="00C00F5A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0F5A" w:rsidRDefault="00C00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0F5A" w:rsidRDefault="00C00F5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release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conference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0F5A" w:rsidRDefault="00C00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0F5A" w:rsidRDefault="00C00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0F5A" w:rsidRDefault="00C00F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85 000,00 Kč</w:t>
            </w:r>
          </w:p>
        </w:tc>
      </w:tr>
      <w:tr w:rsidR="00C00F5A" w:rsidTr="00C00F5A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0F5A" w:rsidRDefault="00C00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0F5A" w:rsidRDefault="00C00F5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leaflets</w:t>
            </w:r>
            <w:proofErr w:type="spellEnd"/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0F5A" w:rsidRDefault="00C00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0F5A" w:rsidRDefault="00C00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0F5A" w:rsidRDefault="00C00F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25 000,00 Kč</w:t>
            </w:r>
          </w:p>
        </w:tc>
      </w:tr>
      <w:tr w:rsidR="00C00F5A" w:rsidTr="00C00F5A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0F5A" w:rsidRDefault="00C00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0F5A" w:rsidRDefault="00C00F5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panel &gt;60x60cm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0F5A" w:rsidRDefault="00C00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pcs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0F5A" w:rsidRDefault="00C00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0F5A" w:rsidRDefault="00C00F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5 000,00 Kč</w:t>
            </w:r>
          </w:p>
        </w:tc>
      </w:tr>
      <w:tr w:rsidR="00C00F5A" w:rsidTr="00C00F5A">
        <w:trPr>
          <w:trHeight w:val="30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0F5A" w:rsidRDefault="00C00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00F5A" w:rsidRDefault="00C00F5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Information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panel &gt;100x100cm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0F5A" w:rsidRDefault="00C00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pcs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0F5A" w:rsidRDefault="00C00F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0F5A" w:rsidRDefault="00C00F5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7 500,00 Kč</w:t>
            </w:r>
          </w:p>
        </w:tc>
      </w:tr>
    </w:tbl>
    <w:p w:rsidR="00355963" w:rsidRDefault="00355963"/>
    <w:p w:rsidR="00C00F5A" w:rsidRPr="00C00F5A" w:rsidRDefault="00C00F5A" w:rsidP="00C00F5A">
      <w:pPr>
        <w:jc w:val="right"/>
        <w:rPr>
          <w:rFonts w:ascii="Arial" w:hAnsi="Arial" w:cs="Arial"/>
          <w:sz w:val="22"/>
          <w:szCs w:val="22"/>
        </w:rPr>
      </w:pPr>
      <w:r w:rsidRPr="00C00F5A">
        <w:rPr>
          <w:rFonts w:ascii="Arial" w:hAnsi="Arial" w:cs="Arial"/>
          <w:sz w:val="22"/>
          <w:szCs w:val="22"/>
        </w:rPr>
        <w:t>TOTAL: 224 500,- Kč</w:t>
      </w:r>
    </w:p>
    <w:sectPr w:rsidR="00C00F5A" w:rsidRPr="00C00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B4"/>
    <w:rsid w:val="00326C00"/>
    <w:rsid w:val="00355963"/>
    <w:rsid w:val="004B3CB4"/>
    <w:rsid w:val="0090582F"/>
    <w:rsid w:val="00C0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4E9C3-2A23-4F50-BA0D-E35DB3D75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F5A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Santrucek Stepan</dc:creator>
  <cp:keywords/>
  <dc:description/>
  <cp:lastModifiedBy>Hajciarova Daniela</cp:lastModifiedBy>
  <cp:revision>2</cp:revision>
  <dcterms:created xsi:type="dcterms:W3CDTF">2018-02-07T10:40:00Z</dcterms:created>
  <dcterms:modified xsi:type="dcterms:W3CDTF">2018-02-07T10:40:00Z</dcterms:modified>
</cp:coreProperties>
</file>