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5581"/>
        <w:gridCol w:w="4759"/>
      </w:tblGrid>
      <w:tr>
        <w:trPr>
          <w:trHeight w:val="1238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581" w:type="auto"/>
            <w:textDirection w:val="lrTb"/>
            <w:vAlign w:val="top"/>
          </w:tcPr>
          <w:p>
            <w:pPr>
              <w:ind w:right="4429" w:left="0" w:firstLine="0"/>
              <w:spacing w:before="0" w:after="0" w:line="396" w:lineRule="exact"/>
              <w:jc w:val="right"/>
              <w:rPr>
                <w:b w:val="true"/>
                <w:color w:val="#4B6B9D"/>
                <w:sz w:val="48"/>
                <w:lang w:val="cs-CZ"/>
                <w:spacing w:val="-236"/>
                <w:w w:val="3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4B6B9D"/>
                <w:sz w:val="48"/>
                <w:lang w:val="cs-CZ"/>
                <w:spacing w:val="-236"/>
                <w:w w:val="300"/>
                <w:strike w:val="false"/>
                <w:vertAlign w:val="baseline"/>
                <w:rFonts w:ascii="Arial" w:hAnsi="Arial"/>
              </w:rPr>
              <w:t xml:space="preserve">i..</w:t>
            </w:r>
          </w:p>
          <w:p>
            <w:pPr>
              <w:ind w:right="0" w:left="0" w:firstLine="0"/>
              <w:spacing w:before="900" w:after="0" w:line="37" w:lineRule="exact"/>
              <w:jc w:val="center"/>
              <w:rPr>
                <w:b w:val="true"/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č ES KOMORAVSKÁ
</w:t>
              <w:br/>
            </w:r>
            <w:r>
              <w:rPr>
                <w:b w:val="true"/>
                <w:color w:val="#000000"/>
                <w:sz w:val="10"/>
                <w:lang w:val="cs-CZ"/>
                <w:spacing w:val="6"/>
                <w:w w:val="100"/>
                <w:strike w:val="false"/>
                <w:vertAlign w:val="baseline"/>
                <w:rFonts w:ascii="Tahoma" w:hAnsi="Tahoma"/>
              </w:rPr>
              <w:t xml:space="preserve">KOMODITNÍ BURZA KLADNO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340" w:type="auto"/>
            <w:textDirection w:val="lrTb"/>
            <w:vAlign w:val="top"/>
          </w:tcPr>
          <w:p>
            <w:pPr>
              <w:ind w:right="1898" w:left="0" w:firstLine="0"/>
              <w:spacing w:before="0" w:after="0" w:line="118" w:lineRule="exact"/>
              <w:jc w:val="right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„</w:t>
            </w:r>
          </w:p>
          <w:p>
            <w:pPr>
              <w:ind w:right="8" w:left="0" w:firstLine="0"/>
              <w:spacing w:before="0" w:after="0" w:line="263" w:lineRule="exact"/>
              <w:jc w:val="right"/>
              <w:rPr>
                <w:color w:val="#000000"/>
                <w:sz w:val="23"/>
                <w:lang w:val="cs-CZ"/>
                <w:spacing w:val="120"/>
                <w:w w:val="75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3"/>
                <w:lang w:val="cs-CZ"/>
                <w:spacing w:val="120"/>
                <w:w w:val="75"/>
                <w:strike w:val="false"/>
                <w:vertAlign w:val="baseline"/>
                <w:rFonts w:ascii="Arial" w:hAnsi="Arial"/>
              </w:rPr>
              <w:t xml:space="preserve">7,Q ,</w:t>
            </w:r>
            <w:r>
              <w:rPr>
                <w:color w:val="#000000"/>
                <w:sz w:val="38"/>
                <w:lang w:val="cs-CZ"/>
                <w:spacing w:val="120"/>
                <w:w w:val="150"/>
                <w:strike w:val="false"/>
                <w:vertAlign w:val="baseline"/>
                <w:rFonts w:ascii="Arial" w:hAnsi="Arial"/>
              </w:rPr>
              <w:t xml:space="preserve">ť</w:t>
            </w:r>
          </w:p>
          <w:p>
            <w:pPr>
              <w:ind w:right="8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•</w:t>
            </w:r>
          </w:p>
          <w:p>
            <w:pPr>
              <w:ind w:right="8" w:left="0" w:firstLine="0"/>
              <w:spacing w:before="0" w:after="0" w:line="240" w:lineRule="auto"/>
              <w:jc w:val="right"/>
              <w:rPr>
                <w:color w:val="#000000"/>
                <w:sz w:val="35"/>
                <w:lang w:val="cs-CZ"/>
                <w:spacing w:val="-68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35"/>
                <w:lang w:val="cs-CZ"/>
                <w:spacing w:val="-68"/>
                <w:w w:val="100"/>
                <w:strike w:val="false"/>
                <w:vertAlign w:val="baseline"/>
                <w:rFonts w:ascii="Tahoma" w:hAnsi="Tahoma"/>
              </w:rPr>
              <w:t xml:space="preserve">2</w:t>
            </w:r>
            <w:r>
              <w:rPr>
                <w:color w:val="#000000"/>
                <w:sz w:val="35"/>
                <w:lang w:val="cs-CZ"/>
                <w:spacing w:val="-68"/>
                <w:w w:val="100"/>
                <w:strike w:val="false"/>
                <w:vertAlign w:val="baseline"/>
                <w:rFonts w:ascii="Tahoma" w:hAnsi="Tahoma"/>
              </w:rPr>
              <w:t xml:space="preserve">ŮIJ</w:t>
            </w:r>
          </w:p>
        </w:tc>
      </w:tr>
    </w:tbl>
    <w:p>
      <w:pPr>
        <w:spacing w:before="0" w:after="196" w:line="20" w:lineRule="exact"/>
      </w:pPr>
    </w:p>
    <w:p>
      <w:pPr>
        <w:ind w:right="0" w:left="1872" w:firstLine="0"/>
        <w:spacing w:before="0" w:after="0" w:line="240" w:lineRule="auto"/>
        <w:jc w:val="left"/>
        <w:rPr>
          <w:b w:val="true"/>
          <w:color w:val="#000000"/>
          <w:sz w:val="30"/>
          <w:lang w:val="cs-CZ"/>
          <w:spacing w:val="0"/>
          <w:w w:val="100"/>
          <w:strike w:val="false"/>
          <w:u w:val="single"/>
          <w:vertAlign w:val="baseline"/>
          <w:rFonts w:ascii="Arial" w:hAnsi="Arial"/>
        </w:rPr>
      </w:pPr>
      <w:r>
        <w:rPr>
          <w:b w:val="true"/>
          <w:color w:val="#000000"/>
          <w:sz w:val="30"/>
          <w:lang w:val="cs-CZ"/>
          <w:spacing w:val="0"/>
          <w:w w:val="100"/>
          <w:strike w:val="false"/>
          <w:u w:val="single"/>
          <w:vertAlign w:val="baseline"/>
          <w:rFonts w:ascii="Arial" w:hAnsi="Arial"/>
        </w:rPr>
        <w:t xml:space="preserve">Záv</w:t>
      </w:r>
      <w:r>
        <w:rPr>
          <w:b w:val="true"/>
          <w:color w:val="#000000"/>
          <w:sz w:val="30"/>
          <w:lang w:val="cs-CZ"/>
          <w:spacing w:val="0"/>
          <w:w w:val="100"/>
          <w:strike w:val="false"/>
          <w:u w:val="single"/>
          <w:vertAlign w:val="baseline"/>
          <w:rFonts w:ascii="Arial" w:hAnsi="Arial"/>
        </w:rPr>
        <w:t xml:space="preserve">ěrkový list č. EL-20171003-937-99 </w:t>
      </w:r>
    </w:p>
    <w:p>
      <w:pPr>
        <w:ind w:right="1080" w:left="0" w:firstLine="792"/>
        <w:spacing w:before="36" w:after="0" w:line="480" w:lineRule="auto"/>
        <w:jc w:val="left"/>
        <w:tabs>
          <w:tab w:val="right" w:leader="none" w:pos="9252"/>
        </w:tabs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(pro burzovní obchody se silovou elekt</w:t>
        <w:br/>
      </w: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řinou v rámci sdružených služeb dodávky elektřiny)
</w:t>
        <w:br/>
      </w:r>
      <w:r>
        <w:rPr>
          <w:color w:val="#000000"/>
          <w:sz w:val="19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Číslo aukce: 937	</w:t>
      </w: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Datum konání burzovního shromáždění: 3. října 2017</w:t>
      </w:r>
    </w:p>
    <w:p>
      <w:pPr>
        <w:ind w:right="0" w:left="0" w:firstLine="0"/>
        <w:spacing w:before="180" w:after="0" w:line="240" w:lineRule="auto"/>
        <w:jc w:val="left"/>
        <w:tabs>
          <w:tab w:val="right" w:leader="none" w:pos="5940"/>
        </w:tabs>
        <w:rPr>
          <w:b w:val="true"/>
          <w:color w:val="#000000"/>
          <w:sz w:val="18"/>
          <w:lang w:val="cs-CZ"/>
          <w:spacing w:val="-6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8"/>
          <w:lang w:val="cs-CZ"/>
          <w:spacing w:val="-6"/>
          <w:w w:val="100"/>
          <w:strike w:val="false"/>
          <w:vertAlign w:val="baseline"/>
          <w:rFonts w:ascii="Tahoma" w:hAnsi="Tahoma"/>
        </w:rPr>
        <w:t xml:space="preserve">Dodavatel (prodávající):	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Pražská plynárenská, a. s.</w:t>
      </w:r>
    </w:p>
    <w:p>
      <w:pPr>
        <w:ind w:right="0" w:left="0" w:firstLine="0"/>
        <w:spacing w:before="180" w:after="0" w:line="240" w:lineRule="auto"/>
        <w:jc w:val="left"/>
        <w:tabs>
          <w:tab w:val="right" w:leader="none" w:pos="9029"/>
        </w:tabs>
        <w:rPr>
          <w:color w:val="#000000"/>
          <w:sz w:val="19"/>
          <w:lang w:val="cs-CZ"/>
          <w:spacing w:val="-6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Zapsán v:	</w:t>
      </w: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OR vedeném M</w:t>
      </w: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ěstským soudem v Praze, oddíl B, vložka 2337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7257"/>
        </w:tabs>
        <w:rPr>
          <w:color w:val="#000000"/>
          <w:sz w:val="19"/>
          <w:lang w:val="cs-CZ"/>
          <w:spacing w:val="-1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-12"/>
          <w:w w:val="100"/>
          <w:strike w:val="false"/>
          <w:vertAlign w:val="baseline"/>
          <w:rFonts w:ascii="Arial" w:hAnsi="Arial"/>
        </w:rPr>
        <w:t xml:space="preserve">Sídlo:	</w:t>
      </w: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Národní 37, 110 00 Praha 1 - Nové M</w:t>
      </w: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ěsto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5241"/>
        </w:tabs>
        <w:rPr>
          <w:color w:val="#000000"/>
          <w:sz w:val="19"/>
          <w:lang w:val="cs-CZ"/>
          <w:spacing w:val="-1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I</w:t>
      </w:r>
      <w:r>
        <w:rPr>
          <w:color w:val="#000000"/>
          <w:sz w:val="19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ČO: 60193492	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DIČ: CZ60193492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5508"/>
        </w:tabs>
        <w:rPr>
          <w:color w:val="#000000"/>
          <w:sz w:val="19"/>
          <w:lang w:val="cs-CZ"/>
          <w:spacing w:val="-6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Bankovní spojení:	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43-7801160217/0100</w:t>
      </w:r>
    </w:p>
    <w:p>
      <w:pPr>
        <w:ind w:right="0" w:left="0" w:firstLine="0"/>
        <w:spacing w:before="0" w:after="0" w:line="240" w:lineRule="auto"/>
        <w:jc w:val="left"/>
        <w:rPr>
          <w:b w:val="true"/>
          <w:color w:val="#000000"/>
          <w:sz w:val="18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8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Zastoupen: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5832"/>
        </w:tabs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Jméno a p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říjmení makléře:	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Ing. Kateřina Tabačárová</w:t>
      </w:r>
    </w:p>
    <w:p>
      <w:pPr>
        <w:ind w:right="0" w:left="0" w:firstLine="0"/>
        <w:spacing w:before="36" w:after="0" w:line="206" w:lineRule="auto"/>
        <w:jc w:val="left"/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Eviden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ční číslo makléře:</w:t>
      </w:r>
    </w:p>
    <w:p>
      <w:pPr>
        <w:ind w:right="0" w:left="3672" w:firstLine="0"/>
        <w:spacing w:before="36" w:after="0" w:line="199" w:lineRule="auto"/>
        <w:jc w:val="left"/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41015</w:t>
      </w:r>
    </w:p>
    <w:p>
      <w:pPr>
        <w:ind w:right="0" w:left="0" w:firstLine="0"/>
        <w:spacing w:before="216" w:after="0" w:line="266" w:lineRule="auto"/>
        <w:jc w:val="left"/>
        <w:tabs>
          <w:tab w:val="right" w:leader="none" w:pos="8453"/>
        </w:tabs>
        <w:rPr>
          <w:b w:val="true"/>
          <w:color w:val="#000000"/>
          <w:sz w:val="18"/>
          <w:lang w:val="cs-CZ"/>
          <w:spacing w:val="-8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8"/>
          <w:lang w:val="cs-CZ"/>
          <w:spacing w:val="-8"/>
          <w:w w:val="100"/>
          <w:strike w:val="false"/>
          <w:vertAlign w:val="baseline"/>
          <w:rFonts w:ascii="Tahoma" w:hAnsi="Tahoma"/>
        </w:rPr>
        <w:t xml:space="preserve">Odb</w:t>
      </w:r>
      <w:r>
        <w:rPr>
          <w:b w:val="true"/>
          <w:color w:val="#000000"/>
          <w:sz w:val="18"/>
          <w:lang w:val="cs-CZ"/>
          <w:spacing w:val="-8"/>
          <w:w w:val="100"/>
          <w:strike w:val="false"/>
          <w:vertAlign w:val="baseline"/>
          <w:rFonts w:ascii="Tahoma" w:hAnsi="Tahoma"/>
        </w:rPr>
        <w:t xml:space="preserve">ěratel (kupující):	</w:t>
      </w: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Dětský domov a Školní jídelna, Hranice, Purgešova 847</w:t>
      </w:r>
    </w:p>
    <w:p>
      <w:pPr>
        <w:ind w:right="0" w:left="0" w:firstLine="0"/>
        <w:spacing w:before="216" w:after="0" w:line="285" w:lineRule="auto"/>
        <w:jc w:val="left"/>
        <w:tabs>
          <w:tab w:val="right" w:leader="none" w:pos="6969"/>
        </w:tabs>
        <w:rPr>
          <w:color w:val="#000000"/>
          <w:sz w:val="19"/>
          <w:lang w:val="cs-CZ"/>
          <w:spacing w:val="-6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Zapsán v:	</w:t>
      </w: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Registru ekonomických subjekt</w:t>
      </w: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ů, ČSÚ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6357"/>
        </w:tabs>
        <w:rPr>
          <w:color w:val="#000000"/>
          <w:sz w:val="19"/>
          <w:lang w:val="cs-CZ"/>
          <w:spacing w:val="-1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Sídlo:	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Purgešova 847, 75301 Hranice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4241"/>
        </w:tabs>
        <w:rPr>
          <w:color w:val="#000000"/>
          <w:sz w:val="19"/>
          <w:lang w:val="cs-CZ"/>
          <w:spacing w:val="-8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I</w:t>
      </w:r>
      <w:r>
        <w:rPr>
          <w:color w:val="#000000"/>
          <w:sz w:val="19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ČO: 62350277	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UČ: x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5954"/>
        </w:tabs>
        <w:rPr>
          <w:color w:val="#000000"/>
          <w:sz w:val="19"/>
          <w:lang w:val="cs-CZ"/>
          <w:spacing w:val="-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Bankovní spojení:	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19 - 42 87 55 02 77 / 0100</w:t>
      </w:r>
    </w:p>
    <w:p>
      <w:pPr>
        <w:ind w:right="0" w:left="0" w:firstLine="0"/>
        <w:spacing w:before="36" w:after="0" w:line="240" w:lineRule="auto"/>
        <w:jc w:val="left"/>
        <w:rPr>
          <w:b w:val="true"/>
          <w:color w:val="#000000"/>
          <w:sz w:val="18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8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Zastoupen: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5090"/>
        </w:tabs>
        <w:rPr>
          <w:color w:val="#000000"/>
          <w:sz w:val="19"/>
          <w:lang w:val="cs-CZ"/>
          <w:spacing w:val="-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Jméno a p</w:t>
      </w:r>
      <w:r>
        <w:rPr>
          <w:color w:val="#000000"/>
          <w:sz w:val="19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říjmení makléře:	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Bc. Iva Kupcová</w:t>
      </w:r>
    </w:p>
    <w:p>
      <w:pPr>
        <w:ind w:right="0" w:left="0" w:firstLine="0"/>
        <w:spacing w:before="36" w:after="0" w:line="208" w:lineRule="auto"/>
        <w:jc w:val="left"/>
        <w:tabs>
          <w:tab w:val="right" w:leader="none" w:pos="4233"/>
        </w:tabs>
        <w:rPr>
          <w:color w:val="#000000"/>
          <w:sz w:val="19"/>
          <w:lang w:val="cs-CZ"/>
          <w:spacing w:val="-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Eviden</w:t>
      </w:r>
      <w:r>
        <w:rPr>
          <w:color w:val="#000000"/>
          <w:sz w:val="19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ční číslo makléře:	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41042</w:t>
      </w:r>
    </w:p>
    <w:p>
      <w:pPr>
        <w:ind w:right="0" w:left="0" w:firstLine="0"/>
        <w:spacing w:before="252" w:after="0" w:line="240" w:lineRule="auto"/>
        <w:jc w:val="left"/>
        <w:tabs>
          <w:tab w:val="right" w:leader="none" w:pos="8676"/>
        </w:tabs>
        <w:rPr>
          <w:b w:val="true"/>
          <w:color w:val="#000000"/>
          <w:sz w:val="18"/>
          <w:lang w:val="cs-CZ"/>
          <w:spacing w:val="-8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8"/>
          <w:lang w:val="cs-CZ"/>
          <w:spacing w:val="-8"/>
          <w:w w:val="100"/>
          <w:strike w:val="false"/>
          <w:vertAlign w:val="baseline"/>
          <w:rFonts w:ascii="Tahoma" w:hAnsi="Tahoma"/>
        </w:rPr>
        <w:t xml:space="preserve">Popis produktu:	</w:t>
      </w:r>
      <w:r>
        <w:rPr>
          <w:b w:val="true"/>
          <w:color w:val="#000000"/>
          <w:sz w:val="18"/>
          <w:lang w:val="cs-CZ"/>
          <w:spacing w:val="1"/>
          <w:w w:val="100"/>
          <w:strike w:val="false"/>
          <w:vertAlign w:val="baseline"/>
          <w:rFonts w:ascii="Tahoma" w:hAnsi="Tahoma"/>
        </w:rPr>
        <w:t xml:space="preserve">Dodávka elekt</w:t>
      </w:r>
      <w:r>
        <w:rPr>
          <w:b w:val="true"/>
          <w:color w:val="#000000"/>
          <w:sz w:val="18"/>
          <w:lang w:val="cs-CZ"/>
          <w:spacing w:val="1"/>
          <w:w w:val="100"/>
          <w:strike w:val="false"/>
          <w:vertAlign w:val="baseline"/>
          <w:rFonts w:ascii="Tahoma" w:hAnsi="Tahoma"/>
        </w:rPr>
        <w:t xml:space="preserve">řiny v rámci sdružených služeb dodávky</w:t>
      </w:r>
    </w:p>
    <w:p>
      <w:pPr>
        <w:ind w:right="0" w:left="3672" w:firstLine="0"/>
        <w:spacing w:before="0" w:after="0" w:line="240" w:lineRule="auto"/>
        <w:jc w:val="left"/>
        <w:rPr>
          <w:b w:val="true"/>
          <w:color w:val="#000000"/>
          <w:sz w:val="18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8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elekt</w:t>
      </w:r>
      <w:r>
        <w:rPr>
          <w:b w:val="true"/>
          <w:color w:val="#000000"/>
          <w:sz w:val="18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řiny v napěťové hladině nízkého napětí</w:t>
      </w:r>
    </w:p>
    <w:p>
      <w:pPr>
        <w:ind w:right="0" w:left="0" w:firstLine="0"/>
        <w:spacing w:before="252" w:after="0" w:line="240" w:lineRule="auto"/>
        <w:jc w:val="left"/>
        <w:tabs>
          <w:tab w:val="right" w:leader="none" w:pos="3787"/>
        </w:tabs>
        <w:rPr>
          <w:b w:val="true"/>
          <w:color w:val="#000000"/>
          <w:sz w:val="18"/>
          <w:lang w:val="cs-CZ"/>
          <w:spacing w:val="-2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8"/>
          <w:lang w:val="cs-CZ"/>
          <w:spacing w:val="-2"/>
          <w:w w:val="100"/>
          <w:strike w:val="false"/>
          <w:vertAlign w:val="baseline"/>
          <w:rFonts w:ascii="Tahoma" w:hAnsi="Tahoma"/>
        </w:rPr>
        <w:t xml:space="preserve">Po</w:t>
      </w:r>
      <w:r>
        <w:rPr>
          <w:b w:val="true"/>
          <w:color w:val="#000000"/>
          <w:sz w:val="18"/>
          <w:lang w:val="cs-CZ"/>
          <w:spacing w:val="-2"/>
          <w:w w:val="100"/>
          <w:strike w:val="false"/>
          <w:vertAlign w:val="baseline"/>
          <w:rFonts w:ascii="Tahoma" w:hAnsi="Tahoma"/>
        </w:rPr>
        <w:t xml:space="preserve">čet odběrných míst:	</w:t>
      </w:r>
      <w:r>
        <w:rPr>
          <w:b w:val="true"/>
          <w:color w:val="#000000"/>
          <w:sz w:val="18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1</w:t>
      </w:r>
    </w:p>
    <w:p>
      <w:pPr>
        <w:ind w:right="0" w:left="0" w:firstLine="0"/>
        <w:spacing w:before="252" w:after="0" w:line="240" w:lineRule="auto"/>
        <w:jc w:val="left"/>
        <w:tabs>
          <w:tab w:val="right" w:leader="none" w:pos="5839"/>
        </w:tabs>
        <w:rPr>
          <w:b w:val="true"/>
          <w:color w:val="#000000"/>
          <w:sz w:val="18"/>
          <w:lang w:val="cs-CZ"/>
          <w:spacing w:val="-6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8"/>
          <w:lang w:val="cs-CZ"/>
          <w:spacing w:val="-6"/>
          <w:w w:val="100"/>
          <w:strike w:val="false"/>
          <w:vertAlign w:val="baseline"/>
          <w:rFonts w:ascii="Tahoma" w:hAnsi="Tahoma"/>
        </w:rPr>
        <w:t xml:space="preserve">Termín dodávky:	</w:t>
      </w:r>
      <w:r>
        <w:rPr>
          <w:b w:val="true"/>
          <w:color w:val="#000000"/>
          <w:sz w:val="18"/>
          <w:lang w:val="cs-CZ"/>
          <w:spacing w:val="-6"/>
          <w:w w:val="100"/>
          <w:strike w:val="false"/>
          <w:vertAlign w:val="baseline"/>
          <w:rFonts w:ascii="Tahoma" w:hAnsi="Tahoma"/>
        </w:rPr>
        <w:t xml:space="preserve">1. 1. 2018 — 31. 12. 2018</w:t>
      </w:r>
    </w:p>
    <w:p>
      <w:pPr>
        <w:ind w:right="0" w:left="0" w:firstLine="0"/>
        <w:spacing w:before="180" w:after="288" w:line="240" w:lineRule="auto"/>
        <w:jc w:val="left"/>
        <w:tabs>
          <w:tab w:val="right" w:leader="none" w:pos="4968"/>
        </w:tabs>
        <w:rPr>
          <w:b w:val="true"/>
          <w:color w:val="#000000"/>
          <w:sz w:val="18"/>
          <w:lang w:val="cs-CZ"/>
          <w:spacing w:val="-2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8"/>
          <w:lang w:val="cs-CZ"/>
          <w:spacing w:val="-2"/>
          <w:w w:val="100"/>
          <w:strike w:val="false"/>
          <w:vertAlign w:val="baseline"/>
          <w:rFonts w:ascii="Tahoma" w:hAnsi="Tahoma"/>
        </w:rPr>
        <w:t xml:space="preserve">Celkové množství dodávky:	</w:t>
      </w:r>
      <w:r>
        <w:rPr>
          <w:b w:val="true"/>
          <w:color w:val="#000000"/>
          <w:sz w:val="18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35 MWh</w:t>
      </w:r>
    </w:p>
    <w:tbl>
      <w:tblPr>
        <w:jc w:val="left"/>
        <w:tblInd w:w="2081" w:type="dxa"/>
        <w:tblLayout w:type="fixed"/>
        <w:tblCellMar>
          <w:left w:w="0" w:type="dxa"/>
          <w:right w:w="0" w:type="dxa"/>
        </w:tblCellMar>
      </w:tblPr>
      <w:tblGrid>
        <w:gridCol w:w="1915"/>
        <w:gridCol w:w="1919"/>
        <w:gridCol w:w="1926"/>
      </w:tblGrid>
      <w:tr>
        <w:trPr>
          <w:trHeight w:val="194" w:hRule="exact"/>
        </w:trPr>
        <w:tc>
          <w:tcPr>
            <w:gridSpan w:val="3"/>
            <w:tcBorders>
              <w:top w:val="none" w:sz="0" w:color="#000000"/>
              <w:bottom w:val="single" w:sz="2" w:color="#000000"/>
              <w:left w:val="none" w:sz="0" w:color="#000000"/>
              <w:right w:val="none" w:sz="0" w:color="#000000"/>
            </w:tcBorders>
            <w:tcW w:w="7841" w:type="auto"/>
            <w:textDirection w:val="lrTb"/>
            <w:vAlign w:val="center"/>
          </w:tcPr>
          <w:p>
            <w:pPr>
              <w:ind w:right="0" w:left="2106" w:firstLine="0"/>
              <w:spacing w:before="0" w:after="0" w:line="240" w:lineRule="auto"/>
              <w:jc w:val="left"/>
              <w:rPr>
                <w:b w:val="true"/>
                <w:color w:val="#000000"/>
                <w:sz w:val="17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b w:val="true"/>
                <w:color w:val="#000000"/>
                <w:sz w:val="17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Jednotková cena (bez DPH) CZKiMWh</w:t>
            </w:r>
          </w:p>
        </w:tc>
      </w:tr>
      <w:tr>
        <w:trPr>
          <w:trHeight w:val="281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3996" w:type="auto"/>
            <w:textDirection w:val="lrTb"/>
            <w:vAlign w:val="center"/>
          </w:tcPr>
          <w:p>
            <w:pPr>
              <w:ind w:right="0" w:left="36" w:firstLine="0"/>
              <w:spacing w:before="0" w:after="0" w:line="240" w:lineRule="auto"/>
              <w:jc w:val="left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Distribu</w:t>
            </w: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ční sazba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591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Nízký tarif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784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Vysoký tarif</w:t>
            </w:r>
          </w:p>
        </w:tc>
      </w:tr>
      <w:tr>
        <w:trPr>
          <w:trHeight w:val="281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3996" w:type="auto"/>
            <w:textDirection w:val="lrTb"/>
            <w:vAlign w:val="center"/>
          </w:tcPr>
          <w:p>
            <w:pPr>
              <w:ind w:right="0" w:left="36" w:firstLine="0"/>
              <w:spacing w:before="0" w:after="0" w:line="240" w:lineRule="auto"/>
              <w:jc w:val="left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COld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591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--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784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1 018</w:t>
            </w:r>
          </w:p>
        </w:tc>
      </w:tr>
      <w:tr>
        <w:trPr>
          <w:trHeight w:val="259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3996" w:type="auto"/>
            <w:textDirection w:val="lrTb"/>
            <w:vAlign w:val="center"/>
          </w:tcPr>
          <w:p>
            <w:pPr>
              <w:ind w:right="0" w:left="36" w:firstLine="0"/>
              <w:spacing w:before="0" w:after="0" w:line="240" w:lineRule="auto"/>
              <w:jc w:val="left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CO2d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591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--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784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1 018</w:t>
            </w:r>
          </w:p>
        </w:tc>
      </w:tr>
      <w:tr>
        <w:trPr>
          <w:trHeight w:val="302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3996" w:type="auto"/>
            <w:textDirection w:val="lrTb"/>
            <w:vAlign w:val="center"/>
          </w:tcPr>
          <w:p>
            <w:pPr>
              <w:ind w:right="0" w:left="36" w:firstLine="0"/>
              <w:spacing w:before="0" w:after="0" w:line="240" w:lineRule="auto"/>
              <w:jc w:val="left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CO3d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591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--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784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1 018</w:t>
            </w:r>
          </w:p>
        </w:tc>
      </w:tr>
      <w:tr>
        <w:trPr>
          <w:trHeight w:val="281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3996" w:type="auto"/>
            <w:textDirection w:val="lrTb"/>
            <w:vAlign w:val="center"/>
          </w:tcPr>
          <w:p>
            <w:pPr>
              <w:ind w:right="0" w:left="36" w:firstLine="0"/>
              <w:spacing w:before="0" w:after="0" w:line="240" w:lineRule="auto"/>
              <w:jc w:val="left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C25d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591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1 018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784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1 018</w:t>
            </w:r>
          </w:p>
        </w:tc>
      </w:tr>
      <w:tr>
        <w:trPr>
          <w:trHeight w:val="281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3996" w:type="auto"/>
            <w:textDirection w:val="lrTb"/>
            <w:vAlign w:val="center"/>
          </w:tcPr>
          <w:p>
            <w:pPr>
              <w:ind w:right="0" w:left="36" w:firstLine="0"/>
              <w:spacing w:before="0" w:after="0" w:line="240" w:lineRule="auto"/>
              <w:jc w:val="left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C26d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591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1 018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784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1 018</w:t>
            </w:r>
          </w:p>
        </w:tc>
      </w:tr>
      <w:tr>
        <w:trPr>
          <w:trHeight w:val="277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3996" w:type="auto"/>
            <w:textDirection w:val="lrTb"/>
            <w:vAlign w:val="center"/>
          </w:tcPr>
          <w:p>
            <w:pPr>
              <w:ind w:right="0" w:left="36" w:firstLine="0"/>
              <w:spacing w:before="0" w:after="0" w:line="240" w:lineRule="auto"/>
              <w:jc w:val="left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C35d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591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1 018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784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1 018</w:t>
            </w:r>
          </w:p>
        </w:tc>
      </w:tr>
      <w:tr>
        <w:trPr>
          <w:trHeight w:val="277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3996" w:type="auto"/>
            <w:textDirection w:val="lrTb"/>
            <w:vAlign w:val="center"/>
          </w:tcPr>
          <w:p>
            <w:pPr>
              <w:ind w:right="0" w:left="36" w:firstLine="0"/>
              <w:spacing w:before="0" w:after="0" w:line="240" w:lineRule="auto"/>
              <w:jc w:val="left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C45d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591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1 018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784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1 018</w:t>
            </w:r>
          </w:p>
        </w:tc>
      </w:tr>
      <w:tr>
        <w:trPr>
          <w:trHeight w:val="281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3996" w:type="auto"/>
            <w:textDirection w:val="lrTb"/>
            <w:vAlign w:val="center"/>
          </w:tcPr>
          <w:p>
            <w:pPr>
              <w:ind w:right="0" w:left="36" w:firstLine="0"/>
              <w:spacing w:before="0" w:after="0" w:line="240" w:lineRule="auto"/>
              <w:jc w:val="left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C55d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591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1 018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784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1 018</w:t>
            </w:r>
          </w:p>
        </w:tc>
      </w:tr>
      <w:tr>
        <w:trPr>
          <w:trHeight w:val="259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3996" w:type="auto"/>
            <w:textDirection w:val="lrTb"/>
            <w:vAlign w:val="center"/>
          </w:tcPr>
          <w:p>
            <w:pPr>
              <w:ind w:right="0" w:left="36" w:firstLine="0"/>
              <w:spacing w:before="0" w:after="0" w:line="240" w:lineRule="auto"/>
              <w:jc w:val="left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C62d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591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--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784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1 018</w:t>
            </w:r>
          </w:p>
        </w:tc>
      </w:tr>
      <w:tr>
        <w:trPr>
          <w:trHeight w:val="310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3996" w:type="auto"/>
            <w:textDirection w:val="lrTb"/>
            <w:vAlign w:val="center"/>
          </w:tcPr>
          <w:p>
            <w:pPr>
              <w:ind w:right="0" w:left="36" w:firstLine="0"/>
              <w:spacing w:before="0" w:after="0" w:line="240" w:lineRule="auto"/>
              <w:jc w:val="left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D26d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591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1 018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784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1 018</w:t>
            </w:r>
          </w:p>
        </w:tc>
      </w:tr>
    </w:tbl>
    <w:p>
      <w:pPr>
        <w:spacing w:before="0" w:after="226" w:line="20" w:lineRule="exact"/>
      </w:pPr>
    </w:p>
    <w:p>
      <w:pPr>
        <w:ind w:right="0" w:left="0" w:firstLine="0"/>
        <w:spacing w:before="0" w:after="0" w:line="240" w:lineRule="auto"/>
        <w:jc w:val="left"/>
        <w:tabs>
          <w:tab w:val="right" w:leader="none" w:pos="6869"/>
        </w:tabs>
        <w:rPr>
          <w:b w:val="true"/>
          <w:color w:val="#000000"/>
          <w:sz w:val="18"/>
          <w:lang w:val="cs-CZ"/>
          <w:spacing w:val="-2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8"/>
          <w:lang w:val="cs-CZ"/>
          <w:spacing w:val="-2"/>
          <w:w w:val="100"/>
          <w:strike w:val="false"/>
          <w:vertAlign w:val="baseline"/>
          <w:rFonts w:ascii="Tahoma" w:hAnsi="Tahoma"/>
        </w:rPr>
        <w:t xml:space="preserve">Technické parametry dodávky:	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viz P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říloha závěrkového listu č. 1</w:t>
      </w:r>
    </w:p>
    <w:p>
      <w:pPr>
        <w:ind w:right="0" w:left="0" w:firstLine="0"/>
        <w:spacing w:before="216" w:after="0" w:line="240" w:lineRule="auto"/>
        <w:jc w:val="left"/>
        <w:rPr>
          <w:b w:val="true"/>
          <w:color w:val="#000000"/>
          <w:sz w:val="19"/>
          <w:lang w:val="cs-CZ"/>
          <w:spacing w:val="0"/>
          <w:w w:val="100"/>
          <w:strike w:val="false"/>
          <w:u w:val="single"/>
          <w:vertAlign w:val="baseline"/>
          <w:rFonts w:ascii="Arial" w:hAnsi="Arial"/>
        </w:rPr>
      </w:pPr>
      <w:r>
        <w:rPr>
          <w:b w:val="true"/>
          <w:color w:val="#000000"/>
          <w:sz w:val="19"/>
          <w:lang w:val="cs-CZ"/>
          <w:spacing w:val="0"/>
          <w:w w:val="100"/>
          <w:strike w:val="false"/>
          <w:u w:val="single"/>
          <w:vertAlign w:val="baseline"/>
          <w:rFonts w:ascii="Arial" w:hAnsi="Arial"/>
        </w:rPr>
        <w:t xml:space="preserve">Zú</w:t>
      </w:r>
      <w:r>
        <w:rPr>
          <w:b w:val="true"/>
          <w:color w:val="#000000"/>
          <w:sz w:val="19"/>
          <w:lang w:val="cs-CZ"/>
          <w:spacing w:val="0"/>
          <w:w w:val="100"/>
          <w:strike w:val="false"/>
          <w:u w:val="single"/>
          <w:vertAlign w:val="baseline"/>
          <w:rFonts w:ascii="Arial" w:hAnsi="Arial"/>
        </w:rPr>
        <w:t xml:space="preserve">čtovací podmínky </w:t>
      </w:r>
    </w:p>
    <w:p>
      <w:pPr>
        <w:ind w:right="0" w:left="0" w:firstLine="0"/>
        <w:spacing w:before="252" w:after="0" w:line="201" w:lineRule="auto"/>
        <w:jc w:val="left"/>
        <w:tabs>
          <w:tab w:val="right" w:leader="none" w:pos="4334"/>
        </w:tabs>
        <w:rPr>
          <w:b w:val="true"/>
          <w:color w:val="#000000"/>
          <w:sz w:val="18"/>
          <w:lang w:val="cs-CZ"/>
          <w:spacing w:val="-2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8"/>
          <w:lang w:val="cs-CZ"/>
          <w:spacing w:val="-2"/>
          <w:w w:val="100"/>
          <w:strike w:val="false"/>
          <w:vertAlign w:val="baseline"/>
          <w:rFonts w:ascii="Tahoma" w:hAnsi="Tahoma"/>
        </w:rPr>
        <w:t xml:space="preserve">Zú</w:t>
      </w:r>
      <w:r>
        <w:rPr>
          <w:b w:val="true"/>
          <w:color w:val="#000000"/>
          <w:sz w:val="18"/>
          <w:lang w:val="cs-CZ"/>
          <w:spacing w:val="-2"/>
          <w:w w:val="100"/>
          <w:strike w:val="false"/>
          <w:vertAlign w:val="baseline"/>
          <w:rFonts w:ascii="Tahoma" w:hAnsi="Tahoma"/>
        </w:rPr>
        <w:t xml:space="preserve">čtovací období:	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čtvrtletí</w:t>
      </w:r>
    </w:p>
    <w:p>
      <w:pPr>
        <w:ind w:right="0" w:left="0" w:firstLine="0"/>
        <w:spacing w:before="216" w:after="0" w:line="240" w:lineRule="auto"/>
        <w:jc w:val="left"/>
        <w:tabs>
          <w:tab w:val="right" w:leader="none" w:pos="4255"/>
        </w:tabs>
        <w:rPr>
          <w:b w:val="true"/>
          <w:color w:val="#000000"/>
          <w:sz w:val="18"/>
          <w:lang w:val="cs-CZ"/>
          <w:spacing w:val="-2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8"/>
          <w:lang w:val="cs-CZ"/>
          <w:spacing w:val="-2"/>
          <w:w w:val="100"/>
          <w:strike w:val="false"/>
          <w:vertAlign w:val="baseline"/>
          <w:rFonts w:ascii="Tahoma" w:hAnsi="Tahoma"/>
        </w:rPr>
        <w:t xml:space="preserve">Splatnost zú</w:t>
      </w:r>
      <w:r>
        <w:rPr>
          <w:b w:val="true"/>
          <w:color w:val="#000000"/>
          <w:sz w:val="18"/>
          <w:lang w:val="cs-CZ"/>
          <w:spacing w:val="-2"/>
          <w:w w:val="100"/>
          <w:strike w:val="false"/>
          <w:vertAlign w:val="baseline"/>
          <w:rFonts w:ascii="Tahoma" w:hAnsi="Tahoma"/>
        </w:rPr>
        <w:t xml:space="preserve">čtovací faktury:	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20 dní</w:t>
      </w:r>
    </w:p>
    <w:p>
      <w:pPr>
        <w:ind w:right="0" w:left="0" w:firstLine="0"/>
        <w:spacing w:before="216" w:after="396" w:line="240" w:lineRule="auto"/>
        <w:jc w:val="left"/>
        <w:rPr>
          <w:b w:val="true"/>
          <w:color w:val="#000000"/>
          <w:sz w:val="18"/>
          <w:lang w:val="cs-CZ"/>
          <w:spacing w:val="4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8"/>
          <w:lang w:val="cs-CZ"/>
          <w:spacing w:val="4"/>
          <w:w w:val="100"/>
          <w:strike w:val="false"/>
          <w:vertAlign w:val="baseline"/>
          <w:rFonts w:ascii="Tahoma" w:hAnsi="Tahoma"/>
        </w:rPr>
        <w:t xml:space="preserve">Zálohy v pr</w:t>
      </w:r>
      <w:r>
        <w:rPr>
          <w:b w:val="true"/>
          <w:color w:val="#000000"/>
          <w:sz w:val="18"/>
          <w:lang w:val="cs-CZ"/>
          <w:spacing w:val="4"/>
          <w:w w:val="100"/>
          <w:strike w:val="false"/>
          <w:vertAlign w:val="baseline"/>
          <w:rFonts w:ascii="Tahoma" w:hAnsi="Tahoma"/>
        </w:rPr>
        <w:t xml:space="preserve">ůběhu zúčtovacího období: </w:t>
      </w: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měsíční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9288"/>
        </w:tabs>
        <w:rPr>
          <w:i w:val="true"/>
          <w:color w:val="#000000"/>
          <w:sz w:val="17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pict>
          <v:line strokeweight="0.9pt" strokecolor="#111520" from="0pt,0.5pt" to="464.8pt,0.5pt" style="position:absolute;mso-position-horizontal-relative:text;mso-position-vertical-relative:text;">
            <v:stroke dashstyle="solid"/>
          </v:line>
        </w:pict>
      </w:r>
      <w:r>
        <w:rPr>
          <w:i w:val="true"/>
          <w:color w:val="#000000"/>
          <w:sz w:val="17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Dodávka elekt</w:t>
      </w:r>
      <w:r>
        <w:rPr>
          <w:i w:val="true"/>
          <w:color w:val="#000000"/>
          <w:sz w:val="17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řiny v rámci SSDE v napěťové hladině nízkého napětí	</w:t>
      </w:r>
      <w:r>
        <w:rPr>
          <w:i w:val="true"/>
          <w:color w:val="#000000"/>
          <w:sz w:val="17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Strana 1 (celkem 7)</w:t>
      </w:r>
    </w:p>
    <w:p>
      <w:pPr>
        <w:sectPr>
          <w:pgSz w:w="11918" w:h="16854" w:orient="portrait"/>
          <w:type w:val="nextPage"/>
          <w:textDirection w:val="lrTb"/>
          <w:pgMar w:bottom="430" w:top="134" w:right="727" w:left="791" w:header="720" w:footer="720"/>
          <w:titlePg w:val="false"/>
        </w:sectPr>
      </w:pPr>
    </w:p>
    <w:p>
      <w:pPr>
        <w:ind w:right="0" w:left="504" w:firstLine="0"/>
        <w:spacing w:before="0" w:after="0" w:line="240" w:lineRule="auto"/>
        <w:jc w:val="left"/>
        <w:rPr>
          <w:b w:val="true"/>
          <w:color w:val="#000000"/>
          <w:sz w:val="18"/>
          <w:lang w:val="cs-CZ"/>
          <w:spacing w:val="-2"/>
          <w:w w:val="100"/>
          <w:strike w:val="false"/>
          <w:u w:val="single"/>
          <w:vertAlign w:val="baseline"/>
          <w:rFonts w:ascii="Tahoma" w:hAnsi="Tahoma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542.8pt;height:84.75pt;z-index:-1000;margin-left:13.9pt;margin-top:4.7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tbl>
                  <w:tblPr>
                    <w:jc w:val="left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6467"/>
                    <w:gridCol w:w="828"/>
                    <w:gridCol w:w="442"/>
                    <w:gridCol w:w="170"/>
                    <w:gridCol w:w="543"/>
                    <w:gridCol w:w="29"/>
                    <w:gridCol w:w="2377"/>
                  </w:tblGrid>
                  <w:tr>
                    <w:trPr>
                      <w:trHeight w:val="75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6467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7295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single" w:sz="1" w:color="#CAC9D1"/>
                          <w:left w:val="none" w:sz="0" w:color="#000000"/>
                          <w:right w:val="none" w:sz="0" w:color="#000000"/>
                        </w:tcBorders>
                        <w:tcW w:w="7737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7907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single" w:sz="1" w:color="#CAC9D1"/>
                          <w:left w:val="none" w:sz="0" w:color="#000000"/>
                          <w:right w:val="none" w:sz="0" w:color="#000000"/>
                        </w:tcBorders>
                        <w:tcW w:w="8450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8479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0" w:sz="0" w:color="#000000"/>
                          <w:left w:val="none" w:sz="0" w:color="#000000"/>
                          <w:right w:val="none" w:sz="0" w:color="#000000"/>
                        </w:tcBorders>
                        <w:tcW w:w="10856" w:type="auto"/>
                        <w:textDirection w:val="lrTb"/>
                        <w:vAlign w:val="top"/>
                        <w:vMerge w:val="restart"/>
                      </w:tcPr>
                      <w:p>
                        <w:pPr>
                          <w:ind w:right="0" w:left="1"/>
                          <w:spacing w:before="6" w:after="61" w:line="240" w:lineRule="auto"/>
                          <w:jc w:val="center"/>
                        </w:pPr>
                        <w:r>
                          <w:drawing>
                            <wp:inline>
                              <wp:extent cx="1508760" cy="1033780"/>
                              <wp:docPr id="1" name="pic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" name="test1"/>
                                      <pic:cNvPicPr preferRelativeResize="false"/>
                                    </pic:nvPicPr>
                                    <pic:blipFill>
                                      <a:blip r:embed="drId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08760" cy="10337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>
                    <w:trPr>
                      <w:trHeight w:val="79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6467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single" w:sz="5" w:color="#BAB9C1"/>
                          <w:left w:val="none" w:sz="0" w:color="#000000"/>
                          <w:right w:val="none" w:sz="0" w:color="#000000"/>
                        </w:tcBorders>
                        <w:tcW w:w="7295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single" w:sz="1" w:color="#CAC9D1"/>
                          <w:bottom w:val="single" w:sz="5" w:color="#BAB9C1"/>
                          <w:left w:val="none" w:sz="0" w:color="#000000"/>
                          <w:right w:val="none" w:sz="0" w:color="#000000"/>
                        </w:tcBorders>
                        <w:tcW w:w="7737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single" w:sz="5" w:color="#BAB9C1"/>
                          <w:left w:val="none" w:sz="0" w:color="#000000"/>
                          <w:right w:val="none" w:sz="0" w:color="#000000"/>
                        </w:tcBorders>
                        <w:tcW w:w="7907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single" w:sz="1" w:color="#CAC9D1"/>
                          <w:bottom w:val="single" w:sz="5" w:color="#BAB9C1"/>
                          <w:left w:val="none" w:sz="0" w:color="#000000"/>
                          <w:right w:val="none" w:sz="0" w:color="#000000"/>
                        </w:tcBorders>
                        <w:tcW w:w="8450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single" w:sz="5" w:color="#BAB9C1"/>
                          <w:left w:val="none" w:sz="0" w:color="#000000"/>
                          <w:right w:val="none" w:sz="0" w:color="#000000"/>
                        </w:tcBorders>
                        <w:tcW w:w="8479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0" w:sz="0" w:color="#000000"/>
                          <w:bottom w:val="0" w:sz="0" w:color="#000000"/>
                          <w:left w:val="none" w:sz="0" w:color="#000000"/>
                          <w:right w:val="none" w:sz="0" w:color="#000000"/>
                        </w:tcBorders>
                        <w:tcW w:w="10856" w:type="auto"/>
                        <w:textDirection w:val="lrTb"/>
                        <w:vAlign w:val="top"/>
                        <w:vMerge w:val="continue"/>
                      </w:tcPr>
                      <w:p/>
                    </w:tc>
                  </w:tr>
                  <w:tr>
                    <w:trPr>
                      <w:trHeight w:val="1541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6467" w:type="auto"/>
                        <w:textDirection w:val="lrTb"/>
                        <w:vAlign w:val="top"/>
                      </w:tcPr>
                      <w:p>
                        <w:pPr>
                          <w:ind w:right="3438" w:left="0" w:firstLine="0"/>
                          <w:spacing w:before="756" w:after="0" w:line="356" w:lineRule="exact"/>
                          <w:jc w:val="right"/>
                          <w:tabs>
                            <w:tab w:val="right" w:leader="none" w:pos="2990"/>
                          </w:tabs>
                          <w:rPr>
                            <w:b w:val="true"/>
                            <w:color w:val="#425377"/>
                            <w:sz w:val="47"/>
                            <w:lang w:val="cs-CZ"/>
                            <w:spacing w:val="-116"/>
                            <w:w w:val="105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b w:val="true"/>
                            <w:color w:val="#425377"/>
                            <w:sz w:val="47"/>
                            <w:lang w:val="cs-CZ"/>
                            <w:spacing w:val="-116"/>
                            <w:w w:val="105"/>
                            <w:strike w:val="false"/>
                            <w:vertAlign w:val="baseline"/>
                            <w:rFonts w:ascii="Arial" w:hAnsi="Arial"/>
                          </w:rPr>
                          <w:t xml:space="preserve">1(B</w:t>
                        </w:r>
                        <w:r>
                          <w:rPr>
                            <w:b w:val="true"/>
                            <w:color w:val="#000000"/>
                            <w:sz w:val="47"/>
                            <w:lang w:val="cs-CZ"/>
                            <w:spacing w:val="-116"/>
                            <w:w w:val="100"/>
                            <w:strike w:val="false"/>
                            <w:vertAlign w:val="subscript"/>
                            <w:rFonts w:ascii="Verdana" w:hAnsi="Verdana"/>
                          </w:rPr>
                          <w:tab/>
                        </w:r>
                        <w:r>
                          <w:rPr>
                            <w:b w:val="true"/>
                            <w:color w:val="#000000"/>
                            <w:sz w:val="47"/>
                            <w:lang w:val="cs-CZ"/>
                            <w:spacing w:val="-60"/>
                            <w:w w:val="100"/>
                            <w:strike w:val="false"/>
                            <w:vertAlign w:val="subscript"/>
                            <w:rFonts w:ascii="Verdana" w:hAnsi="Verdana"/>
                          </w:rPr>
                          <w:t xml:space="preserve">omo</w:t>
                        </w:r>
                        <w:r>
                          <w:rPr>
                            <w:b w:val="true"/>
                            <w:color w:val="#000000"/>
                            <w:sz w:val="11"/>
                            <w:lang w:val="cs-CZ"/>
                            <w:spacing w:val="-60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  <w:t xml:space="preserve">e</w:t>
                        </w:r>
                        <w:r>
                          <w:rPr>
                            <w:b w:val="true"/>
                            <w:color w:val="#000000"/>
                            <w:sz w:val="11"/>
                            <w:lang w:val="cs-CZ"/>
                            <w:spacing w:val="-60"/>
                            <w:w w:val="100"/>
                            <w:strike w:val="false"/>
                            <w:vertAlign w:val="subscript"/>
                            <w:rFonts w:ascii="Verdana" w:hAnsi="Verdana"/>
                          </w:rPr>
                          <w:t xml:space="preserve">l</w:t>
                        </w:r>
                        <w:r>
                          <w:rPr>
                            <w:b w:val="true"/>
                            <w:color w:val="#000000"/>
                            <w:sz w:val="11"/>
                            <w:lang w:val="cs-CZ"/>
                            <w:spacing w:val="-60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  <w:t xml:space="preserve">t</w:t>
                        </w:r>
                        <w:r>
                          <w:rPr>
                            <w:b w:val="true"/>
                            <w:color w:val="#000000"/>
                            <w:sz w:val="11"/>
                            <w:lang w:val="cs-CZ"/>
                            <w:spacing w:val="-60"/>
                            <w:w w:val="100"/>
                            <w:strike w:val="false"/>
                            <w:vertAlign w:val="subscript"/>
                            <w:rFonts w:ascii="Verdana" w:hAnsi="Verdana"/>
                          </w:rPr>
                          <w:t xml:space="preserve">,</w:t>
                        </w:r>
                        <w:r>
                          <w:rPr>
                            <w:b w:val="true"/>
                            <w:color w:val="#000000"/>
                            <w:sz w:val="11"/>
                            <w:lang w:val="cs-CZ"/>
                            <w:spacing w:val="-60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  <w:t xml:space="preserve">S</w:t>
                        </w:r>
                        <w:r>
                          <w:rPr>
                            <w:b w:val="true"/>
                            <w:color w:val="#000000"/>
                            <w:sz w:val="11"/>
                            <w:lang w:val="cs-CZ"/>
                            <w:spacing w:val="-60"/>
                            <w:w w:val="100"/>
                            <w:strike w:val="false"/>
                            <w:vertAlign w:val="subscript"/>
                            <w:rFonts w:ascii="Verdana" w:hAnsi="Verdana"/>
                          </w:rPr>
                          <w:t xml:space="preserve">IT</w:t>
                        </w:r>
                        <w:r>
                          <w:rPr>
                            <w:b w:val="true"/>
                            <w:color w:val="#000000"/>
                            <w:sz w:val="11"/>
                            <w:lang w:val="cs-CZ"/>
                            <w:spacing w:val="-60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  <w:t xml:space="preserve">K</w:t>
                        </w:r>
                        <w:r>
                          <w:rPr>
                            <w:b w:val="true"/>
                            <w:color w:val="#000000"/>
                            <w:sz w:val="11"/>
                            <w:lang w:val="cs-CZ"/>
                            <w:spacing w:val="-60"/>
                            <w:w w:val="100"/>
                            <w:strike w:val="false"/>
                            <w:vertAlign w:val="subscript"/>
                            <w:rFonts w:ascii="Verdana" w:hAnsi="Verdana"/>
                          </w:rPr>
                          <w:t xml:space="preserve">N</w:t>
                        </w:r>
                        <w:r>
                          <w:rPr>
                            <w:b w:val="true"/>
                            <w:color w:val="#000000"/>
                            <w:sz w:val="11"/>
                            <w:lang w:val="cs-CZ"/>
                            <w:spacing w:val="-60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  <w:t xml:space="preserve">O</w:t>
                        </w:r>
                        <w:r>
                          <w:rPr>
                            <w:b w:val="true"/>
                            <w:color w:val="#000000"/>
                            <w:sz w:val="11"/>
                            <w:lang w:val="cs-CZ"/>
                            <w:spacing w:val="-60"/>
                            <w:w w:val="100"/>
                            <w:strike w:val="false"/>
                            <w:vertAlign w:val="subscript"/>
                            <w:rFonts w:ascii="Verdana" w:hAnsi="Verdana"/>
                          </w:rPr>
                          <w:t xml:space="preserve">i</w:t>
                        </w:r>
                        <w:r>
                          <w:rPr>
                            <w:b w:val="true"/>
                            <w:color w:val="#000000"/>
                            <w:sz w:val="11"/>
                            <w:lang w:val="cs-CZ"/>
                            <w:spacing w:val="-60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  <w:t xml:space="preserve">M</w:t>
                        </w:r>
                        <w:r>
                          <w:rPr>
                            <w:b w:val="true"/>
                            <w:color w:val="#000000"/>
                            <w:sz w:val="11"/>
                            <w:lang w:val="cs-CZ"/>
                            <w:spacing w:val="-60"/>
                            <w:w w:val="100"/>
                            <w:strike w:val="false"/>
                            <w:vertAlign w:val="subscript"/>
                            <w:rFonts w:ascii="Verdana" w:hAnsi="Verdana"/>
                          </w:rPr>
                          <w:t xml:space="preserve">B</w:t>
                        </w:r>
                        <w:r>
                          <w:rPr>
                            <w:b w:val="true"/>
                            <w:color w:val="#000000"/>
                            <w:sz w:val="11"/>
                            <w:lang w:val="cs-CZ"/>
                            <w:spacing w:val="-60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  <w:t xml:space="preserve">O</w:t>
                        </w:r>
                        <w:r>
                          <w:rPr>
                            <w:b w:val="true"/>
                            <w:color w:val="#000000"/>
                            <w:sz w:val="11"/>
                            <w:lang w:val="cs-CZ"/>
                            <w:spacing w:val="-60"/>
                            <w:w w:val="100"/>
                            <w:strike w:val="false"/>
                            <w:vertAlign w:val="subscript"/>
                            <w:rFonts w:ascii="Verdana" w:hAnsi="Verdana"/>
                          </w:rPr>
                          <w:t xml:space="preserve">U</w:t>
                        </w:r>
                        <w:r>
                          <w:rPr>
                            <w:b w:val="true"/>
                            <w:color w:val="#000000"/>
                            <w:sz w:val="11"/>
                            <w:lang w:val="cs-CZ"/>
                            <w:spacing w:val="-60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  <w:t xml:space="preserve">R</w:t>
                        </w:r>
                        <w:r>
                          <w:rPr>
                            <w:b w:val="true"/>
                            <w:color w:val="#000000"/>
                            <w:sz w:val="11"/>
                            <w:lang w:val="cs-CZ"/>
                            <w:spacing w:val="-60"/>
                            <w:w w:val="100"/>
                            <w:strike w:val="false"/>
                            <w:vertAlign w:val="subscript"/>
                            <w:rFonts w:ascii="Verdana" w:hAnsi="Verdana"/>
                          </w:rPr>
                          <w:t xml:space="preserve">R</w:t>
                        </w:r>
                        <w:r>
                          <w:rPr>
                            <w:b w:val="true"/>
                            <w:color w:val="#000000"/>
                            <w:sz w:val="11"/>
                            <w:lang w:val="cs-CZ"/>
                            <w:spacing w:val="-60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  <w:t xml:space="preserve">A</w:t>
                        </w:r>
                        <w:r>
                          <w:rPr>
                            <w:b w:val="true"/>
                            <w:color w:val="#000000"/>
                            <w:sz w:val="11"/>
                            <w:lang w:val="cs-CZ"/>
                            <w:spacing w:val="-60"/>
                            <w:w w:val="100"/>
                            <w:strike w:val="false"/>
                            <w:vertAlign w:val="subscript"/>
                            <w:rFonts w:ascii="Verdana" w:hAnsi="Verdana"/>
                          </w:rPr>
                          <w:t xml:space="preserve">ZA</w:t>
                        </w:r>
                        <w:r>
                          <w:rPr>
                            <w:b w:val="true"/>
                            <w:color w:val="#000000"/>
                            <w:sz w:val="11"/>
                            <w:lang w:val="cs-CZ"/>
                            <w:spacing w:val="-60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  <w:t xml:space="preserve">VSKÁ</w:t>
                        </w:r>
                      </w:p>
                      <w:p>
                        <w:pPr>
                          <w:ind w:right="3168" w:left="0" w:firstLine="0"/>
                          <w:spacing w:before="0" w:after="0" w:line="240" w:lineRule="auto"/>
                          <w:jc w:val="right"/>
                          <w:rPr>
                            <w:b w:val="true"/>
                            <w:color w:val="#000000"/>
                            <w:sz w:val="11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</w:pPr>
                        <w:r>
                          <w:rPr>
                            <w:b w:val="true"/>
                            <w:color w:val="#000000"/>
                            <w:sz w:val="11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Tahoma" w:hAnsi="Tahoma"/>
                          </w:rPr>
                          <w:t xml:space="preserve">KLADNO</w:t>
                        </w:r>
                      </w:p>
                    </w:tc>
                    <w:tc>
                      <w:tcPr>
                        <w:gridSpan w:val="1"/>
                        <w:tcBorders>
                          <w:top w:val="single" w:sz="5" w:color="#BAB9C1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7295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single" w:sz="5" w:color="#BAB9C1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7737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single" w:sz="5" w:color="#BAB9C1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7907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single" w:sz="5" w:color="#BAB9C1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8450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single" w:sz="5" w:color="#BAB9C1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8479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0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0856" w:type="auto"/>
                        <w:textDirection w:val="lrTb"/>
                        <w:vAlign w:val="top"/>
                        <w:vMerge w:val="continue"/>
                      </w:tcPr>
                      <w:p/>
                    </w:tc>
                  </w:tr>
                </w:tbl>
              </w:txbxContent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287.55pt;height:10.15pt;z-index:-999;margin-left:0pt;margin-top:716.1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right"/>
                    <w:framePr w:hAnchor="text" w:vAnchor="text" w:y="14323" w:w="5751" w:h="203" w:hSpace="0" w:vSpace="0" w:wrap="3"/>
                    <w:rPr>
                      <w:i w:val="true"/>
                      <w:color w:val="#000000"/>
                      <w:sz w:val="17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i w:val="true"/>
                      <w:color w:val="#000000"/>
                      <w:sz w:val="17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Dodávka elekt</w:t>
                  </w:r>
                  <w:r>
                    <w:rPr>
                      <w:i w:val="true"/>
                      <w:color w:val="#000000"/>
                      <w:sz w:val="17"/>
                      <w:lang w:val="cs-CZ"/>
                      <w:spacing w:val="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řiny v rámci SSDE v napěrové hladině nízkého napětí</w:t>
                  </w: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101.65pt;height:10.15pt;z-index:-998;margin-left:415.35pt;margin-top:716.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left"/>
                    <w:framePr w:hAnchor="text" w:vAnchor="text" w:x="8307" w:y="14330" w:w="2033" w:h="203" w:hSpace="0" w:vSpace="0" w:wrap="3"/>
                    <w:rPr>
                      <w:i w:val="true"/>
                      <w:color w:val="#000000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i w:val="true"/>
                      <w:color w:val="#000000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Strana 2 (celkem 7)</w:t>
                  </w:r>
                </w:p>
              </w:txbxContent>
            </v:textbox>
          </v:shape>
        </w:pict>
      </w:r>
      <w:r>
        <w:pict>
          <v:line strokeweight="0.55pt" strokecolor="#5A5A5A" from="-43.85pt,10.45pt" to="-43.85pt,228.1pt" style="position:absolute;mso-position-horizontal-relative:text;mso-position-vertical-relative:text;">
            <v:stroke dashstyle="solid"/>
          </v:line>
        </w:pict>
      </w:r>
      <w:r>
        <w:rPr>
          <w:b w:val="true"/>
          <w:color w:val="#000000"/>
          <w:sz w:val="18"/>
          <w:lang w:val="cs-CZ"/>
          <w:spacing w:val="-2"/>
          <w:w w:val="100"/>
          <w:strike w:val="false"/>
          <w:u w:val="single"/>
          <w:vertAlign w:val="baseline"/>
          <w:rFonts w:ascii="Tahoma" w:hAnsi="Tahoma"/>
        </w:rPr>
        <w:t xml:space="preserve">Ostatní podmínky: </w:t>
      </w:r>
    </w:p>
    <w:p>
      <w:pPr>
        <w:ind w:right="576" w:left="504" w:firstLine="0"/>
        <w:spacing w:before="180" w:after="0" w:line="240" w:lineRule="auto"/>
        <w:jc w:val="both"/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Dodavatel je povinen u odb</w:t>
      </w: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ěrných míst s jiným než ročním zúčtovacím obdobím umožnit samoodečet </w:t>
      </w: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není-li odečet měřícího zařízení prováděn dálkově. Dodavatel provede bezplatné vyúčtování po zaslání samoodečtů ze strany odběratele, které mu budou zaslány v termínu a způsobem stanoveným dodavatelem.</w:t>
      </w:r>
    </w:p>
    <w:p>
      <w:pPr>
        <w:ind w:right="0" w:left="504" w:firstLine="0"/>
        <w:spacing w:before="288" w:after="0" w:line="240" w:lineRule="auto"/>
        <w:jc w:val="left"/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Pro odb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ěratele s požadavkem na sloučenou fakturaci (uvedeno v Příloze č. 1):</w:t>
      </w:r>
    </w:p>
    <w:p>
      <w:pPr>
        <w:ind w:right="720" w:left="504" w:firstLine="0"/>
        <w:spacing w:before="0" w:after="0" w:line="240" w:lineRule="auto"/>
        <w:jc w:val="left"/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Dodavatel bude odb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ěrateli účtovat dodávku na jedné sloučené faktuře (daňovém dokladu) v elektronické </w:t>
      </w:r>
      <w: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podobě s následným zasláním v papírové podobě s tím, že za každé odběrné místo bude provedeno </w:t>
      </w: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vyúčtování s rozepsáním jednotlivých položek ceny spolu s uvedením ceny celkem a příslušné výše DPH v 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% a v Kč.</w:t>
      </w:r>
    </w:p>
    <w:p>
      <w:pPr>
        <w:ind w:right="792" w:left="504" w:firstLine="0"/>
        <w:spacing w:before="288" w:after="0" w:line="240" w:lineRule="auto"/>
        <w:jc w:val="left"/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Dodavatel bude odb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ěrateli předepisovat a účtovat zálohy na jednom sloučeném předpisu a sloučeném </w:t>
      </w: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daňovém dokladu o přijetí platby v elektronické podobě s následným zasláním v papírové podobě s tím, že</w:t>
      </w:r>
    </w:p>
    <w:p>
      <w:pPr>
        <w:ind w:right="576" w:left="504" w:firstLine="0"/>
        <w:spacing w:before="36" w:after="0" w:line="240" w:lineRule="auto"/>
        <w:jc w:val="left"/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celková záloha a p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řijatá platba bude rozepsána na dílčí zálohy za jednotlivá odběrná místa spolu s uvedením ceny celkem a příslušné výše DPH v % a v Kč.</w:t>
      </w:r>
    </w:p>
    <w:p>
      <w:pPr>
        <w:ind w:right="0" w:left="504" w:firstLine="0"/>
        <w:spacing w:before="252" w:after="0" w:line="240" w:lineRule="auto"/>
        <w:jc w:val="left"/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Dodavatel je povinen na výslovné vyžádání jednotlivého odb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ěratele používat:</w:t>
      </w:r>
    </w:p>
    <w:p>
      <w:pPr>
        <w:ind w:right="0" w:left="504" w:firstLine="0"/>
        <w:spacing w:before="0" w:after="0" w:line="240" w:lineRule="auto"/>
        <w:jc w:val="left"/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a)namísto slou</w:t>
      </w: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čené faktury fakturu na každé jednotlivé odběrné místo</w:t>
      </w:r>
    </w:p>
    <w:p>
      <w:pPr>
        <w:ind w:right="1152" w:left="504" w:firstLine="0"/>
        <w:spacing w:before="0" w:after="0" w:line="240" w:lineRule="auto"/>
        <w:jc w:val="left"/>
        <w:rPr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b)namísto slou</w:t>
      </w:r>
      <w:r>
        <w:rPr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čeného předpisu záloh a sloučeného daňového dokladu o přijetí platby předpis záloh a </w:t>
      </w: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daňový doklad o přijetí platby za každé jednotlivé odběrné místo</w:t>
      </w:r>
    </w:p>
    <w:p>
      <w:pPr>
        <w:ind w:right="0" w:left="504" w:firstLine="0"/>
        <w:spacing w:before="252" w:after="0" w:line="240" w:lineRule="auto"/>
        <w:jc w:val="left"/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Pro odb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ěratele s požadavkem na samostatnou fakturaci (uvedeno v Příloze č. 1):</w:t>
      </w:r>
    </w:p>
    <w:p>
      <w:pPr>
        <w:ind w:right="792" w:left="504" w:firstLine="0"/>
        <w:spacing w:before="36" w:after="0" w:line="240" w:lineRule="auto"/>
        <w:jc w:val="left"/>
        <w:rPr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Dodavatel bude odb</w:t>
      </w:r>
      <w:r>
        <w:rPr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ěrateli účtovat dodávku plynu za každé jednotlivé odběrné místo zvlášť v elektronické 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podobě s následným zasláním v papírové podobě.</w:t>
      </w:r>
    </w:p>
    <w:p>
      <w:pPr>
        <w:ind w:right="1296" w:left="504" w:firstLine="0"/>
        <w:spacing w:before="252" w:after="0" w:line="240" w:lineRule="auto"/>
        <w:jc w:val="left"/>
        <w:rPr>
          <w:color w:val="#000000"/>
          <w:sz w:val="19"/>
          <w:lang w:val="cs-CZ"/>
          <w:spacing w:val="-3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Dodavatel bude odb</w:t>
      </w:r>
      <w:r>
        <w:rPr>
          <w:color w:val="#000000"/>
          <w:sz w:val="19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ěrateli předepisovat a účtovat zálohy za každé jednotlivé odběrné místo zvlášť v 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elektronické podobě s následným zasláním v papírové podobě .</w:t>
      </w:r>
    </w:p>
    <w:p>
      <w:pPr>
        <w:ind w:right="0" w:left="504" w:firstLine="0"/>
        <w:spacing w:before="252" w:after="0" w:line="240" w:lineRule="auto"/>
        <w:jc w:val="left"/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Dodavatel je povinen na výslovné vyžádání jednotlivého odb</w:t>
      </w: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ěratele používat:</w:t>
      </w:r>
    </w:p>
    <w:p>
      <w:pPr>
        <w:ind w:right="792" w:left="504" w:firstLine="0"/>
        <w:spacing w:before="0" w:after="0" w:line="240" w:lineRule="auto"/>
        <w:jc w:val="left"/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a)namísto faktury za každé jednotlivé odb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ěrné místo fakturu sloučenou s rozpisem jednotlivých odběrných míst</w:t>
      </w:r>
    </w:p>
    <w:p>
      <w:pPr>
        <w:ind w:right="792" w:left="504" w:firstLine="0"/>
        <w:spacing w:before="36" w:after="0" w:line="240" w:lineRule="auto"/>
        <w:jc w:val="left"/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b)namisto p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ředpisu záloh a daňového dokladu o přijetí platby za každé jednotlivé odběrné místo sloučený </w:t>
      </w: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předpis záloh a sloučený daňový doklad o přijetí platby s rozpisem jednotlivých odběrných míst</w:t>
      </w:r>
    </w:p>
    <w:p>
      <w:pPr>
        <w:ind w:right="792" w:left="504" w:firstLine="0"/>
        <w:spacing w:before="252" w:after="0" w:line="240" w:lineRule="auto"/>
        <w:jc w:val="left"/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Dodavatel je povinen poskytnout data o odb</w:t>
      </w: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ěrech a fakturaci všech odběrných míst v elektronické podobě </w:t>
      </w:r>
      <w: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ve formátu .xls po skončení období dodávky do 15. února centrálnímu zadavateli, Olomoucký kraj, 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Jeremenkova 1191/40a, 779 11 Olomouc, IČ: 60609460 do datové schránky.</w:t>
      </w:r>
    </w:p>
    <w:p>
      <w:pPr>
        <w:ind w:right="2448" w:left="504" w:firstLine="0"/>
        <w:spacing w:before="252" w:after="0" w:line="480" w:lineRule="auto"/>
        <w:jc w:val="left"/>
        <w:rPr>
          <w:color w:val="#000000"/>
          <w:sz w:val="19"/>
          <w:lang w:val="cs-CZ"/>
          <w:spacing w:val="3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Odb</w:t>
      </w:r>
      <w:r>
        <w:rPr>
          <w:color w:val="#000000"/>
          <w:sz w:val="19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ěratelé mohou vytvářet na svá odběrná místa bezplatně fakturační skupiny. 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Zákaznický portál na webovém rozhraní bude přístupný vybraným osobám zákazníka.</w:t>
      </w:r>
    </w:p>
    <w:p>
      <w:pPr>
        <w:ind w:right="792" w:left="504" w:firstLine="0"/>
        <w:spacing w:before="180" w:after="0" w:line="240" w:lineRule="auto"/>
        <w:jc w:val="left"/>
        <w:rPr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Odb</w:t>
      </w:r>
      <w:r>
        <w:rPr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ěratel je oprávněn zvolit čtvrtletní, pololetní či roční fakturaci za podmínky, že bude plátcem měsíčních </w:t>
      </w: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záloh. Faktura bude vystavena na základě samoodečtu ze strany odběratele.</w:t>
      </w:r>
    </w:p>
    <w:p>
      <w:pPr>
        <w:ind w:right="648" w:left="504" w:firstLine="0"/>
        <w:spacing w:before="144" w:after="0" w:line="240" w:lineRule="auto"/>
        <w:jc w:val="left"/>
        <w:rPr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Dodavatel je povinen poskytovat záznamy o všech vystavených fakturách ve formátu csv., p</w:t>
      </w:r>
      <w:r>
        <w:rPr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řípadně DÚF 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(dodatečné údaje k fakturaci), ke všem odběrným místům v elektronické podobě. Dodavatel tyto data bude </w:t>
      </w: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zasílat v periodě jednoho měsíce. Data budou zaslána nejpozději do 25. dne následujícího kalendářního 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měsíce, do datové schránky Olomouckého kraje, případně prostřednictvím emailu, nebo na předem určené </w:t>
      </w:r>
      <w: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datové uložiště. Struktura souboru bude definována zástupcem všech odběratelů, Olomouckým krajem. 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Záznam bude minimálně obsahovat následující údaje:</w:t>
      </w:r>
    </w:p>
    <w:p>
      <w:pPr>
        <w:ind w:right="576" w:left="504" w:firstLine="0"/>
        <w:spacing w:before="72" w:after="0" w:line="240" w:lineRule="auto"/>
        <w:jc w:val="left"/>
        <w:rPr>
          <w:color w:val="#000000"/>
          <w:sz w:val="19"/>
          <w:lang w:val="cs-CZ"/>
          <w:spacing w:val="-3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•Elekt</w:t>
      </w:r>
      <w:r>
        <w:rPr>
          <w:color w:val="#000000"/>
          <w:sz w:val="19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řina NN — EAN, IČO, číslo faktury, zúčtovací období (od-do), spotřeba VT v MWh, spotřeba NT v MWh, </w:t>
      </w: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distribuční sazba, hodnota hlavního jističe (fáze a počet A), regulované platby za — plat za distribuované </w:t>
      </w:r>
      <w: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množství elektřiny VT, plat za distribuované množství elektřiny NT, měsíční plat za rezervovaný příkon, systémové služby, částka za KVET, OZE A DZ, platba za OTE, platby za silovou elektřinu — v časovém 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pásmu VT, v časovém pásmu NT, daň z elektřiny, cena celkem bez DPH, cena celkem s DPH.</w:t>
      </w:r>
    </w:p>
    <w:p>
      <w:pPr>
        <w:ind w:right="1008" w:left="504" w:firstLine="0"/>
        <w:spacing w:before="252" w:after="0" w:line="240" w:lineRule="auto"/>
        <w:jc w:val="left"/>
        <w:rPr>
          <w:color w:val="#000000"/>
          <w:sz w:val="19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pict>
          <v:line strokeweight="0.9pt" strokecolor="#1B2029" from="28.15pt,60.05pt" to="490.1pt,60.05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19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Dodavatel jmenuje pro zajišt</w:t>
      </w:r>
      <w:r>
        <w:rPr>
          <w:color w:val="#000000"/>
          <w:sz w:val="19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ění obchodního styku s odběratelem konkrétní kontaktní osobu, která bude 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odběrateli operativně k dispozici pro řešení případných problémů při dodávce komodity.</w:t>
      </w:r>
    </w:p>
    <w:p>
      <w:pPr>
        <w:sectPr>
          <w:pgSz w:w="11918" w:h="16854" w:orient="portrait"/>
          <w:type w:val="nextPage"/>
          <w:textDirection w:val="lrTb"/>
          <w:pgMar w:bottom="412" w:top="1789" w:right="1240" w:left="278" w:header="720" w:footer="720"/>
          <w:titlePg w:val="false"/>
        </w:sectPr>
      </w:pPr>
    </w:p>
    <w:p>
      <w:pPr>
        <w:ind w:right="0" w:left="144" w:firstLine="0"/>
        <w:spacing w:before="0" w:after="0" w:line="240" w:lineRule="auto"/>
        <w:jc w:val="left"/>
        <w:tabs>
          <w:tab w:val="right" w:leader="none" w:pos="2769"/>
        </w:tabs>
        <w:rPr>
          <w:b w:val="true"/>
          <w:color w:val="#4E6497"/>
          <w:sz w:val="47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468pt;height:10.55pt;z-index:-997;margin-left:0pt;margin-top:753.1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left"/>
                    <w:framePr w:hAnchor="text" w:vAnchor="text" w:y="15063" w:w="9360" w:h="211" w:hSpace="0" w:vSpace="0" w:wrap="3"/>
                    <w:tabs>
                      <w:tab w:val="right" w:leader="none" w:pos="9281"/>
                    </w:tabs>
                    <w:rPr>
                      <w:i w:val="true"/>
                      <w:color w:val="#000000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i w:val="true"/>
                      <w:color w:val="#000000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Dodávka elekt</w:t>
                  </w:r>
                  <w:r>
                    <w:rPr>
                      <w:i w:val="true"/>
                      <w:color w:val="#000000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řiny v rámci SSDE v napěťové hladině nízkého napětí	</w:t>
                  </w:r>
                  <w:r>
                    <w:rPr>
                      <w:i w:val="true"/>
                      <w:color w:val="#000000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Strana 3 (celkem 7)</w:t>
                  </w:r>
                </w:p>
              </w:txbxContent>
            </v:textbox>
          </v:shape>
        </w:pict>
      </w:r>
      <w:r>
        <w:rPr>
          <w:b w:val="true"/>
          <w:color w:val="#4E6497"/>
          <w:sz w:val="47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1	</w:t>
      </w:r>
      <w:r>
        <w:rPr>
          <w:b w:val="true"/>
          <w:color w:val="#4E6497"/>
          <w:sz w:val="45"/>
          <w:lang w:val="cs-CZ"/>
          <w:spacing w:val="-76"/>
          <w:w w:val="60"/>
          <w:strike w:val="false"/>
          <w:vertAlign w:val="baseline"/>
          <w:rFonts w:ascii="Tahoma" w:hAnsi="Tahoma"/>
        </w:rPr>
        <w:t xml:space="preserve">ji&gt;</w:t>
      </w:r>
      <w:r>
        <w:rPr>
          <w:b w:val="true"/>
          <w:color w:val="#000000"/>
          <w:sz w:val="14"/>
          <w:lang w:val="cs-CZ"/>
          <w:spacing w:val="-36"/>
          <w:w w:val="100"/>
          <w:strike w:val="false"/>
          <w:vertAlign w:val="baseline"/>
          <w:rFonts w:ascii="Times New Roman" w:hAnsi="Times New Roman"/>
        </w:rPr>
        <w:t xml:space="preserve"> KOMO</w:t>
      </w:r>
      <w:r>
        <w:rPr>
          <w:b w:val="true"/>
          <w:color w:val="#000000"/>
          <w:sz w:val="14"/>
          <w:lang w:val="cs-CZ"/>
          <w:spacing w:val="-36"/>
          <w:w w:val="100"/>
          <w:strike w:val="false"/>
          <w:vertAlign w:val="superscript"/>
          <w:rFonts w:ascii="Times New Roman" w:hAnsi="Times New Roman"/>
        </w:rPr>
        <w:t xml:space="preserve">č</w:t>
      </w:r>
      <w:r>
        <w:rPr>
          <w:b w:val="true"/>
          <w:color w:val="#000000"/>
          <w:sz w:val="14"/>
          <w:lang w:val="cs-CZ"/>
          <w:spacing w:val="-36"/>
          <w:w w:val="100"/>
          <w:strike w:val="false"/>
          <w:vertAlign w:val="baseline"/>
          <w:rFonts w:ascii="Times New Roman" w:hAnsi="Times New Roman"/>
        </w:rPr>
        <w:t xml:space="preserve">U</w:t>
      </w:r>
      <w:r>
        <w:rPr>
          <w:b w:val="true"/>
          <w:color w:val="#000000"/>
          <w:sz w:val="14"/>
          <w:lang w:val="cs-CZ"/>
          <w:spacing w:val="-36"/>
          <w:w w:val="100"/>
          <w:strike w:val="false"/>
          <w:vertAlign w:val="superscript"/>
          <w:rFonts w:ascii="Times New Roman" w:hAnsi="Times New Roman"/>
        </w:rPr>
        <w:t xml:space="preserve">ES</w:t>
      </w:r>
      <w:r>
        <w:rPr>
          <w:b w:val="true"/>
          <w:color w:val="#000000"/>
          <w:sz w:val="14"/>
          <w:lang w:val="cs-CZ"/>
          <w:spacing w:val="-36"/>
          <w:w w:val="100"/>
          <w:strike w:val="false"/>
          <w:vertAlign w:val="baseline"/>
          <w:rFonts w:ascii="Times New Roman" w:hAnsi="Times New Roman"/>
        </w:rPr>
        <w:t xml:space="preserve">IT</w:t>
      </w:r>
      <w:r>
        <w:rPr>
          <w:b w:val="true"/>
          <w:color w:val="#000000"/>
          <w:sz w:val="14"/>
          <w:lang w:val="cs-CZ"/>
          <w:spacing w:val="-36"/>
          <w:w w:val="100"/>
          <w:strike w:val="false"/>
          <w:vertAlign w:val="superscript"/>
          <w:rFonts w:ascii="Times New Roman" w:hAnsi="Times New Roman"/>
        </w:rPr>
        <w:t xml:space="preserve">I</w:t>
      </w:r>
      <w:r>
        <w:rPr>
          <w:b w:val="true"/>
          <w:color w:val="#000000"/>
          <w:sz w:val="14"/>
          <w:lang w:val="cs-CZ"/>
          <w:spacing w:val="-36"/>
          <w:w w:val="100"/>
          <w:strike w:val="false"/>
          <w:vertAlign w:val="baseline"/>
          <w:rFonts w:ascii="Times New Roman" w:hAnsi="Times New Roman"/>
        </w:rPr>
        <w:t xml:space="preserve">N9</w:t>
      </w:r>
      <w:r>
        <w:rPr>
          <w:b w:val="true"/>
          <w:color w:val="#000000"/>
          <w:sz w:val="14"/>
          <w:lang w:val="cs-CZ"/>
          <w:spacing w:val="-36"/>
          <w:w w:val="100"/>
          <w:strike w:val="false"/>
          <w:vertAlign w:val="superscript"/>
          <w:rFonts w:ascii="Times New Roman" w:hAnsi="Times New Roman"/>
        </w:rPr>
        <w:t xml:space="preserve">M</w:t>
      </w:r>
      <w:r>
        <w:rPr>
          <w:b w:val="true"/>
          <w:color w:val="#000000"/>
          <w:sz w:val="14"/>
          <w:lang w:val="cs-CZ"/>
          <w:spacing w:val="-36"/>
          <w:w w:val="100"/>
          <w:strike w:val="false"/>
          <w:vertAlign w:val="baseline"/>
          <w:rFonts w:ascii="Times New Roman" w:hAnsi="Times New Roman"/>
        </w:rPr>
        <w:t xml:space="preserve">B</w:t>
      </w:r>
      <w:r>
        <w:rPr>
          <w:b w:val="true"/>
          <w:color w:val="#000000"/>
          <w:sz w:val="14"/>
          <w:lang w:val="cs-CZ"/>
          <w:spacing w:val="-36"/>
          <w:w w:val="100"/>
          <w:strike w:val="false"/>
          <w:vertAlign w:val="superscript"/>
          <w:rFonts w:ascii="Times New Roman" w:hAnsi="Times New Roman"/>
        </w:rPr>
        <w:t xml:space="preserve">Q</w:t>
      </w:r>
      <w:r>
        <w:rPr>
          <w:b w:val="true"/>
          <w:color w:val="#000000"/>
          <w:sz w:val="14"/>
          <w:lang w:val="cs-CZ"/>
          <w:spacing w:val="-36"/>
          <w:w w:val="100"/>
          <w:strike w:val="false"/>
          <w:vertAlign w:val="baseline"/>
          <w:rFonts w:ascii="Times New Roman" w:hAnsi="Times New Roman"/>
        </w:rPr>
        <w:t xml:space="preserve">U</w:t>
      </w:r>
      <w:r>
        <w:rPr>
          <w:b w:val="true"/>
          <w:color w:val="#000000"/>
          <w:sz w:val="14"/>
          <w:lang w:val="cs-CZ"/>
          <w:spacing w:val="-36"/>
          <w:w w:val="100"/>
          <w:strike w:val="false"/>
          <w:vertAlign w:val="superscript"/>
          <w:rFonts w:ascii="Times New Roman" w:hAnsi="Times New Roman"/>
        </w:rPr>
        <w:t xml:space="preserve">R</w:t>
      </w:r>
      <w:r>
        <w:rPr>
          <w:b w:val="true"/>
          <w:color w:val="#000000"/>
          <w:sz w:val="14"/>
          <w:lang w:val="cs-CZ"/>
          <w:spacing w:val="-36"/>
          <w:w w:val="100"/>
          <w:strike w:val="false"/>
          <w:vertAlign w:val="baseline"/>
          <w:rFonts w:ascii="Times New Roman" w:hAnsi="Times New Roman"/>
        </w:rPr>
        <w:t xml:space="preserve">R</w:t>
      </w:r>
      <w:r>
        <w:rPr>
          <w:b w:val="true"/>
          <w:color w:val="#000000"/>
          <w:sz w:val="14"/>
          <w:lang w:val="cs-CZ"/>
          <w:spacing w:val="-36"/>
          <w:w w:val="100"/>
          <w:strike w:val="false"/>
          <w:vertAlign w:val="superscript"/>
          <w:rFonts w:ascii="Times New Roman" w:hAnsi="Times New Roman"/>
        </w:rPr>
        <w:t xml:space="preserve">A</w:t>
      </w:r>
      <w:r>
        <w:rPr>
          <w:b w:val="true"/>
          <w:color w:val="#000000"/>
          <w:sz w:val="14"/>
          <w:lang w:val="cs-CZ"/>
          <w:spacing w:val="-36"/>
          <w:w w:val="100"/>
          <w:strike w:val="false"/>
          <w:vertAlign w:val="baseline"/>
          <w:rFonts w:ascii="Times New Roman" w:hAnsi="Times New Roman"/>
        </w:rPr>
        <w:t xml:space="preserve">7</w:t>
      </w:r>
      <w:r>
        <w:rPr>
          <w:b w:val="true"/>
          <w:color w:val="#000000"/>
          <w:sz w:val="14"/>
          <w:lang w:val="cs-CZ"/>
          <w:spacing w:val="-36"/>
          <w:w w:val="100"/>
          <w:strike w:val="false"/>
          <w:vertAlign w:val="superscript"/>
          <w:rFonts w:ascii="Times New Roman" w:hAnsi="Times New Roman"/>
        </w:rPr>
        <w:t xml:space="preserve">V</w:t>
      </w:r>
      <w:r>
        <w:rPr>
          <w:b w:val="true"/>
          <w:color w:val="#000000"/>
          <w:sz w:val="14"/>
          <w:lang w:val="cs-CZ"/>
          <w:spacing w:val="-36"/>
          <w:w w:val="100"/>
          <w:strike w:val="false"/>
          <w:vertAlign w:val="baseline"/>
          <w:rFonts w:ascii="Times New Roman" w:hAnsi="Times New Roman"/>
        </w:rPr>
        <w:t xml:space="preserve">A</w:t>
      </w:r>
      <w:r>
        <w:rPr>
          <w:b w:val="true"/>
          <w:color w:val="#000000"/>
          <w:sz w:val="14"/>
          <w:lang w:val="cs-CZ"/>
          <w:spacing w:val="-36"/>
          <w:w w:val="100"/>
          <w:strike w:val="false"/>
          <w:vertAlign w:val="superscript"/>
          <w:rFonts w:ascii="Times New Roman" w:hAnsi="Times New Roman"/>
        </w:rPr>
        <w:t xml:space="preserve">S</w:t>
      </w:r>
      <w:r>
        <w:rPr>
          <w:b w:val="true"/>
          <w:color w:val="#000000"/>
          <w:sz w:val="14"/>
          <w:lang w:val="cs-CZ"/>
          <w:spacing w:val="-36"/>
          <w:w w:val="100"/>
          <w:strike w:val="false"/>
          <w:vertAlign w:val="baseline"/>
          <w:rFonts w:ascii="Times New Roman" w:hAnsi="Times New Roman"/>
        </w:rPr>
        <w:t xml:space="preserve">K</w:t>
      </w:r>
      <w:r>
        <w:rPr>
          <w:b w:val="true"/>
          <w:color w:val="#000000"/>
          <w:sz w:val="14"/>
          <w:lang w:val="cs-CZ"/>
          <w:spacing w:val="-36"/>
          <w:w w:val="100"/>
          <w:strike w:val="false"/>
          <w:vertAlign w:val="superscript"/>
          <w:rFonts w:ascii="Times New Roman" w:hAnsi="Times New Roman"/>
        </w:rPr>
        <w:t xml:space="preserve">K</w:t>
      </w:r>
      <w:r>
        <w:rPr>
          <w:b w:val="true"/>
          <w:color w:val="#000000"/>
          <w:sz w:val="14"/>
          <w:lang w:val="cs-CZ"/>
          <w:spacing w:val="-36"/>
          <w:w w:val="100"/>
          <w:strike w:val="false"/>
          <w:vertAlign w:val="baseline"/>
          <w:rFonts w:ascii="Times New Roman" w:hAnsi="Times New Roman"/>
        </w:rPr>
        <w:t xml:space="preserve">L</w:t>
      </w:r>
      <w:r>
        <w:rPr>
          <w:b w:val="true"/>
          <w:color w:val="#000000"/>
          <w:sz w:val="14"/>
          <w:lang w:val="cs-CZ"/>
          <w:spacing w:val="-36"/>
          <w:w w:val="100"/>
          <w:strike w:val="false"/>
          <w:vertAlign w:val="superscript"/>
          <w:rFonts w:ascii="Times New Roman" w:hAnsi="Times New Roman"/>
        </w:rPr>
        <w:t xml:space="preserve">Á</w:t>
      </w:r>
      <w:r>
        <w:rPr>
          <w:b w:val="true"/>
          <w:color w:val="#000000"/>
          <w:sz w:val="14"/>
          <w:lang w:val="cs-CZ"/>
          <w:spacing w:val="-36"/>
          <w:w w:val="100"/>
          <w:strike w:val="false"/>
          <w:vertAlign w:val="baseline"/>
          <w:rFonts w:ascii="Times New Roman" w:hAnsi="Times New Roman"/>
        </w:rPr>
        <w:t xml:space="preserve">ADNO</w:t>
      </w:r>
    </w:p>
    <w:p>
      <w:pPr>
        <w:ind w:right="0" w:left="0" w:firstLine="0"/>
        <w:spacing w:before="108" w:after="0" w:line="240" w:lineRule="auto"/>
        <w:jc w:val="left"/>
        <w:rPr>
          <w:b w:val="true"/>
          <w:color w:val="#000000"/>
          <w:sz w:val="18"/>
          <w:lang w:val="cs-CZ"/>
          <w:spacing w:val="0"/>
          <w:w w:val="100"/>
          <w:strike w:val="false"/>
          <w:u w:val="single"/>
          <w:vertAlign w:val="baseline"/>
          <w:rFonts w:ascii="Tahoma" w:hAnsi="Tahoma"/>
        </w:rPr>
      </w:pPr>
      <w:r>
        <w:rPr>
          <w:b w:val="true"/>
          <w:color w:val="#000000"/>
          <w:sz w:val="18"/>
          <w:lang w:val="cs-CZ"/>
          <w:spacing w:val="0"/>
          <w:w w:val="100"/>
          <w:strike w:val="false"/>
          <w:u w:val="single"/>
          <w:vertAlign w:val="baseline"/>
          <w:rFonts w:ascii="Tahoma" w:hAnsi="Tahoma"/>
        </w:rPr>
        <w:t xml:space="preserve">Dodací podmínky</w:t>
      </w:r>
    </w:p>
    <w:p>
      <w:pPr>
        <w:ind w:right="216" w:left="288" w:firstLine="-216"/>
        <w:spacing w:before="252" w:after="0" w:line="266" w:lineRule="auto"/>
        <w:jc w:val="left"/>
        <w:tabs>
          <w:tab w:val="clear" w:pos="216"/>
          <w:tab w:val="decimal" w:pos="288"/>
        </w:tabs>
        <w:numPr>
          <w:ilvl w:val="0"/>
          <w:numId w:val="2"/>
        </w:numPr>
        <w:rPr>
          <w:color w:val="#000000"/>
          <w:sz w:val="18"/>
          <w:lang w:val="cs-CZ"/>
          <w:spacing w:val="9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9"/>
          <w:w w:val="100"/>
          <w:strike w:val="false"/>
          <w:vertAlign w:val="baseline"/>
          <w:rFonts w:ascii="Arial" w:hAnsi="Arial"/>
        </w:rPr>
        <w:t xml:space="preserve">Dodavatel je povinen dodávat sjednané množství silové elekt</w:t>
      </w:r>
      <w:r>
        <w:rPr>
          <w:color w:val="#000000"/>
          <w:sz w:val="18"/>
          <w:lang w:val="cs-CZ"/>
          <w:spacing w:val="9"/>
          <w:w w:val="100"/>
          <w:strike w:val="false"/>
          <w:vertAlign w:val="baseline"/>
          <w:rFonts w:ascii="Arial" w:hAnsi="Arial"/>
        </w:rPr>
        <w:t xml:space="preserve">řiny do odběrného místa odběratele, </w:t>
      </w: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v rozsahu a za podmínek uzavřeného burzovního obchodu (závěrkového listu) v kvalitě podle příslušných </w:t>
      </w: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platných právních předpisů, pokud tomu nebrání okolnosti vyvolané provozovatelem distribuční soustavy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nebo okolnosti stanovené právními předpisy.</w:t>
      </w:r>
    </w:p>
    <w:p>
      <w:pPr>
        <w:ind w:right="720" w:left="288" w:firstLine="-216"/>
        <w:spacing w:before="252" w:after="0" w:line="268" w:lineRule="auto"/>
        <w:jc w:val="left"/>
        <w:tabs>
          <w:tab w:val="clear" w:pos="216"/>
          <w:tab w:val="decimal" w:pos="288"/>
        </w:tabs>
        <w:numPr>
          <w:ilvl w:val="0"/>
          <w:numId w:val="2"/>
        </w:numP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Za sjednané množství dodávky silové elekt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řiny se považuje skutečně dodané a odebrané množství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elektřiny v odběrném místě odběratele. Celkové množství dodávky silové elektřiny uvedené na závěrkovém listu představuje předpokládané množství dodávky elektřiny.</w:t>
      </w:r>
    </w:p>
    <w:p>
      <w:pPr>
        <w:ind w:right="864" w:left="288" w:firstLine="-216"/>
        <w:spacing w:before="216" w:after="0" w:line="271" w:lineRule="auto"/>
        <w:jc w:val="left"/>
        <w:tabs>
          <w:tab w:val="clear" w:pos="216"/>
          <w:tab w:val="decimal" w:pos="288"/>
        </w:tabs>
        <w:numPr>
          <w:ilvl w:val="0"/>
          <w:numId w:val="2"/>
        </w:numP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Dodávka silové elekt</w:t>
      </w: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řiny se uskutečňuje v napěťové hladině nízkého napětí v souladu s hodnotou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hlavního jističe před měřícím zařízením.</w:t>
      </w:r>
    </w:p>
    <w:p>
      <w:pPr>
        <w:ind w:right="360" w:left="288" w:firstLine="-216"/>
        <w:spacing w:before="216" w:after="0" w:line="268" w:lineRule="auto"/>
        <w:jc w:val="left"/>
        <w:tabs>
          <w:tab w:val="clear" w:pos="216"/>
          <w:tab w:val="decimal" w:pos="288"/>
        </w:tabs>
        <w:numPr>
          <w:ilvl w:val="0"/>
          <w:numId w:val="2"/>
        </w:numP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Dodávka silové elekt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řiny je spiněna přechodem elektřiny z příslušné distribuční soustavy přes měřící 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zařízení do odběrného místa odběratele. Měření dodávek, včetně vyhodnocování a předávání výsledků </w:t>
      </w:r>
      <w:r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měření je zajišťováno provozovatelem distribuční soustavy podle příslušného platného právního 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předpisu. Pokud provozovatel distribuční soustavy eviduje jiný údaj o typu měření, než je údaj uvedený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v závěrkovém listu, platí údaj evidovaný provozovatelem distribuční soustavy.</w:t>
      </w:r>
    </w:p>
    <w:p>
      <w:pPr>
        <w:ind w:right="504" w:left="288" w:firstLine="-216"/>
        <w:spacing w:before="252" w:after="0" w:line="268" w:lineRule="auto"/>
        <w:jc w:val="left"/>
        <w:tabs>
          <w:tab w:val="clear" w:pos="216"/>
          <w:tab w:val="decimal" w:pos="288"/>
        </w:tabs>
        <w:numPr>
          <w:ilvl w:val="0"/>
          <w:numId w:val="2"/>
        </w:numP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Dodavatel je povinen zajistit na vlastní jméno a na vlastní ú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čet pro odběrné místo odběratele dopravu </w:t>
      </w: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elektřiny a ostatní související služby a dále je povinen uzavřít s provozovatelem distribuční soustavy 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jménem a na účet odběratele smlouvu o distribuci elektřiny do odběrného místa odběratele.</w:t>
      </w:r>
    </w:p>
    <w:p>
      <w:pPr>
        <w:ind w:right="216" w:left="288" w:firstLine="-216"/>
        <w:spacing w:before="216" w:after="0" w:line="268" w:lineRule="auto"/>
        <w:jc w:val="left"/>
        <w:tabs>
          <w:tab w:val="clear" w:pos="216"/>
          <w:tab w:val="decimal" w:pos="288"/>
        </w:tabs>
        <w:numPr>
          <w:ilvl w:val="0"/>
          <w:numId w:val="2"/>
        </w:numP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Odb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ěratel uzavřením burzovního obchodu souhlasí, aby dodavatel uzavřel s provozovatelem distribuční </w:t>
      </w:r>
      <w:r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soustavy smlouvu o distribuci elektřiny do odběrného místa a dále je povinen poskytnout dodavateli 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k uzavření smlouvy o distribuci elektřiny nezbytnou součinnost. Dodavatel je oprávněn pověřit uzavřením 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smlouvy o distribuci elektřiny do odběrného místa třetí osobu, avšak odpovědnost vůči odběrateli za uzavření takové smlouvy nese sám.</w:t>
      </w:r>
    </w:p>
    <w:p>
      <w:pPr>
        <w:ind w:right="144" w:left="288" w:firstLine="-216"/>
        <w:spacing w:before="252" w:after="0" w:line="268" w:lineRule="auto"/>
        <w:jc w:val="left"/>
        <w:tabs>
          <w:tab w:val="clear" w:pos="216"/>
          <w:tab w:val="decimal" w:pos="288"/>
        </w:tabs>
        <w:numPr>
          <w:ilvl w:val="0"/>
          <w:numId w:val="2"/>
        </w:numPr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Dodavatel je povinen ve smyslu p</w:t>
      </w:r>
      <w:r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říslušného platného právního předpisu převzít závazek odběratele </w:t>
      </w:r>
      <w: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odebrat elektřinu z elektrizační soustavy a nést pinou zodpovědnost za odchylku odběratele vztahující 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se k odběrnému místu odběratele (dále „přenesení odpovědnosti za odchylku na dodavatele"). Z důvodu </w:t>
      </w: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přenesení odpovědnosti za odchylku na dodavatele není odběratel oprávněn mít pro dodávku elektřiny do 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odběrného místa dle burzovního obchodu (závěrkového listu) jiného nebo více jiných dodavatelů.</w:t>
      </w:r>
    </w:p>
    <w:p>
      <w:pPr>
        <w:ind w:right="144" w:left="288" w:firstLine="-216"/>
        <w:spacing w:before="252" w:after="0" w:line="268" w:lineRule="auto"/>
        <w:jc w:val="left"/>
        <w:tabs>
          <w:tab w:val="clear" w:pos="216"/>
          <w:tab w:val="decimal" w:pos="288"/>
        </w:tabs>
        <w:numPr>
          <w:ilvl w:val="0"/>
          <w:numId w:val="2"/>
        </w:numP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Sjednaná dodávka elekt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řiny může být omezena, pokud bude provozovatelem přenosové soustavy nebo </w:t>
      </w: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provozovatelem distribuční soustavy vyhlášen stav nouze podle příslušných platných právních předpisů. </w:t>
      </w:r>
      <w:r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Odběrná místa s odběrem elektřiny ze zařízení distribučních soustav s napětím do 1 kV s hodnotou </w:t>
      </w: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jističe nižší než 200 A jsou zařazena v souladu s platnými právními předpisy do regulačního stupně č. 2. 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Odběrná místa s odběrem elektřiny ze zařízení distribučních soustav s napětím do 1 kV s hodnotou jističe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před elektroměrem 200 A a vyšší jsou zařazena v regulačních stupních č. 4 a 6. Odběratel je povinen 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sledovat ínformace o vyhlášení omezujících regulačních opatření v případě hrozícího nebo stávajícího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stavu nouze v elektroenergetice. Dodavatel i odběratel jsou povinni v případě hrozícího nebo stávajícího 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stavu nouze v elektroenergetice postupovat podle příslušného platného právního předpisu.</w:t>
      </w:r>
    </w:p>
    <w:p>
      <w:pPr>
        <w:ind w:right="360" w:left="288" w:firstLine="-216"/>
        <w:spacing w:before="216" w:after="0" w:line="268" w:lineRule="auto"/>
        <w:jc w:val="left"/>
        <w:tabs>
          <w:tab w:val="clear" w:pos="216"/>
          <w:tab w:val="decimal" w:pos="288"/>
        </w:tabs>
        <w:numPr>
          <w:ilvl w:val="0"/>
          <w:numId w:val="2"/>
        </w:numP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Odb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ěratel je povinen při odběru elektřiny dle uzavřeného burzovního obchodu (závěrkového listu) respektovat podmínky distribuce elektřiny příslušného provozovatele distribuční soustavy a dále je 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povinen udržovat odběrná zařízení ve stavu, který odpovídá příslušným technickým normám a platným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právním předpisům.</w:t>
      </w:r>
    </w:p>
    <w:p>
      <w:pPr>
        <w:ind w:right="0" w:left="0" w:firstLine="0"/>
        <w:spacing w:before="216" w:after="0" w:line="240" w:lineRule="auto"/>
        <w:jc w:val="left"/>
        <w:rPr>
          <w:b w:val="true"/>
          <w:color w:val="#000000"/>
          <w:sz w:val="18"/>
          <w:lang w:val="cs-CZ"/>
          <w:spacing w:val="-2"/>
          <w:w w:val="100"/>
          <w:strike w:val="false"/>
          <w:u w:val="single"/>
          <w:vertAlign w:val="baseline"/>
          <w:rFonts w:ascii="Tahoma" w:hAnsi="Tahoma"/>
        </w:rPr>
      </w:pPr>
      <w:r>
        <w:rPr>
          <w:b w:val="true"/>
          <w:color w:val="#000000"/>
          <w:sz w:val="18"/>
          <w:lang w:val="cs-CZ"/>
          <w:spacing w:val="-2"/>
          <w:w w:val="100"/>
          <w:strike w:val="false"/>
          <w:u w:val="single"/>
          <w:vertAlign w:val="baseline"/>
          <w:rFonts w:ascii="Tahoma" w:hAnsi="Tahoma"/>
        </w:rPr>
        <w:t xml:space="preserve">Platební podmínky </w:t>
      </w:r>
    </w:p>
    <w:p>
      <w:pPr>
        <w:ind w:right="0" w:left="0" w:firstLine="0"/>
        <w:spacing w:before="288" w:after="0" w:line="240" w:lineRule="auto"/>
        <w:jc w:val="left"/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1. Odb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ěratel je povinen zaplatit dodavateli za dodávku elektřiny cenu, která je tvořena:</w:t>
      </w:r>
    </w:p>
    <w:p>
      <w:pPr>
        <w:ind w:right="0" w:left="504" w:firstLine="-216"/>
        <w:spacing w:before="0" w:after="0" w:line="240" w:lineRule="auto"/>
        <w:jc w:val="left"/>
        <w:tabs>
          <w:tab w:val="clear" w:pos="216"/>
          <w:tab w:val="decimal" w:pos="504"/>
        </w:tabs>
        <w:numPr>
          <w:ilvl w:val="0"/>
          <w:numId w:val="3"/>
        </w:numPr>
        <w:rPr>
          <w:color w:val="#000000"/>
          <w:sz w:val="18"/>
          <w:lang w:val="cs-CZ"/>
          <w:spacing w:val="1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12"/>
          <w:w w:val="100"/>
          <w:strike w:val="false"/>
          <w:vertAlign w:val="baseline"/>
          <w:rFonts w:ascii="Arial" w:hAnsi="Arial"/>
        </w:rPr>
        <w:t xml:space="preserve">cenou za silovou elekt</w:t>
      </w:r>
      <w:r>
        <w:rPr>
          <w:color w:val="#000000"/>
          <w:sz w:val="18"/>
          <w:lang w:val="cs-CZ"/>
          <w:spacing w:val="12"/>
          <w:w w:val="100"/>
          <w:strike w:val="false"/>
          <w:vertAlign w:val="baseline"/>
          <w:rFonts w:ascii="Arial" w:hAnsi="Arial"/>
        </w:rPr>
        <w:t xml:space="preserve">řinu ,</w:t>
      </w:r>
    </w:p>
    <w:p>
      <w:pPr>
        <w:ind w:right="576" w:left="504" w:firstLine="-216"/>
        <w:spacing w:before="36" w:after="0" w:line="268" w:lineRule="auto"/>
        <w:jc w:val="both"/>
        <w:tabs>
          <w:tab w:val="clear" w:pos="216"/>
          <w:tab w:val="decimal" w:pos="504"/>
        </w:tabs>
        <w:numPr>
          <w:ilvl w:val="0"/>
          <w:numId w:val="3"/>
        </w:numP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cenou za distribuci elekt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řiny, systémové služby a ostatní související služby, která bude stanovena 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v souladu s všeobecně závaznými právními předpisy, zejména cenovými rozhodnutími příslušných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správních a regulačních orgánů.</w:t>
      </w:r>
    </w:p>
    <w:p>
      <w:pPr>
        <w:ind w:right="360" w:left="216" w:firstLine="-216"/>
        <w:spacing w:before="180" w:after="0" w:line="268" w:lineRule="auto"/>
        <w:jc w:val="left"/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</w:pPr>
      <w:r>
        <w:pict>
          <v:line strokeweight="0.9pt" strokecolor="#141720" from="0pt,44.75pt" to="464.45pt,44.75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2. Dodávky elekt</w:t>
      </w: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řiny se účtují v zúčtovacím období fakturami, které musí mít náležitosti daňových dokladů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podle příslušných právních předpisů.</w:t>
      </w:r>
    </w:p>
    <w:p>
      <w:pPr>
        <w:sectPr>
          <w:pgSz w:w="11918" w:h="16854" w:orient="portrait"/>
          <w:type w:val="nextPage"/>
          <w:textDirection w:val="lrTb"/>
          <w:pgMar w:bottom="607" w:top="854" w:right="1183" w:left="1315" w:header="720" w:footer="720"/>
          <w:titlePg w:val="false"/>
        </w:sectPr>
      </w:pPr>
    </w:p>
    <w:p>
      <w:pPr>
        <w:rPr>
          <w:sz w:val="2"/>
        </w:rPr>
      </w:pP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468pt;height:10.5pt;z-index:-996;margin-left:0pt;margin-top:751.8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72" w:firstLine="0"/>
                    <w:spacing w:before="0" w:after="0" w:line="240" w:lineRule="auto"/>
                    <w:jc w:val="left"/>
                    <w:framePr w:hAnchor="text" w:vAnchor="text" w:y="15036" w:w="9360" w:h="210" w:hSpace="0" w:vSpace="0" w:wrap="3"/>
                    <w:tabs>
                      <w:tab w:val="right" w:leader="none" w:pos="9317"/>
                    </w:tabs>
                    <w:rPr>
                      <w:i w:val="true"/>
                      <w:color w:val="#000000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i w:val="true"/>
                      <w:color w:val="#000000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Dodávka elekt</w:t>
                  </w:r>
                  <w:r>
                    <w:rPr>
                      <w:i w:val="true"/>
                      <w:color w:val="#000000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řiny v rámci SSDE v napětóvé hladině nízkého napětí	</w:t>
                  </w:r>
                  <w:r>
                    <w:rPr>
                      <w:i w:val="true"/>
                      <w:color w:val="#000000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Strana 3 (celkem 7)</w:t>
                  </w:r>
                </w:p>
              </w:txbxContent>
            </v:textbox>
          </v:shap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161"/>
        <w:gridCol w:w="8199"/>
      </w:tblGrid>
      <w:tr>
        <w:trPr>
          <w:trHeight w:val="506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161" w:type="auto"/>
            <w:textDirection w:val="lrTb"/>
            <w:vAlign w:val="center"/>
          </w:tcPr>
          <w:p>
            <w:pPr>
              <w:ind w:right="48" w:left="0" w:firstLine="0"/>
              <w:spacing w:before="0" w:after="0" w:line="240" w:lineRule="auto"/>
              <w:jc w:val="right"/>
              <w:rPr>
                <w:b w:val="true"/>
                <w:color w:val="#3C5277"/>
                <w:sz w:val="58"/>
                <w:lang w:val="cs-CZ"/>
                <w:spacing w:val="-176"/>
                <w:w w:val="105"/>
                <w:strike w:val="false"/>
                <w:vertAlign w:val="baseline"/>
                <w:rFonts w:ascii="Verdana" w:hAnsi="Verdana"/>
              </w:rPr>
            </w:pPr>
            <w:r>
              <w:rPr>
                <w:b w:val="true"/>
                <w:color w:val="#3C5277"/>
                <w:sz w:val="58"/>
                <w:lang w:val="cs-CZ"/>
                <w:spacing w:val="-176"/>
                <w:w w:val="105"/>
                <w:strike w:val="false"/>
                <w:vertAlign w:val="baseline"/>
                <w:rFonts w:ascii="Verdana" w:hAnsi="Verdana"/>
              </w:rPr>
              <w:t xml:space="preserve">v(B&gt;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360" w:type="auto"/>
            <w:textDirection w:val="lrTb"/>
            <w:vAlign w:val="center"/>
          </w:tcPr>
          <w:p>
            <w:pPr>
              <w:ind w:right="0" w:left="0" w:firstLine="0"/>
              <w:spacing w:before="0" w:after="0" w:line="285" w:lineRule="auto"/>
              <w:jc w:val="center"/>
              <w:rPr>
                <w:b w:val="true"/>
                <w:color w:val="#000000"/>
                <w:sz w:val="10"/>
                <w:lang w:val="cs-CZ"/>
                <w:spacing w:val="4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0"/>
                <w:lang w:val="cs-CZ"/>
                <w:spacing w:val="4"/>
                <w:w w:val="100"/>
                <w:strike w:val="false"/>
                <w:vertAlign w:val="baseline"/>
                <w:rFonts w:ascii="Tahoma" w:hAnsi="Tahoma"/>
              </w:rPr>
              <w:t xml:space="preserve">ÉLSKOMORAVSKÁ
</w:t>
              <w:br/>
            </w:r>
            <w:r>
              <w:rPr>
                <w:b w:val="true"/>
                <w:color w:val="#000000"/>
                <w:sz w:val="10"/>
                <w:lang w:val="cs-CZ"/>
                <w:spacing w:val="6"/>
                <w:w w:val="100"/>
                <w:strike w:val="false"/>
                <w:vertAlign w:val="baseline"/>
                <w:rFonts w:ascii="Tahoma" w:hAnsi="Tahoma"/>
              </w:rPr>
              <w:t xml:space="preserve">KOMODITNÍ BURZA KLADNO</w:t>
            </w:r>
          </w:p>
        </w:tc>
      </w:tr>
    </w:tbl>
    <w:p>
      <w:pPr>
        <w:spacing w:before="0" w:after="160" w:line="20" w:lineRule="exact"/>
      </w:pPr>
    </w:p>
    <w:p>
      <w:pPr>
        <w:ind w:right="0" w:left="0" w:firstLine="0"/>
        <w:spacing w:before="0" w:after="0" w:line="240" w:lineRule="auto"/>
        <w:jc w:val="left"/>
        <w:rPr>
          <w:color w:val="#000000"/>
          <w:sz w:val="19"/>
          <w:lang w:val="cs-CZ"/>
          <w:spacing w:val="0"/>
          <w:w w:val="110"/>
          <w:strike w:val="false"/>
          <w:u w:val="singl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0"/>
          <w:w w:val="110"/>
          <w:strike w:val="false"/>
          <w:u w:val="single"/>
          <w:vertAlign w:val="baseline"/>
          <w:rFonts w:ascii="Arial" w:hAnsi="Arial"/>
        </w:rPr>
        <w:t xml:space="preserve">Dodací </w:t>
      </w:r>
      <w:r>
        <w:rPr>
          <w:b w:val="true"/>
          <w:color w:val="#000000"/>
          <w:sz w:val="19"/>
          <w:lang w:val="cs-CZ"/>
          <w:spacing w:val="0"/>
          <w:w w:val="100"/>
          <w:strike w:val="false"/>
          <w:u w:val="single"/>
          <w:vertAlign w:val="baseline"/>
          <w:rFonts w:ascii="Arial" w:hAnsi="Arial"/>
        </w:rPr>
        <w:t xml:space="preserve">podmínky</w:t>
      </w:r>
    </w:p>
    <w:p>
      <w:pPr>
        <w:ind w:right="144" w:left="360" w:firstLine="-288"/>
        <w:spacing w:before="216" w:after="0" w:line="266" w:lineRule="auto"/>
        <w:jc w:val="left"/>
        <w:tabs>
          <w:tab w:val="clear" w:pos="288"/>
          <w:tab w:val="decimal" w:pos="360"/>
        </w:tabs>
        <w:numPr>
          <w:ilvl w:val="0"/>
          <w:numId w:val="4"/>
        </w:numPr>
        <w:rPr>
          <w:color w:val="#000000"/>
          <w:sz w:val="18"/>
          <w:lang w:val="cs-CZ"/>
          <w:spacing w:val="9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9"/>
          <w:w w:val="100"/>
          <w:strike w:val="false"/>
          <w:vertAlign w:val="baseline"/>
          <w:rFonts w:ascii="Arial" w:hAnsi="Arial"/>
        </w:rPr>
        <w:t xml:space="preserve">Dodavatel je povinen dodávat sjednané množství silové elekt</w:t>
      </w:r>
      <w:r>
        <w:rPr>
          <w:color w:val="#000000"/>
          <w:sz w:val="18"/>
          <w:lang w:val="cs-CZ"/>
          <w:spacing w:val="9"/>
          <w:w w:val="100"/>
          <w:strike w:val="false"/>
          <w:vertAlign w:val="baseline"/>
          <w:rFonts w:ascii="Arial" w:hAnsi="Arial"/>
        </w:rPr>
        <w:t xml:space="preserve">řiny do odběrného místa odběratele, </w:t>
      </w: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v rozsahu a za podmínek uzavřeného burzovního obchodu (závěrkového listu) v kvalitě podle příslušných </w:t>
      </w: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platných právních předpisů, pokud tomu nebrání okolnosti vyvolané provozovatelem distribuční soustavy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nebo okolnosti stanovené právními předpisy.</w:t>
      </w:r>
    </w:p>
    <w:p>
      <w:pPr>
        <w:ind w:right="720" w:left="360" w:firstLine="-288"/>
        <w:spacing w:before="252" w:after="0" w:line="268" w:lineRule="auto"/>
        <w:jc w:val="left"/>
        <w:tabs>
          <w:tab w:val="clear" w:pos="288"/>
          <w:tab w:val="decimal" w:pos="360"/>
        </w:tabs>
        <w:numPr>
          <w:ilvl w:val="0"/>
          <w:numId w:val="4"/>
        </w:numP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Za sjednané množství dodávky silové elekt</w:t>
      </w: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řiny se považuje skutečně dodané a odebrané množství </w:t>
      </w: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elektřiny v odběrném místě odběratele. Celkové množství dodávky silové elektřiny uvedené na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závěrkovém listu představuje předpokládané množství dodávky elektřiny.</w:t>
      </w:r>
    </w:p>
    <w:p>
      <w:pPr>
        <w:ind w:right="792" w:left="360" w:firstLine="-288"/>
        <w:spacing w:before="216" w:after="0" w:line="268" w:lineRule="auto"/>
        <w:jc w:val="left"/>
        <w:tabs>
          <w:tab w:val="clear" w:pos="288"/>
          <w:tab w:val="decimal" w:pos="360"/>
        </w:tabs>
        <w:numPr>
          <w:ilvl w:val="0"/>
          <w:numId w:val="4"/>
        </w:numP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Dodávka silové elekt</w:t>
      </w: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řiny se uskutečňuje v napěťové hladině nízkého napětí v souladu s hodnotou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hlavního jističe před měřícím zařízením.</w:t>
      </w:r>
    </w:p>
    <w:p>
      <w:pPr>
        <w:ind w:right="288" w:left="360" w:firstLine="-288"/>
        <w:spacing w:before="252" w:after="0" w:line="268" w:lineRule="auto"/>
        <w:jc w:val="left"/>
        <w:tabs>
          <w:tab w:val="clear" w:pos="288"/>
          <w:tab w:val="decimal" w:pos="360"/>
        </w:tabs>
        <w:numPr>
          <w:ilvl w:val="0"/>
          <w:numId w:val="4"/>
        </w:numP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Dodávka silové elekt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řiny je spiněna přechodem elektřiny z příslušné distribuční soustavy přes měřící 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zařízení do odběrného místa odběratele. Měření dodávek, včetně vyhodnocování a předávání výsledků </w:t>
      </w:r>
      <w:r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měření je zajišťováno provozovatelem distribuční soustavy podle příslušného platného právního 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předpisu. Pokud provozovatel distribuční soustavy eviduje jiný údaj o typu měření, než je údaj uvedený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v závěrkovém listu, platí údaj evidovaný provozovatelem distribuční soustavy.</w:t>
      </w:r>
    </w:p>
    <w:p>
      <w:pPr>
        <w:ind w:right="504" w:left="360" w:firstLine="-288"/>
        <w:spacing w:before="216" w:after="0" w:line="268" w:lineRule="auto"/>
        <w:jc w:val="left"/>
        <w:tabs>
          <w:tab w:val="clear" w:pos="288"/>
          <w:tab w:val="decimal" w:pos="360"/>
        </w:tabs>
        <w:numPr>
          <w:ilvl w:val="0"/>
          <w:numId w:val="4"/>
        </w:numP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Dodavatel je povinen zajistit na vlastní jméno a na vlastní ú</w:t>
      </w: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čet pro odběrné místo odběratele dopravu 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elektřiny a ostatní související služby a dále je povinen uzavřít s provozovatelem distribuční soustavy 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jménem a na účet odběratele smlouvu o distribuci elektřiny do odběrného místa odběratele.</w:t>
      </w:r>
    </w:p>
    <w:p>
      <w:pPr>
        <w:ind w:right="216" w:left="360" w:firstLine="-288"/>
        <w:spacing w:before="252" w:after="0" w:line="268" w:lineRule="auto"/>
        <w:jc w:val="left"/>
        <w:tabs>
          <w:tab w:val="clear" w:pos="288"/>
          <w:tab w:val="decimal" w:pos="360"/>
        </w:tabs>
        <w:numPr>
          <w:ilvl w:val="0"/>
          <w:numId w:val="4"/>
        </w:numP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Odb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ěratel uzavřením burzovního obchodu souhlasí, aby dodavatel uzavřel s provozovatelem distribuční </w:t>
      </w:r>
      <w: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soustavy smlouvu o distribuci elektřiny do odběrného místa a dále je povinen poskytnout dodavateli </w:t>
      </w: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k uzavření smlouvy o distribuci elektřiny nezbytnou součinnost. Dodavatel je oprávněn pověřit uzavřením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smlouvy o distribuci elektřiny do odběrného místa třetí osobu, avšak odpovědnost vůči odběrateli za 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uzavření takové smlouvy nese sám.</w:t>
      </w:r>
    </w:p>
    <w:p>
      <w:pPr>
        <w:ind w:right="72" w:left="360" w:firstLine="-288"/>
        <w:spacing w:before="216" w:after="0" w:line="268" w:lineRule="auto"/>
        <w:jc w:val="left"/>
        <w:tabs>
          <w:tab w:val="clear" w:pos="288"/>
          <w:tab w:val="decimal" w:pos="360"/>
        </w:tabs>
        <w:numPr>
          <w:ilvl w:val="0"/>
          <w:numId w:val="4"/>
        </w:numPr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Dodavatel je povinen ve smyslu p</w:t>
      </w:r>
      <w:r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říslušného platného právního předpisu převzít závazek odběratele </w:t>
      </w:r>
      <w: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odebrat elektřinu z elektrizační soustavy a nést pinou zodpovědnost za odchylku odběratele vztahující 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se k odběrnému místu odběratele (dále „přenesení odpovědnosti za odchylku na dodavatele"). Z důvodu </w:t>
      </w: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přenesení odpovědnosti za odchylku na dodavatele není odběratel oprávněn mít pro dodávku elektřiny do 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odběrného místa dle burzovního obchodu (závěrkového listu) jiného nebo více jiných dodavatelů.</w:t>
      </w:r>
    </w:p>
    <w:p>
      <w:pPr>
        <w:ind w:right="72" w:left="360" w:firstLine="-288"/>
        <w:spacing w:before="252" w:after="0" w:line="268" w:lineRule="auto"/>
        <w:jc w:val="left"/>
        <w:tabs>
          <w:tab w:val="clear" w:pos="288"/>
          <w:tab w:val="decimal" w:pos="360"/>
        </w:tabs>
        <w:numPr>
          <w:ilvl w:val="0"/>
          <w:numId w:val="4"/>
        </w:numP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Sjednaná dodávka elekt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řiny může být omezena, pokud bude provozovatelem přenosové soustavy nebo </w:t>
      </w: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provozovatelem distribuční soustavy vyhlášen stav nouze podle příslušných platných právních předpisů. </w:t>
      </w:r>
      <w:r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Odběrná místa s odběrem elektřiny ze zařízení distribučních soustav s napětím do 1 kV s hodnotou </w:t>
      </w: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jističe nižší než 200 A jsou zařazena v souladu s platnými právními předpisy do regulačního stupně č. 2. 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Odběrná místa s odběrem elektřiny ze zařízení distribučních soustav s napětím do 1 kV s hodnotou jističe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před elektroměrem 200 A a vyšší jsou zařazena v regulačních stupních č. 4 a 6. Odběratel je povinen 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sledovat informace o vyhlášení omezujících regulačních opatření v případě hrozícího nebo stávajícího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stavu nouze v elektroenergetice. Dodavatel i odběratel jsou povinni v případě hrozícího nebo stávajícího 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stavu nouze v elektroenergetice postupovat podle příslušného platného právního předpisu.</w:t>
      </w:r>
    </w:p>
    <w:p>
      <w:pPr>
        <w:ind w:right="360" w:left="360" w:firstLine="-288"/>
        <w:spacing w:before="216" w:after="0" w:line="268" w:lineRule="auto"/>
        <w:jc w:val="left"/>
        <w:tabs>
          <w:tab w:val="clear" w:pos="288"/>
          <w:tab w:val="decimal" w:pos="360"/>
        </w:tabs>
        <w:numPr>
          <w:ilvl w:val="0"/>
          <w:numId w:val="4"/>
        </w:numP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Odb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ěratel je povinen při odběru elektřiny dle uzavřeného burzovního obchodu (závěrkového listu) 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respektovat podmínky distribuce elektřiny příslušného provozovatele distribuční soustavy a dále je </w:t>
      </w: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povinen udržovat odběrná zařízení ve stavu, který odpovídá příslušným technickým normám a platným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právním předpisům.</w:t>
      </w:r>
    </w:p>
    <w:p>
      <w:pPr>
        <w:ind w:right="0" w:left="0" w:firstLine="0"/>
        <w:spacing w:before="252" w:after="0" w:line="240" w:lineRule="auto"/>
        <w:jc w:val="left"/>
        <w:rPr>
          <w:b w:val="true"/>
          <w:color w:val="#000000"/>
          <w:sz w:val="19"/>
          <w:lang w:val="cs-CZ"/>
          <w:spacing w:val="-2"/>
          <w:w w:val="100"/>
          <w:strike w:val="false"/>
          <w:u w:val="single"/>
          <w:vertAlign w:val="baseline"/>
          <w:rFonts w:ascii="Arial" w:hAnsi="Arial"/>
        </w:rPr>
      </w:pPr>
      <w:r>
        <w:rPr>
          <w:b w:val="true"/>
          <w:color w:val="#000000"/>
          <w:sz w:val="19"/>
          <w:lang w:val="cs-CZ"/>
          <w:spacing w:val="-2"/>
          <w:w w:val="100"/>
          <w:strike w:val="false"/>
          <w:u w:val="single"/>
          <w:vertAlign w:val="baseline"/>
          <w:rFonts w:ascii="Arial" w:hAnsi="Arial"/>
        </w:rPr>
        <w:t xml:space="preserve">Platební podmínky </w:t>
      </w:r>
    </w:p>
    <w:p>
      <w:pPr>
        <w:ind w:right="0" w:left="72" w:firstLine="0"/>
        <w:spacing w:before="252" w:after="0" w:line="271" w:lineRule="auto"/>
        <w:jc w:val="left"/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1. Odb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ěratel je povinen zaplatit dodavateli za dodávku elektřiny cenu, která je tvořena:</w:t>
      </w:r>
    </w:p>
    <w:p>
      <w:pPr>
        <w:ind w:right="0" w:left="576" w:firstLine="-288"/>
        <w:spacing w:before="0" w:after="0" w:line="240" w:lineRule="auto"/>
        <w:jc w:val="left"/>
        <w:tabs>
          <w:tab w:val="clear" w:pos="288"/>
          <w:tab w:val="decimal" w:pos="576"/>
        </w:tabs>
        <w:numPr>
          <w:ilvl w:val="0"/>
          <w:numId w:val="5"/>
        </w:numPr>
        <w:rPr>
          <w:color w:val="#000000"/>
          <w:sz w:val="18"/>
          <w:lang w:val="cs-CZ"/>
          <w:spacing w:val="1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12"/>
          <w:w w:val="100"/>
          <w:strike w:val="false"/>
          <w:vertAlign w:val="baseline"/>
          <w:rFonts w:ascii="Arial" w:hAnsi="Arial"/>
        </w:rPr>
        <w:t xml:space="preserve">cenou za silovou elekt</w:t>
      </w:r>
      <w:r>
        <w:rPr>
          <w:color w:val="#000000"/>
          <w:sz w:val="18"/>
          <w:lang w:val="cs-CZ"/>
          <w:spacing w:val="12"/>
          <w:w w:val="100"/>
          <w:strike w:val="false"/>
          <w:vertAlign w:val="baseline"/>
          <w:rFonts w:ascii="Arial" w:hAnsi="Arial"/>
        </w:rPr>
        <w:t xml:space="preserve">řinu ,</w:t>
      </w:r>
    </w:p>
    <w:p>
      <w:pPr>
        <w:ind w:right="504" w:left="576" w:firstLine="-288"/>
        <w:spacing w:before="0" w:after="0" w:line="268" w:lineRule="auto"/>
        <w:jc w:val="left"/>
        <w:tabs>
          <w:tab w:val="clear" w:pos="288"/>
          <w:tab w:val="decimal" w:pos="576"/>
        </w:tabs>
        <w:numPr>
          <w:ilvl w:val="0"/>
          <w:numId w:val="5"/>
        </w:numP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cenou za distribuci elekt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řiny, systémové služby a ostatní související služby, která bude stanovena 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v souladu s všeobecně závaznými právními předpisy, zejména cenovými rozhodnutími příslušných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správních a regulačních orgánů.</w:t>
      </w:r>
    </w:p>
    <w:p>
      <w:pPr>
        <w:ind w:right="288" w:left="216" w:firstLine="-216"/>
        <w:spacing w:before="216" w:after="0" w:line="271" w:lineRule="auto"/>
        <w:jc w:val="left"/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pict>
          <v:line strokeweight="0.9pt" strokecolor="#151922" from="3.1pt,46.55pt" to="468.05pt,46.55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2. Dodávky elekt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řiny se účtují v zúčtovacím období fakturami, které musí mít náležitosti daňových dokladů podle příslušných právních předpisů.</w:t>
      </w:r>
    </w:p>
    <w:p>
      <w:pPr>
        <w:sectPr>
          <w:pgSz w:w="11918" w:h="16854" w:orient="portrait"/>
          <w:type w:val="nextPage"/>
          <w:textDirection w:val="lrTb"/>
          <w:pgMar w:bottom="614" w:top="874" w:right="1218" w:left="1280" w:header="720" w:footer="720"/>
          <w:titlePg w:val="false"/>
        </w:sectPr>
      </w:pPr>
    </w:p>
    <w:p>
      <w:pPr>
        <w:ind w:right="0" w:left="216" w:firstLine="0"/>
        <w:spacing w:before="180" w:after="0" w:line="840" w:lineRule="auto"/>
        <w:jc w:val="left"/>
        <w:rPr>
          <w:b w:val="true"/>
          <w:color w:val="#1C2A3B"/>
          <w:sz w:val="10"/>
          <w:lang w:val="cs-CZ"/>
          <w:spacing w:val="52"/>
          <w:w w:val="90"/>
          <w:strike w:val="false"/>
          <w:rFonts w:ascii="Arial" w:hAnsi="Arial"/>
        </w:rPr>
      </w:pP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d="f" style="position:absolute;width:468pt;height:10.7pt;z-index:-995;margin-left:0pt;margin-top:750.2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72" w:firstLine="0"/>
                    <w:spacing w:before="0" w:after="0" w:line="264" w:lineRule="auto"/>
                    <w:jc w:val="left"/>
                    <w:framePr w:hAnchor="text" w:vAnchor="text" w:y="15005" w:w="9360" w:h="214" w:hSpace="0" w:vSpace="0" w:wrap="3"/>
                    <w:tabs>
                      <w:tab w:val="right" w:leader="none" w:pos="9299"/>
                    </w:tabs>
                    <w:rPr>
                      <w:i w:val="true"/>
                      <w:color w:val="#000000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i w:val="true"/>
                      <w:color w:val="#000000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Dodávka elekt</w:t>
                  </w:r>
                  <w:r>
                    <w:rPr>
                      <w:i w:val="true"/>
                      <w:color w:val="#000000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řiny v rámci SSDE v napěťové hladině nízkého napětí	</w:t>
                  </w:r>
                  <w:r>
                    <w:rPr>
                      <w:i w:val="true"/>
                      <w:color w:val="#000000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Strana 4 (celkem 7)</w:t>
                  </w:r>
                </w:p>
              </w:txbxContent>
            </v:textbox>
          </v:shape>
        </w:pict>
      </w:r>
      <w:r>
        <w:rPr>
          <w:b w:val="true"/>
          <w:color w:val="#1C2A3B"/>
          <w:sz w:val="10"/>
          <w:lang w:val="cs-CZ"/>
          <w:spacing w:val="52"/>
          <w:w w:val="90"/>
          <w:strike w:val="false"/>
          <w:rFonts w:ascii="Arial" w:hAnsi="Arial"/>
        </w:rPr>
        <w:t xml:space="preserve">v</w:t>
      </w:r>
      <w:r>
        <w:rPr>
          <w:b w:val="true"/>
          <w:color w:val="#33446E"/>
          <w:sz w:val="10"/>
          <w:lang w:val="cs-CZ"/>
          <w:spacing w:val="52"/>
          <w:w w:val="100"/>
          <w:strike w:val="false"/>
          <w:rFonts w:ascii="Arial" w:hAnsi="Arial"/>
        </w:rPr>
        <w:t xml:space="preserve">(B</w:t>
      </w:r>
      <w:r>
        <w:rPr>
          <w:b w:val="true"/>
          <w:color w:val="#4A6498"/>
          <w:sz w:val="10"/>
          <w:lang w:val="cs-CZ"/>
          <w:spacing w:val="52"/>
          <w:w w:val="300"/>
          <w:strike w:val="false"/>
          <w:rFonts w:ascii="Arial" w:hAnsi="Arial"/>
        </w:rPr>
        <w:t xml:space="preserve">i</w:t>
      </w:r>
      <w:r>
        <w:rPr>
          <w:b w:val="true"/>
          <w:color w:val="#33446E"/>
          <w:sz w:val="10"/>
          <w:lang w:val="cs-CZ"/>
          <w:spacing w:val="52"/>
          <w:w w:val="100"/>
          <w:strike w:val="false"/>
          <w:rFonts w:ascii="Arial" w:hAnsi="Arial"/>
        </w:rPr>
        <w:t xml:space="preserve">p</w:t>
      </w:r>
      <w:r>
        <w:rPr>
          <w:color w:val="#000000"/>
          <w:sz w:val="10"/>
          <w:lang w:val="cs-CZ"/>
          <w:spacing w:val="52"/>
          <w:w w:val="100"/>
          <w:strike w:val="false"/>
          <w:vertAlign w:val="baseline"/>
          <w:rFonts w:ascii="Verdana" w:hAnsi="Verdana"/>
        </w:rPr>
        <w:t xml:space="preserve">ČfSKOMORAVSKÁ</w:t>
      </w:r>
    </w:p>
    <w:p>
      <w:pPr>
        <w:ind w:right="0" w:left="1224" w:firstLine="0"/>
        <w:spacing w:before="0" w:after="0" w:line="240" w:lineRule="auto"/>
        <w:jc w:val="left"/>
        <w:rPr>
          <w:color w:val="#000000"/>
          <w:sz w:val="10"/>
          <w:lang w:val="cs-CZ"/>
          <w:spacing w:val="5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0"/>
          <w:lang w:val="cs-CZ"/>
          <w:spacing w:val="5"/>
          <w:w w:val="100"/>
          <w:strike w:val="false"/>
          <w:vertAlign w:val="baseline"/>
          <w:rFonts w:ascii="Verdana" w:hAnsi="Verdana"/>
        </w:rPr>
        <w:t xml:space="preserve">KOMO DITNÍ BURZA KIAI)NO</w:t>
      </w:r>
    </w:p>
    <w:p>
      <w:pPr>
        <w:ind w:right="288" w:left="288" w:firstLine="-216"/>
        <w:spacing w:before="180" w:after="0" w:line="268" w:lineRule="auto"/>
        <w:jc w:val="left"/>
        <w:tabs>
          <w:tab w:val="clear" w:pos="216"/>
          <w:tab w:val="decimal" w:pos="288"/>
        </w:tabs>
        <w:numPr>
          <w:ilvl w:val="0"/>
          <w:numId w:val="6"/>
        </w:numP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K ú</w:t>
      </w: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čtované ceně dodávky elektřiny se připočítává daň z elektřiny, daň z přidané hodnoty, poplatky a jiné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nepřímé daně stanovené v souladu s příslušnými právními předpisy.</w:t>
      </w:r>
    </w:p>
    <w:p>
      <w:pPr>
        <w:ind w:right="144" w:left="288" w:firstLine="-216"/>
        <w:spacing w:before="180" w:after="0" w:line="266" w:lineRule="auto"/>
        <w:jc w:val="left"/>
        <w:tabs>
          <w:tab w:val="clear" w:pos="216"/>
          <w:tab w:val="decimal" w:pos="288"/>
        </w:tabs>
        <w:numPr>
          <w:ilvl w:val="0"/>
          <w:numId w:val="6"/>
        </w:numP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V pr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ůběhu zúčtovacího období hradí odběratel dodavateli za dodávky elektřiny pravidelné zálohy, pokud není burzovním obchodem sjednáno jinak. Jejich výše je určena podle celkové předpokládané platby </w:t>
      </w:r>
      <w:r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odběratele za příslušné fakturační období včetně daně z přidané hodnoty. Dodavatel je povinen po </w:t>
      </w: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uzavření burzovního obchodu (závěrkového listu) vystavit odběrateli v souladu s podmínkami uzavřeného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burzovního obchodu (závěrkového listu) platební kalendář s uvedením počtu, výše a splatnosti záloh.</w:t>
      </w:r>
    </w:p>
    <w:p>
      <w:pPr>
        <w:ind w:right="144" w:left="288" w:firstLine="-216"/>
        <w:spacing w:before="144" w:after="0" w:line="268" w:lineRule="auto"/>
        <w:jc w:val="left"/>
        <w:tabs>
          <w:tab w:val="clear" w:pos="216"/>
          <w:tab w:val="decimal" w:pos="288"/>
        </w:tabs>
        <w:numPr>
          <w:ilvl w:val="0"/>
          <w:numId w:val="6"/>
        </w:numP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Zálohy zaplacené odb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ěratelem na příslušné zúčtovací období budou dodavatelem vypořádány ve faktuře za zúčtovací období. Rozdíl ve faktuře mezi vyúčtovanou částkou a zaplacenými zálohami, který je </w:t>
      </w:r>
      <w: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nedoplatkem odběratele, je odběratel povinen zaplatit dodavateli v termínu splatnosti faktury. Rozdíl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ve faktuře mezi vyúčtovanou částkou a zaplacenými zálohami, který je přeplatkem odběratele, dodavatel </w:t>
      </w:r>
      <w:r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vrátí odběrateli v termínu splatnosti faktury na bankovní účet odběratele uvedený v závěrkovém listu 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s použitím variabilního symbolu uvedeného na faktuře. Pokud není burzovním obchodem sjednáno jinak, </w:t>
      </w:r>
      <w: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je dodavatel oprávněn přeplatky a nedoplatky odběratele převádět do dalšího zúčtovacího období, dále 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je oprávněn započítat přeplatek odběratele na úhradu záloh v dalším zúčtovacím období, přičemž převod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a započtení těchto částek je povinen vždy oznámit odběrateli.</w:t>
      </w:r>
    </w:p>
    <w:p>
      <w:pPr>
        <w:ind w:right="288" w:left="288" w:firstLine="-216"/>
        <w:spacing w:before="180" w:after="0" w:line="268" w:lineRule="auto"/>
        <w:jc w:val="left"/>
        <w:tabs>
          <w:tab w:val="clear" w:pos="216"/>
          <w:tab w:val="decimal" w:pos="288"/>
        </w:tabs>
        <w:numPr>
          <w:ilvl w:val="0"/>
          <w:numId w:val="6"/>
        </w:numP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Odb</w:t>
      </w: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ěratel je povinen provádět všechny platby bezhotovostně v tuzemské měně, pokud není burzovním 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obchodem (závěrkovým listem) sjednána jiná měna, na bankovní účet dodavatele uvedený na příslušné </w:t>
      </w:r>
      <w:r>
        <w:rPr>
          <w:color w:val="#000000"/>
          <w:sz w:val="18"/>
          <w:lang w:val="cs-CZ"/>
          <w:spacing w:val="9"/>
          <w:w w:val="100"/>
          <w:strike w:val="false"/>
          <w:vertAlign w:val="baseline"/>
          <w:rFonts w:ascii="Arial" w:hAnsi="Arial"/>
        </w:rPr>
        <w:t xml:space="preserve">faktuře s použitím variabilního symbolu uvedeného na faktuře. Pokud odběratel poukáže platbu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s nesprávným variabilním symbolem, nebo ji poukáže na jiný bankovní účet dodavatele, než je uvedeno </w:t>
      </w:r>
      <w:r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na faktuře, je dodavatel oprávněn platbu vrátit odběrateli jako neidentifikovatelnou a účtovat úrok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z prodlení za opožděné placení od data splatnosti faktury až do obdržení správně poukázané platby.</w:t>
      </w:r>
    </w:p>
    <w:p>
      <w:pPr>
        <w:ind w:right="72" w:left="288" w:firstLine="-216"/>
        <w:spacing w:before="180" w:after="0" w:line="266" w:lineRule="auto"/>
        <w:jc w:val="left"/>
        <w:tabs>
          <w:tab w:val="clear" w:pos="216"/>
          <w:tab w:val="decimal" w:pos="288"/>
        </w:tabs>
        <w:numPr>
          <w:ilvl w:val="0"/>
          <w:numId w:val="6"/>
        </w:numP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Zaplacením plateb se rozumí p</w:t>
      </w:r>
      <w:r>
        <w:rPr>
          <w:color w:val="#00000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řipsání příslušné částky na bankovní účet dodavatele. Připadne-li den 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splatnosti faktury nebo zálohy na den pracovního volna nebo klidu, je dnem splatnosti nejbližší následující pracovní den.</w:t>
      </w:r>
    </w:p>
    <w:p>
      <w:pPr>
        <w:ind w:right="72" w:left="288" w:firstLine="-216"/>
        <w:spacing w:before="252" w:after="0" w:line="266" w:lineRule="auto"/>
        <w:jc w:val="left"/>
        <w:tabs>
          <w:tab w:val="clear" w:pos="216"/>
          <w:tab w:val="decimal" w:pos="288"/>
        </w:tabs>
        <w:numPr>
          <w:ilvl w:val="0"/>
          <w:numId w:val="6"/>
        </w:numP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V p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řípadě prodlení odběratele s úhradou jakékoliv částky vyplývající z uzavřeného burzovního obchodu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(závěrkového listu), je odběratel povinen uhradit dodavateli úrok z prodlení ve výši 0,05 % z dlužné částky za každý den prodlení.</w:t>
      </w:r>
    </w:p>
    <w:p>
      <w:pPr>
        <w:ind w:right="288" w:left="288" w:firstLine="-216"/>
        <w:spacing w:before="216" w:after="0" w:line="268" w:lineRule="auto"/>
        <w:jc w:val="left"/>
        <w:tabs>
          <w:tab w:val="clear" w:pos="216"/>
          <w:tab w:val="decimal" w:pos="288"/>
        </w:tabs>
        <w:numPr>
          <w:ilvl w:val="0"/>
          <w:numId w:val="6"/>
        </w:numP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V p</w:t>
      </w: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řípadě, že je odběratel v prodlení s úhradou jakékoliv částky vyplývající z uzavřeného burzovního </w:t>
      </w:r>
      <w:r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obchodu, má dodavatel právo zaslat odběrateli písemné výzvy či upomínky k placení. Odběratel je 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v takovém případě povinen uhradit dodavateli náklady spojené se zasláním písemné výzvy či upomínky 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k placení.</w:t>
      </w:r>
    </w:p>
    <w:p>
      <w:pPr>
        <w:ind w:right="72" w:left="216" w:firstLine="-144"/>
        <w:spacing w:before="252" w:after="0" w:line="268" w:lineRule="auto"/>
        <w:jc w:val="both"/>
        <w:tabs>
          <w:tab w:val="clear" w:pos="360"/>
          <w:tab w:val="decimal" w:pos="432"/>
        </w:tabs>
        <w:numPr>
          <w:ilvl w:val="0"/>
          <w:numId w:val="6"/>
        </w:numP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V p</w:t>
      </w: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řípadě prodlení dodavatele s úhradou jakékoliv částky vyplývající z uzavřeného burzovního obchodu 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(závěrkového listu), je dodavatel povinen uhradit odběrateli úrok z prodlení ve výši 0,05 % z dlužné částky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za každý den prodlení.</w:t>
      </w:r>
    </w:p>
    <w:p>
      <w:pPr>
        <w:ind w:right="0" w:left="72" w:firstLine="0"/>
        <w:spacing w:before="252" w:after="0" w:line="216" w:lineRule="auto"/>
        <w:jc w:val="left"/>
        <w:rPr>
          <w:b w:val="true"/>
          <w:color w:val="#1C2A3B"/>
          <w:sz w:val="19"/>
          <w:lang w:val="cs-CZ"/>
          <w:spacing w:val="0"/>
          <w:w w:val="100"/>
          <w:strike w:val="false"/>
          <w:u w:val="single"/>
          <w:vertAlign w:val="baseline"/>
          <w:rFonts w:ascii="Arial" w:hAnsi="Arial"/>
        </w:rPr>
      </w:pPr>
      <w:r>
        <w:rPr>
          <w:b w:val="true"/>
          <w:color w:val="#1C2A3B"/>
          <w:sz w:val="19"/>
          <w:lang w:val="cs-CZ"/>
          <w:spacing w:val="0"/>
          <w:w w:val="100"/>
          <w:strike w:val="false"/>
          <w:u w:val="single"/>
          <w:vertAlign w:val="baseline"/>
          <w:rFonts w:ascii="Arial" w:hAnsi="Arial"/>
        </w:rPr>
        <w:t xml:space="preserve">Reklamace</w:t>
      </w:r>
    </w:p>
    <w:p>
      <w:pPr>
        <w:ind w:right="72" w:left="360" w:firstLine="-216"/>
        <w:spacing w:before="252" w:after="0" w:line="268" w:lineRule="auto"/>
        <w:jc w:val="left"/>
        <w:tabs>
          <w:tab w:val="clear" w:pos="216"/>
          <w:tab w:val="decimal" w:pos="360"/>
        </w:tabs>
        <w:numPr>
          <w:ilvl w:val="0"/>
          <w:numId w:val="7"/>
        </w:numP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Zjistí-li odb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ěratel chyby nebo omyly při vyúčtování dodávky elektřiny dle uzavřeného burzovního obchodu </w:t>
      </w:r>
      <w:r>
        <w:rPr>
          <w:color w:val="#000000"/>
          <w:sz w:val="18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(závěrkového listu), má právo příslušné vyúčtování (fakturu) u dodavatele reklamovat. Reklamace musí 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mít písemnou formu a její uplatnění nemá odkladný účinek na splatnost faktury, vyjma zcela zjevné chyby,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nedohodne-li se odběratel a dodavatel jinak.</w:t>
      </w:r>
    </w:p>
    <w:p>
      <w:pPr>
        <w:ind w:right="432" w:left="360" w:firstLine="-216"/>
        <w:spacing w:before="216" w:after="0" w:line="268" w:lineRule="auto"/>
        <w:jc w:val="left"/>
        <w:tabs>
          <w:tab w:val="clear" w:pos="216"/>
          <w:tab w:val="decimal" w:pos="360"/>
        </w:tabs>
        <w:numPr>
          <w:ilvl w:val="0"/>
          <w:numId w:val="7"/>
        </w:numP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Dodavatel je povinen reklamaci p</w:t>
      </w: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řezkoumat a výsledek přezkoumání je povinen oznámit odběrateli ve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lhůtách stanovených příslušnými právními předpisy.</w:t>
      </w:r>
    </w:p>
    <w:p>
      <w:pPr>
        <w:ind w:right="0" w:left="72" w:firstLine="0"/>
        <w:spacing w:before="216" w:after="0" w:line="240" w:lineRule="auto"/>
        <w:jc w:val="left"/>
        <w:rPr>
          <w:b w:val="true"/>
          <w:color w:val="#000000"/>
          <w:sz w:val="19"/>
          <w:lang w:val="cs-CZ"/>
          <w:spacing w:val="0"/>
          <w:w w:val="100"/>
          <w:strike w:val="false"/>
          <w:u w:val="single"/>
          <w:vertAlign w:val="baseline"/>
          <w:rFonts w:ascii="Arial" w:hAnsi="Arial"/>
        </w:rPr>
      </w:pPr>
      <w:r>
        <w:rPr>
          <w:b w:val="true"/>
          <w:color w:val="#000000"/>
          <w:sz w:val="19"/>
          <w:lang w:val="cs-CZ"/>
          <w:spacing w:val="0"/>
          <w:w w:val="100"/>
          <w:strike w:val="false"/>
          <w:u w:val="single"/>
          <w:vertAlign w:val="baseline"/>
          <w:rFonts w:ascii="Arial" w:hAnsi="Arial"/>
        </w:rPr>
        <w:t xml:space="preserve">Omezení a p</w:t>
      </w:r>
      <w:r>
        <w:rPr>
          <w:b w:val="true"/>
          <w:color w:val="#000000"/>
          <w:sz w:val="19"/>
          <w:lang w:val="cs-CZ"/>
          <w:spacing w:val="0"/>
          <w:w w:val="100"/>
          <w:strike w:val="false"/>
          <w:u w:val="single"/>
          <w:vertAlign w:val="baseline"/>
          <w:rFonts w:ascii="Arial" w:hAnsi="Arial"/>
        </w:rPr>
        <w:t xml:space="preserve">řerušení  dodávky</w:t>
      </w:r>
    </w:p>
    <w:p>
      <w:pPr>
        <w:ind w:right="360" w:left="216" w:firstLine="-144"/>
        <w:spacing w:before="216" w:after="0" w:line="266" w:lineRule="auto"/>
        <w:jc w:val="left"/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pict>
          <v:line strokeweight="0.9pt" strokecolor="#171925" from="3.25pt,92.65pt" to="468.05pt,92.65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1. Dodavatel je oprávn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ěn přerušit nebo omezit v nezbytném rozsahu dodávku elektřiny dle burzovního 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obchodu (závěrkového listu) v odběrném místě v případech neoprávněného odběru, který je definován </w:t>
      </w:r>
      <w:r>
        <w:rPr>
          <w:color w:val="#000000"/>
          <w:sz w:val="18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příslušnými platnými právními předpisy.</w:t>
      </w:r>
    </w:p>
    <w:sectPr>
      <w:pgSz w:w="11918" w:h="16854" w:orient="portrait"/>
      <w:type w:val="nextPage"/>
      <w:textDirection w:val="lrTb"/>
      <w:pgMar w:bottom="585" w:top="934" w:right="1237" w:left="1261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decimal"/>
      <w:lvlText w:val="%1."/>
      <w:start w:val="1"/>
      <w:lvlJc w:val="left"/>
      <w:pPr>
        <w:ind w:left="720"/>
        <w:tabs>
          <w:tab w:val="decimal" w:pos="216"/>
        </w:tabs>
      </w:pPr>
      <w:rPr>
        <w:color w:val="#000000"/>
        <w:sz w:val="18"/>
        <w:lang w:val="cs-CZ"/>
        <w:spacing w:val="9"/>
        <w:w w:val="100"/>
        <w:strike w:val="false"/>
        <w:vertAlign w:val="baseline"/>
        <w:rFonts w:ascii="Arial" w:hAnsi="Arial"/>
      </w:rPr>
    </w:lvl>
  </w:abstractNum>
  <w:abstractNum w:abstractNumId="2">
    <w:lvl w:ilvl="0">
      <w:numFmt w:val="lowerLetter"/>
      <w:lvlText w:val="%1)"/>
      <w:start w:val="1"/>
      <w:lvlJc w:val="left"/>
      <w:pPr>
        <w:ind w:left="720"/>
        <w:tabs>
          <w:tab w:val="decimal" w:pos="216"/>
        </w:tabs>
      </w:pPr>
      <w:rPr>
        <w:color w:val="#000000"/>
        <w:sz w:val="18"/>
        <w:lang w:val="cs-CZ"/>
        <w:spacing w:val="12"/>
        <w:w w:val="100"/>
        <w:strike w:val="false"/>
        <w:vertAlign w:val="baseline"/>
        <w:rFonts w:ascii="Arial" w:hAnsi="Arial"/>
      </w:rPr>
    </w:lvl>
  </w:abstractNum>
  <w:abstractNum w:abstractNumId="3">
    <w:lvl w:ilvl="0">
      <w:numFmt w:val="decimal"/>
      <w:lvlText w:val="%1."/>
      <w:start w:val="1"/>
      <w:lvlJc w:val="left"/>
      <w:pPr>
        <w:ind w:left="720"/>
        <w:tabs>
          <w:tab w:val="decimal" w:pos="288"/>
        </w:tabs>
      </w:pPr>
      <w:rPr>
        <w:color w:val="#000000"/>
        <w:sz w:val="18"/>
        <w:lang w:val="cs-CZ"/>
        <w:spacing w:val="9"/>
        <w:w w:val="100"/>
        <w:strike w:val="false"/>
        <w:vertAlign w:val="baseline"/>
        <w:rFonts w:ascii="Arial" w:hAnsi="Arial"/>
      </w:rPr>
    </w:lvl>
  </w:abstractNum>
  <w:abstractNum w:abstractNumId="4">
    <w:lvl w:ilvl="0">
      <w:numFmt w:val="lowerLetter"/>
      <w:lvlText w:val="%1)"/>
      <w:start w:val="1"/>
      <w:lvlJc w:val="left"/>
      <w:pPr>
        <w:ind w:left="720"/>
        <w:tabs>
          <w:tab w:val="decimal" w:pos="288"/>
        </w:tabs>
      </w:pPr>
      <w:rPr>
        <w:color w:val="#000000"/>
        <w:sz w:val="18"/>
        <w:lang w:val="cs-CZ"/>
        <w:spacing w:val="12"/>
        <w:w w:val="100"/>
        <w:strike w:val="false"/>
        <w:vertAlign w:val="baseline"/>
        <w:rFonts w:ascii="Arial" w:hAnsi="Arial"/>
      </w:rPr>
    </w:lvl>
  </w:abstractNum>
  <w:abstractNum w:abstractNumId="5">
    <w:lvl w:ilvl="0">
      <w:numFmt w:val="decimal"/>
      <w:lvlText w:val="%1."/>
      <w:start w:val="3"/>
      <w:lvlJc w:val="left"/>
      <w:pPr>
        <w:ind w:left="720"/>
        <w:tabs>
          <w:tab w:val="decimal" w:pos="216"/>
        </w:tabs>
      </w:pPr>
      <w:rPr>
        <w:color w:val="#000000"/>
        <w:sz w:val="18"/>
        <w:lang w:val="cs-CZ"/>
        <w:spacing w:val="1"/>
        <w:w w:val="100"/>
        <w:strike w:val="false"/>
        <w:vertAlign w:val="baseline"/>
        <w:rFonts w:ascii="Arial" w:hAnsi="Arial"/>
      </w:rPr>
    </w:lvl>
  </w:abstractNum>
  <w:abstractNum w:abstractNumId="6">
    <w:lvl w:ilvl="0">
      <w:numFmt w:val="decimal"/>
      <w:lvlText w:val="%1."/>
      <w:start w:val="1"/>
      <w:lvlJc w:val="left"/>
      <w:pPr>
        <w:ind w:left="720"/>
        <w:tabs>
          <w:tab w:val="decimal" w:pos="216"/>
        </w:tabs>
      </w:pPr>
      <w:rPr>
        <w:color w:val="#000000"/>
        <w:sz w:val="18"/>
        <w:lang w:val="cs-CZ"/>
        <w:spacing w:val="0"/>
        <w:w w:val="100"/>
        <w:strike w:val="false"/>
        <w:vertAlign w:val="baseline"/>
        <w:rFonts w:ascii="Arial" w:hAnsi="Arial"/>
      </w:rPr>
    </w:lvl>
  </w:abstract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3" /><Relationship Type="http://schemas.openxmlformats.org/officeDocument/2006/relationships/numbering" Target="/word/numbering.xml" Id="drId4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