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581"/>
        <w:gridCol w:w="4759"/>
      </w:tblGrid>
      <w:tr>
        <w:trPr>
          <w:trHeight w:val="123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581" w:type="auto"/>
            <w:textDirection w:val="lrTb"/>
            <w:vAlign w:val="top"/>
          </w:tcPr>
          <w:p>
            <w:pPr>
              <w:ind w:right="4429" w:left="0" w:firstLine="0"/>
              <w:spacing w:before="0" w:after="0" w:line="396" w:lineRule="exact"/>
              <w:jc w:val="right"/>
              <w:rPr>
                <w:b w:val="true"/>
                <w:color w:val="#4B6B9D"/>
                <w:sz w:val="48"/>
                <w:lang w:val="cs-CZ"/>
                <w:spacing w:val="-236"/>
                <w:w w:val="3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4B6B9D"/>
                <w:sz w:val="48"/>
                <w:lang w:val="cs-CZ"/>
                <w:spacing w:val="-236"/>
                <w:w w:val="300"/>
                <w:strike w:val="false"/>
                <w:vertAlign w:val="baseline"/>
                <w:rFonts w:ascii="Arial" w:hAnsi="Arial"/>
              </w:rPr>
              <w:t xml:space="preserve">i..</w:t>
            </w:r>
          </w:p>
          <w:p>
            <w:pPr>
              <w:ind w:right="0" w:left="0" w:firstLine="0"/>
              <w:spacing w:before="900" w:after="0" w:line="37" w:lineRule="exact"/>
              <w:jc w:val="center"/>
              <w:rPr>
                <w:b w:val="true"/>
                <w:color w:val="#000000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0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č ES KOMORAVSKÁ
</w:t>
              <w:br/>
            </w:r>
            <w:r>
              <w:rPr>
                <w:b w:val="true"/>
                <w:color w:val="#000000"/>
                <w:sz w:val="10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KOMODITNÍ BURZA KLADNO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340" w:type="auto"/>
            <w:textDirection w:val="lrTb"/>
            <w:vAlign w:val="top"/>
          </w:tcPr>
          <w:p>
            <w:pPr>
              <w:ind w:right="1898" w:left="0" w:firstLine="0"/>
              <w:spacing w:before="0" w:after="0" w:line="118" w:lineRule="exact"/>
              <w:jc w:val="righ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„</w:t>
            </w:r>
          </w:p>
          <w:p>
            <w:pPr>
              <w:ind w:right="8" w:left="0" w:firstLine="0"/>
              <w:spacing w:before="0" w:after="0" w:line="263" w:lineRule="exact"/>
              <w:jc w:val="right"/>
              <w:rPr>
                <w:color w:val="#000000"/>
                <w:sz w:val="23"/>
                <w:lang w:val="cs-CZ"/>
                <w:spacing w:val="120"/>
                <w:w w:val="7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3"/>
                <w:lang w:val="cs-CZ"/>
                <w:spacing w:val="120"/>
                <w:w w:val="75"/>
                <w:strike w:val="false"/>
                <w:vertAlign w:val="baseline"/>
                <w:rFonts w:ascii="Arial" w:hAnsi="Arial"/>
              </w:rPr>
              <w:t xml:space="preserve">7,Q ,</w:t>
            </w:r>
            <w:r>
              <w:rPr>
                <w:color w:val="#000000"/>
                <w:sz w:val="38"/>
                <w:lang w:val="cs-CZ"/>
                <w:spacing w:val="120"/>
                <w:w w:val="150"/>
                <w:strike w:val="false"/>
                <w:vertAlign w:val="baseline"/>
                <w:rFonts w:ascii="Arial" w:hAnsi="Arial"/>
              </w:rPr>
              <w:t xml:space="preserve">ť</w:t>
            </w:r>
          </w:p>
          <w:p>
            <w:pPr>
              <w:ind w:right="8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•</w:t>
            </w:r>
          </w:p>
          <w:p>
            <w:pPr>
              <w:ind w:right="8" w:left="0" w:firstLine="0"/>
              <w:spacing w:before="0" w:after="0" w:line="240" w:lineRule="auto"/>
              <w:jc w:val="right"/>
              <w:rPr>
                <w:color w:val="#000000"/>
                <w:sz w:val="35"/>
                <w:lang w:val="cs-CZ"/>
                <w:spacing w:val="-6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35"/>
                <w:lang w:val="cs-CZ"/>
                <w:spacing w:val="-68"/>
                <w:w w:val="100"/>
                <w:strike w:val="false"/>
                <w:vertAlign w:val="baseline"/>
                <w:rFonts w:ascii="Tahoma" w:hAnsi="Tahoma"/>
              </w:rPr>
              <w:t xml:space="preserve">2</w:t>
            </w:r>
            <w:r>
              <w:rPr>
                <w:color w:val="#000000"/>
                <w:sz w:val="35"/>
                <w:lang w:val="cs-CZ"/>
                <w:spacing w:val="-68"/>
                <w:w w:val="100"/>
                <w:strike w:val="false"/>
                <w:vertAlign w:val="baseline"/>
                <w:rFonts w:ascii="Tahoma" w:hAnsi="Tahoma"/>
              </w:rPr>
              <w:t xml:space="preserve">ŮIJ</w:t>
            </w:r>
          </w:p>
        </w:tc>
      </w:tr>
    </w:tbl>
    <w:p>
      <w:pPr>
        <w:spacing w:before="0" w:after="196" w:line="20" w:lineRule="exact"/>
      </w:pPr>
    </w:p>
    <w:p>
      <w:pPr>
        <w:ind w:right="0" w:left="1872" w:firstLine="0"/>
        <w:spacing w:before="0" w:after="0" w:line="240" w:lineRule="auto"/>
        <w:jc w:val="left"/>
        <w:rPr>
          <w:b w:val="true"/>
          <w:color w:val="#000000"/>
          <w:sz w:val="30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30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Záv</w:t>
      </w:r>
      <w:r>
        <w:rPr>
          <w:b w:val="true"/>
          <w:color w:val="#000000"/>
          <w:sz w:val="30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ěrkový list č. EL-20171003-937-99 </w:t>
      </w:r>
    </w:p>
    <w:p>
      <w:pPr>
        <w:ind w:right="1080" w:left="0" w:firstLine="792"/>
        <w:spacing w:before="36" w:after="0" w:line="480" w:lineRule="auto"/>
        <w:jc w:val="left"/>
        <w:tabs>
          <w:tab w:val="right" w:leader="none" w:pos="9252"/>
        </w:tabs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(pro burzovní obchody se silovou elekt</w:t>
        <w:br/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řinou v rámci sdružených služeb dodávky elektřiny)
</w:t>
        <w:br/>
      </w:r>
      <w:r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Číslo aukce: 937	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Datum konání burzovního shromáždění: 3. října 2017</w:t>
      </w:r>
    </w:p>
    <w:p>
      <w:pPr>
        <w:ind w:right="0" w:left="0" w:firstLine="0"/>
        <w:spacing w:before="180" w:after="0" w:line="240" w:lineRule="auto"/>
        <w:jc w:val="left"/>
        <w:tabs>
          <w:tab w:val="right" w:leader="none" w:pos="5940"/>
        </w:tabs>
        <w:rPr>
          <w:b w:val="true"/>
          <w:color w:val="#000000"/>
          <w:sz w:val="18"/>
          <w:lang w:val="cs-CZ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Dodavatel (prodávající):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Pražská plynárenská, a. s.</w:t>
      </w:r>
    </w:p>
    <w:p>
      <w:pPr>
        <w:ind w:right="0" w:left="0" w:firstLine="0"/>
        <w:spacing w:before="180" w:after="0" w:line="240" w:lineRule="auto"/>
        <w:jc w:val="left"/>
        <w:tabs>
          <w:tab w:val="right" w:leader="none" w:pos="9029"/>
        </w:tabs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Zapsán v:	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OR vedeném M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ěstským soudem v Praze, oddíl B, vložka 2337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7257"/>
        </w:tabs>
        <w:rPr>
          <w:color w:val="#000000"/>
          <w:sz w:val="19"/>
          <w:lang w:val="cs-CZ"/>
          <w:spacing w:val="-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Sídlo:	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Národní 37, 110 00 Praha 1 - Nové M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ěsto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241"/>
        </w:tabs>
        <w:rPr>
          <w:color w:val="#000000"/>
          <w:sz w:val="19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19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ČO: 60193492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DIČ: CZ60193492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508"/>
        </w:tabs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Bankovní spojení: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43-7801160217/0100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Zastoupen: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832"/>
        </w:tabs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Jméno a p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říjmení makléře: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Ing. Kateřina Tabačárová</w:t>
      </w:r>
    </w:p>
    <w:p>
      <w:pPr>
        <w:ind w:right="0" w:left="0" w:firstLine="0"/>
        <w:spacing w:before="36" w:after="0" w:line="206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Eviden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ční číslo makléře:</w:t>
      </w:r>
    </w:p>
    <w:p>
      <w:pPr>
        <w:ind w:right="0" w:left="3672" w:firstLine="0"/>
        <w:spacing w:before="36" w:after="0" w:line="199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41015</w:t>
      </w:r>
    </w:p>
    <w:p>
      <w:pPr>
        <w:ind w:right="0" w:left="0" w:firstLine="0"/>
        <w:spacing w:before="216" w:after="0" w:line="266" w:lineRule="auto"/>
        <w:jc w:val="left"/>
        <w:tabs>
          <w:tab w:val="right" w:leader="none" w:pos="8453"/>
        </w:tabs>
        <w:rPr>
          <w:b w:val="true"/>
          <w:color w:val="#000000"/>
          <w:sz w:val="18"/>
          <w:lang w:val="cs-CZ"/>
          <w:spacing w:val="-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8"/>
          <w:w w:val="100"/>
          <w:strike w:val="false"/>
          <w:vertAlign w:val="baseline"/>
          <w:rFonts w:ascii="Tahoma" w:hAnsi="Tahoma"/>
        </w:rPr>
        <w:t xml:space="preserve">Odb</w:t>
      </w:r>
      <w:r>
        <w:rPr>
          <w:b w:val="true"/>
          <w:color w:val="#000000"/>
          <w:sz w:val="18"/>
          <w:lang w:val="cs-CZ"/>
          <w:spacing w:val="-8"/>
          <w:w w:val="100"/>
          <w:strike w:val="false"/>
          <w:vertAlign w:val="baseline"/>
          <w:rFonts w:ascii="Tahoma" w:hAnsi="Tahoma"/>
        </w:rPr>
        <w:t xml:space="preserve">ěratel (kupující):	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Dětský domov a Školní jídelna, Hranice, Purgešova 847</w:t>
      </w:r>
    </w:p>
    <w:p>
      <w:pPr>
        <w:ind w:right="0" w:left="0" w:firstLine="0"/>
        <w:spacing w:before="216" w:after="0" w:line="285" w:lineRule="auto"/>
        <w:jc w:val="left"/>
        <w:tabs>
          <w:tab w:val="right" w:leader="none" w:pos="6969"/>
        </w:tabs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Zapsán v:	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Registru ekonomických subjekt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ů, ČSÚ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6357"/>
        </w:tabs>
        <w:rPr>
          <w:color w:val="#000000"/>
          <w:sz w:val="19"/>
          <w:lang w:val="cs-CZ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0"/>
          <w:w w:val="100"/>
          <w:strike w:val="false"/>
          <w:vertAlign w:val="baseline"/>
          <w:rFonts w:ascii="Arial" w:hAnsi="Arial"/>
        </w:rPr>
        <w:t xml:space="preserve">Sídlo: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Purgešova 847, 75301 Hranice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4241"/>
        </w:tabs>
        <w:rPr>
          <w:color w:val="#000000"/>
          <w:sz w:val="19"/>
          <w:lang w:val="cs-CZ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00000"/>
          <w:sz w:val="19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ČO: 62350277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UČ: x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954"/>
        </w:tabs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Bankovní spojení: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19 - 42 87 55 02 77 / 0100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Zastoupen: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5090"/>
        </w:tabs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Jméno a p</w:t>
      </w:r>
      <w:r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říjmení makléře: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Bc. Iva Kupcová</w:t>
      </w:r>
    </w:p>
    <w:p>
      <w:pPr>
        <w:ind w:right="0" w:left="0" w:firstLine="0"/>
        <w:spacing w:before="36" w:after="0" w:line="208" w:lineRule="auto"/>
        <w:jc w:val="left"/>
        <w:tabs>
          <w:tab w:val="right" w:leader="none" w:pos="4233"/>
        </w:tabs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Eviden</w:t>
      </w:r>
      <w:r>
        <w:rPr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ční číslo makléře: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41042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8676"/>
        </w:tabs>
        <w:rPr>
          <w:b w:val="true"/>
          <w:color w:val="#000000"/>
          <w:sz w:val="18"/>
          <w:lang w:val="cs-CZ"/>
          <w:spacing w:val="-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8"/>
          <w:w w:val="100"/>
          <w:strike w:val="false"/>
          <w:vertAlign w:val="baseline"/>
          <w:rFonts w:ascii="Tahoma" w:hAnsi="Tahoma"/>
        </w:rPr>
        <w:t xml:space="preserve">Popis produktu:	</w:t>
      </w:r>
      <w:r>
        <w:rPr>
          <w:b w:val="true"/>
          <w:color w:val="#000000"/>
          <w:sz w:val="18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Dodávka elekt</w:t>
      </w:r>
      <w:r>
        <w:rPr>
          <w:b w:val="true"/>
          <w:color w:val="#000000"/>
          <w:sz w:val="18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řiny v rámci sdružených služeb dodávky</w:t>
      </w:r>
    </w:p>
    <w:p>
      <w:pPr>
        <w:ind w:right="0" w:left="3672" w:firstLine="0"/>
        <w:spacing w:before="0" w:after="0" w:line="240" w:lineRule="auto"/>
        <w:jc w:val="left"/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elekt</w:t>
      </w: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řiny v napěťové hladině nízkého napětí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3787"/>
        </w:tabs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Po</w:t>
      </w: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čet odběrných míst:	</w:t>
      </w: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1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5839"/>
        </w:tabs>
        <w:rPr>
          <w:b w:val="true"/>
          <w:color w:val="#000000"/>
          <w:sz w:val="18"/>
          <w:lang w:val="cs-CZ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Termín dodávky:	</w:t>
      </w:r>
      <w:r>
        <w:rPr>
          <w:b w:val="true"/>
          <w:color w:val="#000000"/>
          <w:sz w:val="18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1. 1. 2018 — 31. 12. 2018</w:t>
      </w:r>
    </w:p>
    <w:p>
      <w:pPr>
        <w:ind w:right="0" w:left="0" w:firstLine="0"/>
        <w:spacing w:before="180" w:after="288" w:line="240" w:lineRule="auto"/>
        <w:jc w:val="left"/>
        <w:tabs>
          <w:tab w:val="right" w:leader="none" w:pos="4968"/>
        </w:tabs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Celkové množství dodávky:	</w:t>
      </w: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35 MWh</w:t>
      </w:r>
    </w:p>
    <w:tbl>
      <w:tblPr>
        <w:jc w:val="left"/>
        <w:tblInd w:w="2081" w:type="dxa"/>
        <w:tblLayout w:type="fixed"/>
        <w:tblCellMar>
          <w:left w:w="0" w:type="dxa"/>
          <w:right w:w="0" w:type="dxa"/>
        </w:tblCellMar>
      </w:tblPr>
      <w:tblGrid>
        <w:gridCol w:w="1915"/>
        <w:gridCol w:w="1919"/>
        <w:gridCol w:w="1926"/>
      </w:tblGrid>
      <w:tr>
        <w:trPr>
          <w:trHeight w:val="194" w:hRule="exact"/>
        </w:trPr>
        <w:tc>
          <w:tcPr>
            <w:gridSpan w:val="3"/>
            <w:tcBorders>
              <w:top w:val="none" w:sz="0" w:color="#000000"/>
              <w:bottom w:val="single" w:sz="2" w:color="#000000"/>
              <w:left w:val="none" w:sz="0" w:color="#000000"/>
              <w:right w:val="none" w:sz="0" w:color="#000000"/>
            </w:tcBorders>
            <w:tcW w:w="7841" w:type="auto"/>
            <w:textDirection w:val="lrTb"/>
            <w:vAlign w:val="center"/>
          </w:tcPr>
          <w:p>
            <w:pPr>
              <w:ind w:right="0" w:left="2106" w:firstLine="0"/>
              <w:spacing w:before="0" w:after="0" w:line="240" w:lineRule="auto"/>
              <w:jc w:val="left"/>
              <w:rPr>
                <w:b w:val="true"/>
                <w:color w:val="#000000"/>
                <w:sz w:val="17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7"/>
                <w:lang w:val="cs-CZ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Jednotková cena (bez DPH) CZKiMWh</w:t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Distribu</w:t>
            </w: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ční sazba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Nízký tarif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Vysoký tarif</w:t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COld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--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25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CO2d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--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30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CO3d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--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C25d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C26d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277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C35d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277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C45d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28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C55d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25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C62d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--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  <w:tr>
        <w:trPr>
          <w:trHeight w:val="31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3996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D26d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59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8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1 018</w:t>
            </w:r>
          </w:p>
        </w:tc>
      </w:tr>
    </w:tbl>
    <w:p>
      <w:pPr>
        <w:spacing w:before="0" w:after="226" w:line="20" w:lineRule="exact"/>
      </w:pPr>
    </w:p>
    <w:p>
      <w:pPr>
        <w:ind w:right="0" w:left="0" w:firstLine="0"/>
        <w:spacing w:before="0" w:after="0" w:line="240" w:lineRule="auto"/>
        <w:jc w:val="left"/>
        <w:tabs>
          <w:tab w:val="right" w:leader="none" w:pos="6869"/>
        </w:tabs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Technické parametry dodávky: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viz P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říloha závěrkového listu č. 1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Zú</w:t>
      </w:r>
      <w:r>
        <w:rPr>
          <w:b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čtovací podmínky </w:t>
      </w:r>
    </w:p>
    <w:p>
      <w:pPr>
        <w:ind w:right="0" w:left="0" w:firstLine="0"/>
        <w:spacing w:before="252" w:after="0" w:line="201" w:lineRule="auto"/>
        <w:jc w:val="left"/>
        <w:tabs>
          <w:tab w:val="right" w:leader="none" w:pos="4334"/>
        </w:tabs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Zú</w:t>
      </w: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čtovací období: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čtvrtletí</w:t>
      </w:r>
    </w:p>
    <w:p>
      <w:pPr>
        <w:ind w:right="0" w:left="0" w:firstLine="0"/>
        <w:spacing w:before="216" w:after="0" w:line="240" w:lineRule="auto"/>
        <w:jc w:val="left"/>
        <w:tabs>
          <w:tab w:val="right" w:leader="none" w:pos="4255"/>
        </w:tabs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Splatnost zú</w:t>
      </w:r>
      <w:r>
        <w:rPr>
          <w:b w:val="true"/>
          <w:color w:val="#000000"/>
          <w:sz w:val="18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čtovací faktury:	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20 dní</w:t>
      </w:r>
    </w:p>
    <w:p>
      <w:pPr>
        <w:ind w:right="0" w:left="0" w:firstLine="0"/>
        <w:spacing w:before="216" w:after="396" w:line="240" w:lineRule="auto"/>
        <w:jc w:val="left"/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Zálohy v pr</w:t>
      </w: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ůběhu zúčtovacího období: 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měsíční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288"/>
        </w:tabs>
        <w:rPr>
          <w:i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11520" from="0pt,0.5pt" to="464.8pt,0.5pt" style="position:absolute;mso-position-horizontal-relative:text;mso-position-vertical-relative:text;">
            <v:stroke dashstyle="solid"/>
          </v:line>
        </w:pict>
      </w:r>
      <w:r>
        <w:rPr>
          <w:i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Dodávka elekt</w:t>
      </w:r>
      <w:r>
        <w:rPr>
          <w:i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řiny v rámci SSDE v napěťové hladině nízkého napětí	</w:t>
      </w:r>
      <w:r>
        <w:rPr>
          <w:i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Strana 1 (celkem 7)</w:t>
      </w:r>
    </w:p>
    <w:p>
      <w:pPr>
        <w:sectPr>
          <w:pgSz w:w="11918" w:h="16854" w:orient="portrait"/>
          <w:type w:val="nextPage"/>
          <w:textDirection w:val="lrTb"/>
          <w:pgMar w:bottom="430" w:top="134" w:right="727" w:left="791" w:header="720" w:footer="720"/>
          <w:titlePg w:val="false"/>
        </w:sectPr>
      </w:pPr>
    </w:p>
    <w:p>
      <w:pPr>
        <w:ind w:right="0" w:left="504" w:firstLine="0"/>
        <w:spacing w:before="0" w:after="0" w:line="240" w:lineRule="auto"/>
        <w:jc w:val="left"/>
        <w:rPr>
          <w:b w:val="true"/>
          <w:color w:val="#000000"/>
          <w:sz w:val="18"/>
          <w:lang w:val="cs-CZ"/>
          <w:spacing w:val="-2"/>
          <w:w w:val="100"/>
          <w:strike w:val="false"/>
          <w:u w:val="singl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2.8pt;height:84.75pt;z-index:-1000;margin-left:13.9pt;margin-top:4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6467"/>
                    <w:gridCol w:w="828"/>
                    <w:gridCol w:w="442"/>
                    <w:gridCol w:w="170"/>
                    <w:gridCol w:w="543"/>
                    <w:gridCol w:w="29"/>
                    <w:gridCol w:w="2377"/>
                  </w:tblGrid>
                  <w:tr>
                    <w:trPr>
                      <w:trHeight w:val="75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46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295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1" w:color="#CAC9D1"/>
                          <w:left w:val="none" w:sz="0" w:color="#000000"/>
                          <w:right w:val="none" w:sz="0" w:color="#000000"/>
                        </w:tcBorders>
                        <w:tcW w:w="773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90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1" w:color="#CAC9D1"/>
                          <w:left w:val="none" w:sz="0" w:color="#000000"/>
                          <w:right w:val="none" w:sz="0" w:color="#000000"/>
                        </w:tcBorders>
                        <w:tcW w:w="8450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8479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0856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0" w:left="1"/>
                          <w:spacing w:before="6" w:after="61" w:line="240" w:lineRule="auto"/>
                          <w:jc w:val="center"/>
                        </w:pPr>
                        <w:r>
                          <w:drawing>
                            <wp:inline>
                              <wp:extent cx="1508760" cy="1033780"/>
                              <wp:docPr id="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test1"/>
                                      <pic:cNvPicPr preferRelativeResize="false"/>
                                    </pic:nvPicPr>
                                    <pic:blipFill>
                                      <a:blip r:embed="drId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8760" cy="10337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46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5" w:color="#BAB9C1"/>
                          <w:left w:val="none" w:sz="0" w:color="#000000"/>
                          <w:right w:val="none" w:sz="0" w:color="#000000"/>
                        </w:tcBorders>
                        <w:tcW w:w="7295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1" w:color="#CAC9D1"/>
                          <w:bottom w:val="single" w:sz="5" w:color="#BAB9C1"/>
                          <w:left w:val="none" w:sz="0" w:color="#000000"/>
                          <w:right w:val="none" w:sz="0" w:color="#000000"/>
                        </w:tcBorders>
                        <w:tcW w:w="773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5" w:color="#BAB9C1"/>
                          <w:left w:val="none" w:sz="0" w:color="#000000"/>
                          <w:right w:val="none" w:sz="0" w:color="#000000"/>
                        </w:tcBorders>
                        <w:tcW w:w="790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1" w:color="#CAC9D1"/>
                          <w:bottom w:val="single" w:sz="5" w:color="#BAB9C1"/>
                          <w:left w:val="none" w:sz="0" w:color="#000000"/>
                          <w:right w:val="none" w:sz="0" w:color="#000000"/>
                        </w:tcBorders>
                        <w:tcW w:w="8450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5" w:color="#BAB9C1"/>
                          <w:left w:val="none" w:sz="0" w:color="#000000"/>
                          <w:right w:val="none" w:sz="0" w:color="#000000"/>
                        </w:tcBorders>
                        <w:tcW w:w="8479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10856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</w:tr>
                  <w:tr>
                    <w:trPr>
                      <w:trHeight w:val="154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467" w:type="auto"/>
                        <w:textDirection w:val="lrTb"/>
                        <w:vAlign w:val="top"/>
                      </w:tcPr>
                      <w:p>
                        <w:pPr>
                          <w:ind w:right="3438" w:left="0" w:firstLine="0"/>
                          <w:spacing w:before="756" w:after="0" w:line="356" w:lineRule="exact"/>
                          <w:jc w:val="right"/>
                          <w:tabs>
                            <w:tab w:val="right" w:leader="none" w:pos="2990"/>
                          </w:tabs>
                          <w:rPr>
                            <w:b w:val="true"/>
                            <w:color w:val="#425377"/>
                            <w:sz w:val="47"/>
                            <w:lang w:val="cs-CZ"/>
                            <w:spacing w:val="-11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color w:val="#425377"/>
                            <w:sz w:val="47"/>
                            <w:lang w:val="cs-CZ"/>
                            <w:spacing w:val="-116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1(B</w:t>
                        </w:r>
                        <w:r>
                          <w:rPr>
                            <w:b w:val="true"/>
                            <w:color w:val="#000000"/>
                            <w:sz w:val="47"/>
                            <w:lang w:val="cs-CZ"/>
                            <w:spacing w:val="-116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ab/>
                        </w:r>
                        <w:r>
                          <w:rPr>
                            <w:b w:val="true"/>
                            <w:color w:val="#000000"/>
                            <w:sz w:val="47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omo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e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l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t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,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S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IT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K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N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O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i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M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B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O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U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R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R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A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subscript"/>
                            <w:rFonts w:ascii="Verdana" w:hAnsi="Verdana"/>
                          </w:rPr>
                          <w:t xml:space="preserve">ZA</w:t>
                        </w: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-6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VSKÁ</w:t>
                        </w:r>
                      </w:p>
                      <w:p>
                        <w:pPr>
                          <w:ind w:right="3168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1"/>
                            <w:lang w:val="cs-CZ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KLADNO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BAB9C1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295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5" w:color="#BAB9C1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73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5" w:color="#BAB9C1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907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5" w:color="#BAB9C1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8450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5" w:color="#BAB9C1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8479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0856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</w:tr>
                </w:tbl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87.55pt;height:10.15pt;z-index:-999;margin-left:0pt;margin-top:716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right"/>
                    <w:framePr w:hAnchor="text" w:vAnchor="text" w:y="14323" w:w="5751" w:h="203" w:hSpace="0" w:vSpace="0" w:wrap="3"/>
                    <w:rPr>
                      <w:i w:val="true"/>
                      <w:color w:val="#000000"/>
                      <w:sz w:val="17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Dodávka elekt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řiny v rámci SSDE v napěrové hladině nízkého napětí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01.65pt;height:10.15pt;z-index:-998;margin-left:415.35pt;margin-top:716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8307" w:y="14330" w:w="2033" w:h="203" w:hSpace="0" w:vSpace="0" w:wrap="3"/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2 (celkem 7)</w:t>
                  </w:r>
                </w:p>
              </w:txbxContent>
            </v:textbox>
          </v:shape>
        </w:pict>
      </w:r>
      <w:r>
        <w:pict>
          <v:line strokeweight="0.55pt" strokecolor="#5A5A5A" from="-43.85pt,10.45pt" to="-43.85pt,228.1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8"/>
          <w:lang w:val="cs-CZ"/>
          <w:spacing w:val="-2"/>
          <w:w w:val="100"/>
          <w:strike w:val="false"/>
          <w:u w:val="single"/>
          <w:vertAlign w:val="baseline"/>
          <w:rFonts w:ascii="Tahoma" w:hAnsi="Tahoma"/>
        </w:rPr>
        <w:t xml:space="preserve">Ostatní podmínky: </w:t>
      </w:r>
    </w:p>
    <w:p>
      <w:pPr>
        <w:ind w:right="576" w:left="504" w:firstLine="0"/>
        <w:spacing w:before="180" w:after="0" w:line="240" w:lineRule="auto"/>
        <w:jc w:val="both"/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Dodavatel je povinen u odb</w:t>
      </w:r>
      <w:r>
        <w:rPr>
          <w:color w:val="#000000"/>
          <w:sz w:val="19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ěrných míst s jiným než ročním zúčtovacím obdobím umožnit samoodečet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není-li odečet měřícího zařízení prováděn dálkově. Dodavatel provede bezplatné vyúčtování po zaslání samoodečtů ze strany odběratele, které mu budou zaslány v termínu a způsobem stanoveným dodavatelem.</w:t>
      </w:r>
    </w:p>
    <w:p>
      <w:pPr>
        <w:ind w:right="0" w:left="504" w:firstLine="0"/>
        <w:spacing w:before="288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Pro odb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ěratele s požadavkem na sloučenou fakturaci (uvedeno v Příloze č. 1):</w:t>
      </w:r>
    </w:p>
    <w:p>
      <w:pPr>
        <w:ind w:right="720" w:left="504" w:firstLine="0"/>
        <w:spacing w:before="0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 bude odb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ěrateli účtovat dodávku na jedné sloučené faktuře (daňovém dokladu) v elektronické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podobě s následným zasláním v papírové podobě s tím, že za každé odběrné místo bude provedeno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vyúčtování s rozepsáním jednotlivých položek ceny spolu s uvedením ceny celkem a příslušné výše DPH v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% a v Kč.</w:t>
      </w:r>
    </w:p>
    <w:p>
      <w:pPr>
        <w:ind w:right="792" w:left="504" w:firstLine="0"/>
        <w:spacing w:before="288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 bude odb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ěrateli předepisovat a účtovat zálohy na jednom sloučeném předpisu a sloučeném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daňovém dokladu o přijetí platby v elektronické podobě s následným zasláním v papírové podobě s tím, že</w:t>
      </w:r>
    </w:p>
    <w:p>
      <w:pPr>
        <w:ind w:right="576" w:left="504" w:firstLine="0"/>
        <w:spacing w:before="36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celková záloha a p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řijatá platba bude rozepsána na dílčí zálohy za jednotlivá odběrná místa spolu s uvedením ceny celkem a příslušné výše DPH v % a v Kč.</w:t>
      </w:r>
    </w:p>
    <w:p>
      <w:pPr>
        <w:ind w:right="0" w:left="504" w:firstLine="0"/>
        <w:spacing w:before="252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Dodavatel je povinen na výslovné vyžádání jednotlivého odb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ěratele používat:</w:t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a)namísto slou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čené faktury fakturu na každé jednotlivé odběrné místo</w:t>
      </w:r>
    </w:p>
    <w:p>
      <w:pPr>
        <w:ind w:right="1152" w:left="504" w:firstLine="0"/>
        <w:spacing w:before="0" w:after="0" w:line="240" w:lineRule="auto"/>
        <w:jc w:val="left"/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b)namísto slou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čeného předpisu záloh a sloučeného daňového dokladu o přijetí platby předpis záloh a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daňový doklad o přijetí platby za každé jednotlivé odběrné místo</w:t>
      </w:r>
    </w:p>
    <w:p>
      <w:pPr>
        <w:ind w:right="0" w:left="504" w:firstLine="0"/>
        <w:spacing w:before="252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Pro odb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ěratele s požadavkem na samostatnou fakturaci (uvedeno v Příloze č. 1):</w:t>
      </w:r>
    </w:p>
    <w:p>
      <w:pPr>
        <w:ind w:right="792" w:left="504" w:firstLine="0"/>
        <w:spacing w:before="36" w:after="0" w:line="240" w:lineRule="auto"/>
        <w:jc w:val="left"/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Dodavatel bude odb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ěrateli účtovat dodávku plynu za každé jednotlivé odběrné místo zvlášť v elektronické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podobě s následným zasláním v papírové podobě.</w:t>
      </w:r>
    </w:p>
    <w:p>
      <w:pPr>
        <w:ind w:right="1296" w:left="504" w:firstLine="0"/>
        <w:spacing w:before="252" w:after="0" w:line="240" w:lineRule="auto"/>
        <w:jc w:val="left"/>
        <w:rPr>
          <w:color w:val="#000000"/>
          <w:sz w:val="19"/>
          <w:lang w:val="cs-CZ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Dodavatel bude odb</w:t>
      </w:r>
      <w:r>
        <w:rPr>
          <w:color w:val="#000000"/>
          <w:sz w:val="19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ěrateli předepisovat a účtovat zálohy za každé jednotlivé odběrné místo zvlášť v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elektronické podobě s následným zasláním v papírové podobě .</w:t>
      </w:r>
    </w:p>
    <w:p>
      <w:pPr>
        <w:ind w:right="0" w:left="504" w:firstLine="0"/>
        <w:spacing w:before="252" w:after="0" w:line="240" w:lineRule="auto"/>
        <w:jc w:val="left"/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Dodavatel je povinen na výslovné vyžádání jednotlivého odb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ěratele používat:</w:t>
      </w:r>
    </w:p>
    <w:p>
      <w:pPr>
        <w:ind w:right="792" w:left="504" w:firstLine="0"/>
        <w:spacing w:before="0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a)namísto faktury za každé jednotlivé odb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ěrné místo fakturu sloučenou s rozpisem jednotlivých odběrných míst</w:t>
      </w:r>
    </w:p>
    <w:p>
      <w:pPr>
        <w:ind w:right="792" w:left="504" w:firstLine="0"/>
        <w:spacing w:before="36" w:after="0" w:line="240" w:lineRule="auto"/>
        <w:jc w:val="left"/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b)namisto p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ředpisu záloh a daňového dokladu o přijetí platby za každé jednotlivé odběrné místo sloučený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předpis záloh a sloučený daňový doklad o přijetí platby s rozpisem jednotlivých odběrných míst</w:t>
      </w:r>
    </w:p>
    <w:p>
      <w:pPr>
        <w:ind w:right="792" w:left="504" w:firstLine="0"/>
        <w:spacing w:before="252" w:after="0" w:line="240" w:lineRule="auto"/>
        <w:jc w:val="left"/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Dodavatel je povinen poskytnout data o odb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ěrech a fakturaci všech odběrných míst v elektronické podobě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ve formátu .xls po skončení období dodávky do 15. února centrálnímu zadavateli, Olomoucký kraj,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Jeremenkova 1191/40a, 779 11 Olomouc, IČ: 60609460 do datové schránky.</w:t>
      </w:r>
    </w:p>
    <w:p>
      <w:pPr>
        <w:ind w:right="2448" w:left="504" w:firstLine="0"/>
        <w:spacing w:before="252" w:after="0" w:line="480" w:lineRule="auto"/>
        <w:jc w:val="left"/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9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ěratelé mohou vytvářet na svá odběrná místa bezplatně fakturační skupiny.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Zákaznický portál na webovém rozhraní bude přístupný vybraným osobám zákazníka.</w:t>
      </w:r>
    </w:p>
    <w:p>
      <w:pPr>
        <w:ind w:right="792" w:left="504" w:firstLine="0"/>
        <w:spacing w:before="180" w:after="0" w:line="240" w:lineRule="auto"/>
        <w:jc w:val="left"/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ěratel je oprávněn zvolit čtvrtletní, pololetní či roční fakturaci za podmínky, že bude plátcem měsíčních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záloh. Faktura bude vystavena na základě samoodečtu ze strany odběratele.</w:t>
      </w:r>
    </w:p>
    <w:p>
      <w:pPr>
        <w:ind w:right="648" w:left="504" w:firstLine="0"/>
        <w:spacing w:before="144" w:after="0" w:line="240" w:lineRule="auto"/>
        <w:jc w:val="left"/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Dodavatel je povinen poskytovat záznamy o všech vystavených fakturách ve formátu csv., p</w:t>
      </w:r>
      <w:r>
        <w:rPr>
          <w:color w:val="#000000"/>
          <w:sz w:val="19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řípadně DÚF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(dodatečné údaje k fakturaci), ke všem odběrným místům v elektronické podobě. Dodavatel tyto data bude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zasílat v periodě jednoho měsíce. Data budou zaslána nejpozději do 25. dne následujícího kalendářního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měsíce, do datové schránky Olomouckého kraje, případně prostřednictvím emailu, nebo na předem určené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datové uložiště. Struktura souboru bude definována zástupcem všech odběratelů, Olomouckým krajem.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Záznam bude minimálně obsahovat následující údaje:</w:t>
      </w:r>
    </w:p>
    <w:p>
      <w:pPr>
        <w:ind w:right="576" w:left="504" w:firstLine="0"/>
        <w:spacing w:before="72" w:after="0" w:line="240" w:lineRule="auto"/>
        <w:jc w:val="left"/>
        <w:rPr>
          <w:color w:val="#000000"/>
          <w:sz w:val="19"/>
          <w:lang w:val="cs-CZ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•Elekt</w:t>
      </w:r>
      <w:r>
        <w:rPr>
          <w:color w:val="#000000"/>
          <w:sz w:val="19"/>
          <w:lang w:val="cs-CZ"/>
          <w:spacing w:val="-3"/>
          <w:w w:val="100"/>
          <w:strike w:val="false"/>
          <w:vertAlign w:val="baseline"/>
          <w:rFonts w:ascii="Arial" w:hAnsi="Arial"/>
        </w:rPr>
        <w:t xml:space="preserve">řina NN — EAN, IČO, číslo faktury, zúčtovací období (od-do), spotřeba VT v MWh, spotřeba NT v MWh, </w:t>
      </w:r>
      <w:r>
        <w:rPr>
          <w:color w:val="#000000"/>
          <w:sz w:val="19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distribuční sazba, hodnota hlavního jističe (fáze a počet A), regulované platby za — plat za distribuované </w:t>
      </w:r>
      <w:r>
        <w:rPr>
          <w:color w:val="#000000"/>
          <w:sz w:val="19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množství elektřiny VT, plat za distribuované množství elektřiny NT, měsíční plat za rezervovaný příkon, systémové služby, částka za KVET, OZE A DZ, platba za OTE, platby za silovou elektřinu — v časovém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pásmu VT, v časovém pásmu NT, daň z elektřiny, cena celkem bez DPH, cena celkem s DPH.</w:t>
      </w:r>
    </w:p>
    <w:p>
      <w:pPr>
        <w:ind w:right="1008" w:left="504" w:firstLine="0"/>
        <w:spacing w:before="252" w:after="0" w:line="240" w:lineRule="auto"/>
        <w:jc w:val="left"/>
        <w:rPr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B2029" from="28.15pt,60.05pt" to="490.1pt,60.0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Dodavatel jmenuje pro zajišt</w:t>
      </w:r>
      <w:r>
        <w:rPr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ění obchodního styku s odběratelem konkrétní kontaktní osobu, která bude </w:t>
      </w:r>
      <w:r>
        <w:rPr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odběrateli operativně k dispozici pro řešení případných problémů při dodávce komodity.</w:t>
      </w:r>
    </w:p>
    <w:p>
      <w:pPr>
        <w:sectPr>
          <w:pgSz w:w="11918" w:h="16854" w:orient="portrait"/>
          <w:type w:val="nextPage"/>
          <w:textDirection w:val="lrTb"/>
          <w:pgMar w:bottom="412" w:top="1789" w:right="1240" w:left="278" w:header="720" w:footer="720"/>
          <w:titlePg w:val="false"/>
        </w:sectPr>
      </w:pPr>
    </w:p>
    <w:p>
      <w:pPr>
        <w:ind w:right="0" w:left="144" w:firstLine="0"/>
        <w:spacing w:before="0" w:after="0" w:line="240" w:lineRule="auto"/>
        <w:jc w:val="left"/>
        <w:tabs>
          <w:tab w:val="right" w:leader="none" w:pos="2769"/>
        </w:tabs>
        <w:rPr>
          <w:b w:val="true"/>
          <w:color w:val="#4E6497"/>
          <w:sz w:val="47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68pt;height:10.55pt;z-index:-997;margin-left:0pt;margin-top:753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5063" w:w="9360" w:h="211" w:hSpace="0" w:vSpace="0" w:wrap="3"/>
                    <w:tabs>
                      <w:tab w:val="right" w:leader="none" w:pos="9281"/>
                    </w:tabs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Dodávka elekt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řiny v rámci SSDE v napěťové hladině nízkého napětí	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3 (celkem 7)</w:t>
                  </w:r>
                </w:p>
              </w:txbxContent>
            </v:textbox>
          </v:shape>
        </w:pict>
      </w:r>
      <w:r>
        <w:rPr>
          <w:b w:val="true"/>
          <w:color w:val="#4E6497"/>
          <w:sz w:val="47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1	</w:t>
      </w:r>
      <w:r>
        <w:rPr>
          <w:b w:val="true"/>
          <w:color w:val="#4E6497"/>
          <w:sz w:val="45"/>
          <w:lang w:val="cs-CZ"/>
          <w:spacing w:val="-76"/>
          <w:w w:val="60"/>
          <w:strike w:val="false"/>
          <w:vertAlign w:val="baseline"/>
          <w:rFonts w:ascii="Tahoma" w:hAnsi="Tahoma"/>
        </w:rPr>
        <w:t xml:space="preserve">ji&gt;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 KOMO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č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U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ES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IT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I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N9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M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B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Q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U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R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R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A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7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V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A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S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K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K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L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superscript"/>
          <w:rFonts w:ascii="Times New Roman" w:hAnsi="Times New Roman"/>
        </w:rPr>
        <w:t xml:space="preserve">Á</w:t>
      </w:r>
      <w:r>
        <w:rPr>
          <w:b w:val="true"/>
          <w:color w:val="#000000"/>
          <w:sz w:val="14"/>
          <w:lang w:val="cs-CZ"/>
          <w:spacing w:val="-36"/>
          <w:w w:val="100"/>
          <w:strike w:val="false"/>
          <w:vertAlign w:val="baseline"/>
          <w:rFonts w:ascii="Times New Roman" w:hAnsi="Times New Roman"/>
        </w:rPr>
        <w:t xml:space="preserve">ADNO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000000"/>
          <w:sz w:val="18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Dodací podmínky</w:t>
      </w:r>
    </w:p>
    <w:p>
      <w:pPr>
        <w:ind w:right="216" w:left="288" w:firstLine="-216"/>
        <w:spacing w:before="252" w:after="0" w:line="266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Dodavatel je povinen dodávat sjednané množství silové elekt</w:t>
      </w:r>
      <w: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řiny do odběrného místa odběratele,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 rozsahu a za podmínek uzavřeného burzovního obchodu (závěrkového listu) v kvalitě podle příslušných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platných právních předpisů, pokud tomu nebrání okolnosti vyvolané provozovatelem distribuční soustavy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nebo okolnosti stanovené právními předpisy.</w:t>
      </w:r>
    </w:p>
    <w:p>
      <w:pPr>
        <w:ind w:right="720" w:left="288" w:firstLine="-216"/>
        <w:spacing w:before="252" w:after="0" w:line="268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Za sjednané množství dodávky silové elekt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řiny se považuje skutečně dodané a odebrané množství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elektřiny v odběrném místě odběratele. Celkové množství dodávky silové elektřiny uvedené na závěrkovém listu představuje předpokládané množství dodávky elektřiny.</w:t>
      </w:r>
    </w:p>
    <w:p>
      <w:pPr>
        <w:ind w:right="864" w:left="288" w:firstLine="-216"/>
        <w:spacing w:before="216" w:after="0" w:line="271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Dodávka silové elekt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řiny se uskutečňuje v napěťové hladině nízkého napětí v souladu s hodnotou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hlavního jističe před měřícím zařízením.</w:t>
      </w:r>
    </w:p>
    <w:p>
      <w:pPr>
        <w:ind w:right="360" w:left="288" w:firstLine="-216"/>
        <w:spacing w:before="216" w:after="0" w:line="268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Dodávka silové elekt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řiny je spiněna přechodem elektřiny z příslušné distribuční soustavy přes měřící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zařízení do odběrného místa odběratele. Měření dodávek, včetně vyhodnocování a předávání výsledků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měření je zajišťováno provozovatelem distribuční soustavy podle příslušného platného právního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předpisu. Pokud provozovatel distribuční soustavy eviduje jiný údaj o typu měření, než je údaj uvedený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 závěrkovém listu, platí údaj evidovaný provozovatelem distribuční soustavy.</w:t>
      </w:r>
    </w:p>
    <w:p>
      <w:pPr>
        <w:ind w:right="504" w:left="288" w:firstLine="-216"/>
        <w:spacing w:before="252" w:after="0" w:line="268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Dodavatel je povinen zajistit na vlastní jméno a na vlastní ú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čet pro odběrné místo odběratele dopravu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elektřiny a ostatní související služby a dále je povinen uzavřít s provozovatelem distribuční soustavy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jménem a na účet odběratele smlouvu o distribuci elektřiny do odběrného místa odběratele.</w:t>
      </w:r>
    </w:p>
    <w:p>
      <w:pPr>
        <w:ind w:right="216" w:left="288" w:firstLine="-216"/>
        <w:spacing w:before="216" w:after="0" w:line="268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ěratel uzavřením burzovního obchodu souhlasí, aby dodavatel uzavřel s provozovatelem distribuční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soustavy smlouvu o distribuci elektřiny do odběrného místa a dále je povinen poskytnout dodavateli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k uzavření smlouvy o distribuci elektřiny nezbytnou součinnost. Dodavatel je oprávněn pověřit uzavřením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smlouvy o distribuci elektřiny do odběrného místa třetí osobu, avšak odpovědnost vůči odběrateli za uzavření takové smlouvy nese sám.</w:t>
      </w:r>
    </w:p>
    <w:p>
      <w:pPr>
        <w:ind w:right="144" w:left="288" w:firstLine="-216"/>
        <w:spacing w:before="252" w:after="0" w:line="268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Dodavatel je povinen ve smyslu p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říslušného platného právního předpisu převzít závazek odběratele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odebrat elektřinu z elektrizační soustavy a nést pinou zodpovědnost za odchylku odběratele vztahující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se k odběrnému místu odběratele (dále „přenesení odpovědnosti za odchylku na dodavatele"). Z důvodu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přenesení odpovědnosti za odchylku na dodavatele není odběratel oprávněn mít pro dodávku elektřiny do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odběrného místa dle burzovního obchodu (závěrkového listu) jiného nebo více jiných dodavatelů.</w:t>
      </w:r>
    </w:p>
    <w:p>
      <w:pPr>
        <w:ind w:right="144" w:left="288" w:firstLine="-216"/>
        <w:spacing w:before="252" w:after="0" w:line="268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Sjednaná dodávka elekt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řiny může být omezena, pokud bude provozovatelem přenosové soustavy nebo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provozovatelem distribuční soustavy vyhlášen stav nouze podle příslušných platných právních předpisů.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Odběrná místa s odběrem elektřiny ze zařízení distribučních soustav s napětím do 1 kV s hodnotou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jističe nižší než 200 A jsou zařazena v souladu s platnými právními předpisy do regulačního stupně č. 2.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Odběrná místa s odběrem elektřiny ze zařízení distribučních soustav s napětím do 1 kV s hodnotou jističe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před elektroměrem 200 A a vyšší jsou zařazena v regulačních stupních č. 4 a 6. Odběratel je povinen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sledovat ínformace o vyhlášení omezujících regulačních opatření v případě hrozícího nebo stávajícího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stavu nouze v elektroenergetice. Dodavatel i odběratel jsou povinni v případě hrozícího nebo stávajícího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stavu nouze v elektroenergetice postupovat podle příslušného platného právního předpisu.</w:t>
      </w:r>
    </w:p>
    <w:p>
      <w:pPr>
        <w:ind w:right="360" w:left="288" w:firstLine="-216"/>
        <w:spacing w:before="216" w:after="0" w:line="268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ěratel je povinen při odběru elektřiny dle uzavřeného burzovního obchodu (závěrkového listu) respektovat podmínky distribuce elektřiny příslušného provozovatele distribuční soustavy a dále je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povinen udržovat odběrná zařízení ve stavu, který odpovídá příslušným technickým normám a platným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právním předpisům.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8"/>
          <w:lang w:val="cs-CZ"/>
          <w:spacing w:val="-2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2"/>
          <w:w w:val="100"/>
          <w:strike w:val="false"/>
          <w:u w:val="single"/>
          <w:vertAlign w:val="baseline"/>
          <w:rFonts w:ascii="Tahoma" w:hAnsi="Tahoma"/>
        </w:rPr>
        <w:t xml:space="preserve">Platební podmínky 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1.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 je povinen zaplatit dodavateli za dodávku elektřiny cenu, která je tvořena:</w:t>
      </w:r>
    </w:p>
    <w:p>
      <w:pPr>
        <w:ind w:right="0" w:left="504" w:firstLine="-216"/>
        <w:spacing w:before="0" w:after="0" w:line="240" w:lineRule="auto"/>
        <w:jc w:val="left"/>
        <w:tabs>
          <w:tab w:val="clear" w:pos="216"/>
          <w:tab w:val="decimal" w:pos="504"/>
        </w:tabs>
        <w:numPr>
          <w:ilvl w:val="0"/>
          <w:numId w:val="3"/>
        </w:numP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cenou za silovou elekt</w:t>
      </w:r>
      <w: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řinu ,</w:t>
      </w:r>
    </w:p>
    <w:p>
      <w:pPr>
        <w:ind w:right="576" w:left="504" w:firstLine="-216"/>
        <w:spacing w:before="36" w:after="0" w:line="268" w:lineRule="auto"/>
        <w:jc w:val="both"/>
        <w:tabs>
          <w:tab w:val="clear" w:pos="216"/>
          <w:tab w:val="decimal" w:pos="504"/>
        </w:tabs>
        <w:numPr>
          <w:ilvl w:val="0"/>
          <w:numId w:val="3"/>
        </w:numP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cenou za distribuci elekt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řiny, systémové služby a ostatní související služby, která bude stanovena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 souladu s všeobecně závaznými právními předpisy, zejména cenovými rozhodnutími příslušných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správních a regulačních orgánů.</w:t>
      </w:r>
    </w:p>
    <w:p>
      <w:pPr>
        <w:ind w:right="360" w:left="216" w:firstLine="-216"/>
        <w:spacing w:before="180" w:after="0" w:line="268" w:lineRule="auto"/>
        <w:jc w:val="left"/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41720" from="0pt,44.75pt" to="464.45pt,44.7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2. Dodávky elekt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řiny se účtují v zúčtovacím období fakturami, které musí mít náležitosti daňových dokladů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podle příslušných právních předpisů.</w:t>
      </w:r>
    </w:p>
    <w:p>
      <w:pPr>
        <w:sectPr>
          <w:pgSz w:w="11918" w:h="16854" w:orient="portrait"/>
          <w:type w:val="nextPage"/>
          <w:textDirection w:val="lrTb"/>
          <w:pgMar w:bottom="607" w:top="854" w:right="1183" w:left="1315" w:header="720" w:footer="720"/>
          <w:titlePg w:val="false"/>
        </w:sectPr>
      </w:pPr>
    </w:p>
    <w:p>
      <w:pPr>
        <w:rPr>
          <w:sz w:val="2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68pt;height:10.5pt;z-index:-996;margin-left:0pt;margin-top:751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5036" w:w="9360" w:h="210" w:hSpace="0" w:vSpace="0" w:wrap="3"/>
                    <w:tabs>
                      <w:tab w:val="right" w:leader="none" w:pos="9317"/>
                    </w:tabs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Dodávka elekt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řiny v rámci SSDE v napětóvé hladině nízkého napětí	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3 (celkem 7)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61"/>
        <w:gridCol w:w="8199"/>
      </w:tblGrid>
      <w:tr>
        <w:trPr>
          <w:trHeight w:val="50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61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3C5277"/>
                <w:sz w:val="58"/>
                <w:lang w:val="cs-CZ"/>
                <w:spacing w:val="-176"/>
                <w:w w:val="105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3C5277"/>
                <w:sz w:val="58"/>
                <w:lang w:val="cs-CZ"/>
                <w:spacing w:val="-176"/>
                <w:w w:val="105"/>
                <w:strike w:val="false"/>
                <w:vertAlign w:val="baseline"/>
                <w:rFonts w:ascii="Verdana" w:hAnsi="Verdana"/>
              </w:rPr>
              <w:t xml:space="preserve">v(B&gt;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60" w:type="auto"/>
            <w:textDirection w:val="lrTb"/>
            <w:vAlign w:val="center"/>
          </w:tcPr>
          <w:p>
            <w:pPr>
              <w:ind w:right="0" w:left="0" w:firstLine="0"/>
              <w:spacing w:before="0" w:after="0" w:line="285" w:lineRule="auto"/>
              <w:jc w:val="center"/>
              <w:rPr>
                <w:b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0"/>
                <w:lang w:val="cs-CZ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ÉLSKOMORAVSKÁ
</w:t>
              <w:br/>
            </w:r>
            <w:r>
              <w:rPr>
                <w:b w:val="true"/>
                <w:color w:val="#000000"/>
                <w:sz w:val="10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KOMODITNÍ BURZA KLADNO</w:t>
            </w:r>
          </w:p>
        </w:tc>
      </w:tr>
    </w:tbl>
    <w:p>
      <w:pPr>
        <w:spacing w:before="0" w:after="160" w:line="20" w:lineRule="exact"/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19"/>
          <w:lang w:val="cs-CZ"/>
          <w:spacing w:val="0"/>
          <w:w w:val="110"/>
          <w:strike w:val="false"/>
          <w:u w:val="single"/>
          <w:vertAlign w:val="baseline"/>
          <w:rFonts w:ascii="Arial" w:hAnsi="Arial"/>
        </w:rPr>
      </w:pPr>
      <w:r>
        <w:rPr>
          <w:color w:val="#000000"/>
          <w:sz w:val="19"/>
          <w:lang w:val="cs-CZ"/>
          <w:spacing w:val="0"/>
          <w:w w:val="110"/>
          <w:strike w:val="false"/>
          <w:u w:val="single"/>
          <w:vertAlign w:val="baseline"/>
          <w:rFonts w:ascii="Arial" w:hAnsi="Arial"/>
        </w:rPr>
        <w:t xml:space="preserve">Dodací </w:t>
      </w:r>
      <w:r>
        <w:rPr>
          <w:b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podmínky</w:t>
      </w:r>
    </w:p>
    <w:p>
      <w:pPr>
        <w:ind w:right="144" w:left="360" w:firstLine="-288"/>
        <w:spacing w:before="216" w:after="0" w:line="266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Dodavatel je povinen dodávat sjednané množství silové elekt</w:t>
      </w:r>
      <w: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řiny do odběrného místa odběratele,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 rozsahu a za podmínek uzavřeného burzovního obchodu (závěrkového listu) v kvalitě podle příslušných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platných právních předpisů, pokud tomu nebrání okolnosti vyvolané provozovatelem distribuční soustavy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nebo okolnosti stanovené právními předpisy.</w:t>
      </w:r>
    </w:p>
    <w:p>
      <w:pPr>
        <w:ind w:right="720" w:left="360" w:firstLine="-288"/>
        <w:spacing w:before="252" w:after="0" w:line="268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Za sjednané množství dodávky silové elekt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řiny se považuje skutečně dodané a odebrané množství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elektřiny v odběrném místě odběratele. Celkové množství dodávky silové elektřiny uvedené na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závěrkovém listu představuje předpokládané množství dodávky elektřiny.</w:t>
      </w:r>
    </w:p>
    <w:p>
      <w:pPr>
        <w:ind w:right="792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Dodávka silové elekt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řiny se uskutečňuje v napěťové hladině nízkého napětí v souladu s hodnotou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hlavního jističe před měřícím zařízením.</w:t>
      </w:r>
    </w:p>
    <w:p>
      <w:pPr>
        <w:ind w:right="288" w:left="360" w:firstLine="-288"/>
        <w:spacing w:before="252" w:after="0" w:line="268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Dodávka silové elekt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řiny je spiněna přechodem elektřiny z příslušné distribuční soustavy přes měřící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zařízení do odběrného místa odběratele. Měření dodávek, včetně vyhodnocování a předávání výsledků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měření je zajišťováno provozovatelem distribuční soustavy podle příslušného platného právního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předpisu. Pokud provozovatel distribuční soustavy eviduje jiný údaj o typu měření, než je údaj uvedený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 závěrkovém listu, platí údaj evidovaný provozovatelem distribuční soustavy.</w:t>
      </w:r>
    </w:p>
    <w:p>
      <w:pPr>
        <w:ind w:right="504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Dodavatel je povinen zajistit na vlastní jméno a na vlastní ú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čet pro odběrné místo odběratele dopravu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elektřiny a ostatní související služby a dále je povinen uzavřít s provozovatelem distribuční soustavy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jménem a na účet odběratele smlouvu o distribuci elektřiny do odběrného místa odběratele.</w:t>
      </w:r>
    </w:p>
    <w:p>
      <w:pPr>
        <w:ind w:right="216" w:left="360" w:firstLine="-288"/>
        <w:spacing w:before="252" w:after="0" w:line="268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ěratel uzavřením burzovního obchodu souhlasí, aby dodavatel uzavřel s provozovatelem distribuční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soustavy smlouvu o distribuci elektřiny do odběrného místa a dále je povinen poskytnout dodavateli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k uzavření smlouvy o distribuci elektřiny nezbytnou součinnost. Dodavatel je oprávněn pověřit uzavřením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smlouvy o distribuci elektřiny do odběrného místa třetí osobu, avšak odpovědnost vůči odběrateli za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uzavření takové smlouvy nese sám.</w:t>
      </w:r>
    </w:p>
    <w:p>
      <w:pPr>
        <w:ind w:right="72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Dodavatel je povinen ve smyslu p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říslušného platného právního předpisu převzít závazek odběratele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odebrat elektřinu z elektrizační soustavy a nést pinou zodpovědnost za odchylku odběratele vztahující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se k odběrnému místu odběratele (dále „přenesení odpovědnosti za odchylku na dodavatele"). Z důvodu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přenesení odpovědnosti za odchylku na dodavatele není odběratel oprávněn mít pro dodávku elektřiny do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odběrného místa dle burzovního obchodu (závěrkového listu) jiného nebo více jiných dodavatelů.</w:t>
      </w:r>
    </w:p>
    <w:p>
      <w:pPr>
        <w:ind w:right="72" w:left="360" w:firstLine="-288"/>
        <w:spacing w:before="252" w:after="0" w:line="268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Sjednaná dodávka elekt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řiny může být omezena, pokud bude provozovatelem přenosové soustavy nebo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provozovatelem distribuční soustavy vyhlášen stav nouze podle příslušných platných právních předpisů.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Odběrná místa s odběrem elektřiny ze zařízení distribučních soustav s napětím do 1 kV s hodnotou 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jističe nižší než 200 A jsou zařazena v souladu s platnými právními předpisy do regulačního stupně č. 2.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Odběrná místa s odběrem elektřiny ze zařízení distribučních soustav s napětím do 1 kV s hodnotou jističe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před elektroměrem 200 A a vyšší jsou zařazena v regulačních stupních č. 4 a 6. Odběratel je povinen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sledovat informace o vyhlášení omezujících regulačních opatření v případě hrozícího nebo stávajícího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stavu nouze v elektroenergetice. Dodavatel i odběratel jsou povinni v případě hrozícího nebo stávajícího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stavu nouze v elektroenergetice postupovat podle příslušného platného právního předpisu.</w:t>
      </w:r>
    </w:p>
    <w:p>
      <w:pPr>
        <w:ind w:right="360" w:left="360" w:firstLine="-288"/>
        <w:spacing w:before="216" w:after="0" w:line="268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 je povinen při odběru elektřiny dle uzavřeného burzovního obchodu (závěrkového listu)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respektovat podmínky distribuce elektřiny příslušného provozovatele distribuční soustavy a dále je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povinen udržovat odběrná zařízení ve stavu, který odpovídá příslušným technickým normám a platným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právním předpisům.</w:t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000000"/>
          <w:sz w:val="19"/>
          <w:lang w:val="cs-CZ"/>
          <w:spacing w:val="-2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2"/>
          <w:w w:val="100"/>
          <w:strike w:val="false"/>
          <w:u w:val="single"/>
          <w:vertAlign w:val="baseline"/>
          <w:rFonts w:ascii="Arial" w:hAnsi="Arial"/>
        </w:rPr>
        <w:t xml:space="preserve">Platební podmínky </w:t>
      </w:r>
    </w:p>
    <w:p>
      <w:pPr>
        <w:ind w:right="0" w:left="72" w:firstLine="0"/>
        <w:spacing w:before="252" w:after="0" w:line="271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1.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 je povinen zaplatit dodavateli za dodávku elektřiny cenu, která je tvořena:</w:t>
      </w:r>
    </w:p>
    <w:p>
      <w:pPr>
        <w:ind w:right="0" w:left="576" w:firstLine="-288"/>
        <w:spacing w:before="0" w:after="0" w:line="240" w:lineRule="auto"/>
        <w:jc w:val="left"/>
        <w:tabs>
          <w:tab w:val="clear" w:pos="288"/>
          <w:tab w:val="decimal" w:pos="576"/>
        </w:tabs>
        <w:numPr>
          <w:ilvl w:val="0"/>
          <w:numId w:val="5"/>
        </w:numP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cenou za silovou elekt</w:t>
      </w:r>
      <w:r>
        <w:rPr>
          <w:color w:val="#000000"/>
          <w:sz w:val="18"/>
          <w:lang w:val="cs-CZ"/>
          <w:spacing w:val="12"/>
          <w:w w:val="100"/>
          <w:strike w:val="false"/>
          <w:vertAlign w:val="baseline"/>
          <w:rFonts w:ascii="Arial" w:hAnsi="Arial"/>
        </w:rPr>
        <w:t xml:space="preserve">řinu ,</w:t>
      </w:r>
    </w:p>
    <w:p>
      <w:pPr>
        <w:ind w:right="504" w:left="576" w:firstLine="-288"/>
        <w:spacing w:before="0" w:after="0" w:line="268" w:lineRule="auto"/>
        <w:jc w:val="left"/>
        <w:tabs>
          <w:tab w:val="clear" w:pos="288"/>
          <w:tab w:val="decimal" w:pos="576"/>
        </w:tabs>
        <w:numPr>
          <w:ilvl w:val="0"/>
          <w:numId w:val="5"/>
        </w:numP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cenou za distribuci elekt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řiny, systémové služby a ostatní související služby, která bude stanovena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v souladu s všeobecně závaznými právními předpisy, zejména cenovými rozhodnutími příslušných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správních a regulačních orgánů.</w:t>
      </w:r>
    </w:p>
    <w:p>
      <w:pPr>
        <w:ind w:right="288" w:left="216" w:firstLine="-216"/>
        <w:spacing w:before="216" w:after="0" w:line="271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51922" from="3.1pt,46.55pt" to="468.05pt,46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2. Dodávky elekt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řiny se účtují v zúčtovacím období fakturami, které musí mít náležitosti daňových dokladů podle příslušných právních předpisů.</w:t>
      </w:r>
    </w:p>
    <w:p>
      <w:pPr>
        <w:sectPr>
          <w:pgSz w:w="11918" w:h="16854" w:orient="portrait"/>
          <w:type w:val="nextPage"/>
          <w:textDirection w:val="lrTb"/>
          <w:pgMar w:bottom="614" w:top="874" w:right="1218" w:left="1280" w:header="720" w:footer="720"/>
          <w:titlePg w:val="false"/>
        </w:sectPr>
      </w:pPr>
    </w:p>
    <w:p>
      <w:pPr>
        <w:ind w:right="0" w:left="216" w:firstLine="0"/>
        <w:spacing w:before="180" w:after="0" w:line="840" w:lineRule="auto"/>
        <w:jc w:val="left"/>
        <w:rPr>
          <w:b w:val="true"/>
          <w:color w:val="#1C2A3B"/>
          <w:sz w:val="10"/>
          <w:lang w:val="cs-CZ"/>
          <w:spacing w:val="52"/>
          <w:w w:val="90"/>
          <w:strike w:val="false"/>
          <w:rFonts w:ascii="Arial" w:hAnsi="Arial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68pt;height:10.7pt;z-index:-995;margin-left:0pt;margin-top:750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64" w:lineRule="auto"/>
                    <w:jc w:val="left"/>
                    <w:framePr w:hAnchor="text" w:vAnchor="text" w:y="15005" w:w="9360" w:h="214" w:hSpace="0" w:vSpace="0" w:wrap="3"/>
                    <w:tabs>
                      <w:tab w:val="right" w:leader="none" w:pos="9299"/>
                    </w:tabs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Dodávka elekt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řiny v rámci SSDE v napěťové hladině nízkého napětí	</w:t>
                  </w:r>
                  <w:r>
                    <w:rPr>
                      <w:i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Strana 4 (celkem 7)</w:t>
                  </w:r>
                </w:p>
              </w:txbxContent>
            </v:textbox>
          </v:shape>
        </w:pict>
      </w:r>
      <w:r>
        <w:rPr>
          <w:b w:val="true"/>
          <w:color w:val="#1C2A3B"/>
          <w:sz w:val="10"/>
          <w:lang w:val="cs-CZ"/>
          <w:spacing w:val="52"/>
          <w:w w:val="90"/>
          <w:strike w:val="false"/>
          <w:rFonts w:ascii="Arial" w:hAnsi="Arial"/>
        </w:rPr>
        <w:t xml:space="preserve">v</w:t>
      </w:r>
      <w:r>
        <w:rPr>
          <w:b w:val="true"/>
          <w:color w:val="#33446E"/>
          <w:sz w:val="10"/>
          <w:lang w:val="cs-CZ"/>
          <w:spacing w:val="52"/>
          <w:w w:val="100"/>
          <w:strike w:val="false"/>
          <w:rFonts w:ascii="Arial" w:hAnsi="Arial"/>
        </w:rPr>
        <w:t xml:space="preserve">(B</w:t>
      </w:r>
      <w:r>
        <w:rPr>
          <w:b w:val="true"/>
          <w:color w:val="#4A6498"/>
          <w:sz w:val="10"/>
          <w:lang w:val="cs-CZ"/>
          <w:spacing w:val="52"/>
          <w:w w:val="300"/>
          <w:strike w:val="false"/>
          <w:rFonts w:ascii="Arial" w:hAnsi="Arial"/>
        </w:rPr>
        <w:t xml:space="preserve">i</w:t>
      </w:r>
      <w:r>
        <w:rPr>
          <w:b w:val="true"/>
          <w:color w:val="#33446E"/>
          <w:sz w:val="10"/>
          <w:lang w:val="cs-CZ"/>
          <w:spacing w:val="52"/>
          <w:w w:val="100"/>
          <w:strike w:val="false"/>
          <w:rFonts w:ascii="Arial" w:hAnsi="Arial"/>
        </w:rPr>
        <w:t xml:space="preserve">p</w:t>
      </w:r>
      <w:r>
        <w:rPr>
          <w:color w:val="#000000"/>
          <w:sz w:val="10"/>
          <w:lang w:val="cs-CZ"/>
          <w:spacing w:val="52"/>
          <w:w w:val="100"/>
          <w:strike w:val="false"/>
          <w:vertAlign w:val="baseline"/>
          <w:rFonts w:ascii="Verdana" w:hAnsi="Verdana"/>
        </w:rPr>
        <w:t xml:space="preserve">ČfSKOMORAVSKÁ</w:t>
      </w:r>
    </w:p>
    <w:p>
      <w:pPr>
        <w:ind w:right="0" w:left="1224" w:firstLine="0"/>
        <w:spacing w:before="0" w:after="0" w:line="240" w:lineRule="auto"/>
        <w:jc w:val="left"/>
        <w:rPr>
          <w:color w:val="#000000"/>
          <w:sz w:val="10"/>
          <w:lang w:val="cs-CZ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0"/>
          <w:lang w:val="cs-CZ"/>
          <w:spacing w:val="5"/>
          <w:w w:val="100"/>
          <w:strike w:val="false"/>
          <w:vertAlign w:val="baseline"/>
          <w:rFonts w:ascii="Verdana" w:hAnsi="Verdana"/>
        </w:rPr>
        <w:t xml:space="preserve">KOMO DITNÍ BURZA KIAI)NO</w:t>
      </w:r>
    </w:p>
    <w:p>
      <w:pPr>
        <w:ind w:right="288" w:left="288" w:firstLine="-216"/>
        <w:spacing w:before="180" w:after="0" w:line="268" w:lineRule="auto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K ú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čtované ceně dodávky elektřiny se připočítává daň z elektřiny, daň z přidané hodnoty, poplatky a jiné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nepřímé daně stanovené v souladu s příslušnými právními předpisy.</w:t>
      </w:r>
    </w:p>
    <w:p>
      <w:pPr>
        <w:ind w:right="144" w:left="288" w:firstLine="-216"/>
        <w:spacing w:before="180" w:after="0" w:line="266" w:lineRule="auto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 pr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ůběhu zúčtovacího období hradí odběratel dodavateli za dodávky elektřiny pravidelné zálohy, pokud není burzovním obchodem sjednáno jinak. Jejich výše je určena podle celkové předpokládané platby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odběratele za příslušné fakturační období včetně daně z přidané hodnoty. Dodavatel je povinen po 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uzavření burzovního obchodu (závěrkového listu) vystavit odběrateli v souladu s podmínkami uzavřeného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burzovního obchodu (závěrkového listu) platební kalendář s uvedením počtu, výše a splatnosti záloh.</w:t>
      </w:r>
    </w:p>
    <w:p>
      <w:pPr>
        <w:ind w:right="144" w:left="288" w:firstLine="-216"/>
        <w:spacing w:before="144" w:after="0" w:line="268" w:lineRule="auto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Zálohy zaplacené odb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ěratelem na příslušné zúčtovací období budou dodavatelem vypořádány ve faktuře za zúčtovací období. Rozdíl ve faktuře mezi vyúčtovanou částkou a zaplacenými zálohami, který je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nedoplatkem odběratele, je odběratel povinen zaplatit dodavateli v termínu splatnosti faktury. Rozdíl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ve faktuře mezi vyúčtovanou částkou a zaplacenými zálohami, který je přeplatkem odběratele, dodavatel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vrátí odběrateli v termínu splatnosti faktury na bankovní účet odběratele uvedený v závěrkovém listu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s použitím variabilního symbolu uvedeného na faktuře. Pokud není burzovním obchodem sjednáno jinak, 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je dodavatel oprávněn přeplatky a nedoplatky odběratele převádět do dalšího zúčtovacího období, dále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je oprávněn započítat přeplatek odběratele na úhradu záloh v dalším zúčtovacím období, přičemž převod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a započtení těchto částek je povinen vždy oznámit odběrateli.</w:t>
      </w:r>
    </w:p>
    <w:p>
      <w:pPr>
        <w:ind w:right="288" w:left="288" w:firstLine="-216"/>
        <w:spacing w:before="180" w:after="0" w:line="268" w:lineRule="auto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Odb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ěratel je povinen provádět všechny platby bezhotovostně v tuzemské měně, pokud není burzovním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obchodem (závěrkovým listem) sjednána jiná měna, na bankovní účet dodavatele uvedený na příslušné </w:t>
      </w:r>
      <w:r>
        <w:rPr>
          <w:color w:val="#000000"/>
          <w:sz w:val="18"/>
          <w:lang w:val="cs-CZ"/>
          <w:spacing w:val="9"/>
          <w:w w:val="100"/>
          <w:strike w:val="false"/>
          <w:vertAlign w:val="baseline"/>
          <w:rFonts w:ascii="Arial" w:hAnsi="Arial"/>
        </w:rPr>
        <w:t xml:space="preserve">faktuře s použitím variabilního symbolu uvedeného na faktuře. Pokud odběratel poukáže platbu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 nesprávným variabilním symbolem, nebo ji poukáže na jiný bankovní účet dodavatele, než je uvedeno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na faktuře, je dodavatel oprávněn platbu vrátit odběrateli jako neidentifikovatelnou a účtovat úrok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 prodlení za opožděné placení od data splatnosti faktury až do obdržení správně poukázané platby.</w:t>
      </w:r>
    </w:p>
    <w:p>
      <w:pPr>
        <w:ind w:right="72" w:left="288" w:firstLine="-216"/>
        <w:spacing w:before="180" w:after="0" w:line="266" w:lineRule="auto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Zaplacením plateb se rozumí p</w:t>
      </w:r>
      <w:r>
        <w:rPr>
          <w:color w:val="#000000"/>
          <w:sz w:val="18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řipsání příslušné částky na bankovní účet dodavatele. Připadne-li den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splatnosti faktury nebo zálohy na den pracovního volna nebo klidu, je dnem splatnosti nejbližší následující pracovní den.</w:t>
      </w:r>
    </w:p>
    <w:p>
      <w:pPr>
        <w:ind w:right="72" w:left="288" w:firstLine="-216"/>
        <w:spacing w:before="252" w:after="0" w:line="266" w:lineRule="auto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V p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řípadě prodlení odběratele s úhradou jakékoliv částky vyplývající z uzavřeného burzovního obchodu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(závěrkového listu), je odběratel povinen uhradit dodavateli úrok z prodlení ve výši 0,05 % z dlužné částky za každý den prodlení.</w:t>
      </w:r>
    </w:p>
    <w:p>
      <w:pPr>
        <w:ind w:right="288" w:left="288" w:firstLine="-216"/>
        <w:spacing w:before="216" w:after="0" w:line="268" w:lineRule="auto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V p</w:t>
      </w:r>
      <w:r>
        <w:rPr>
          <w:color w:val="#000000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řípadě, že je odběratel v prodlení s úhradou jakékoliv částky vyplývající z uzavřeného burzovního </w:t>
      </w:r>
      <w:r>
        <w:rPr>
          <w:color w:val="#000000"/>
          <w:sz w:val="18"/>
          <w:lang w:val="cs-CZ"/>
          <w:spacing w:val="7"/>
          <w:w w:val="100"/>
          <w:strike w:val="false"/>
          <w:vertAlign w:val="baseline"/>
          <w:rFonts w:ascii="Arial" w:hAnsi="Arial"/>
        </w:rPr>
        <w:t xml:space="preserve">obchodu, má dodavatel právo zaslat odběrateli písemné výzvy či upomínky k placení. Odběratel je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v takovém případě povinen uhradit dodavateli náklady spojené se zasláním písemné výzvy či upomínky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 placení.</w:t>
      </w:r>
    </w:p>
    <w:p>
      <w:pPr>
        <w:ind w:right="72" w:left="216" w:firstLine="-144"/>
        <w:spacing w:before="252" w:after="0" w:line="268" w:lineRule="auto"/>
        <w:jc w:val="both"/>
        <w:tabs>
          <w:tab w:val="clear" w:pos="360"/>
          <w:tab w:val="decimal" w:pos="432"/>
        </w:tabs>
        <w:numPr>
          <w:ilvl w:val="0"/>
          <w:numId w:val="6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 p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řípadě prodlení dodavatele s úhradou jakékoliv částky vyplývající z uzavřeného burzovního obchodu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(závěrkového listu), je dodavatel povinen uhradit odběrateli úrok z prodlení ve výši 0,05 % z dlužné částky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za každý den prodlení.</w:t>
      </w:r>
    </w:p>
    <w:p>
      <w:pPr>
        <w:ind w:right="0" w:left="72" w:firstLine="0"/>
        <w:spacing w:before="252" w:after="0" w:line="216" w:lineRule="auto"/>
        <w:jc w:val="left"/>
        <w:rPr>
          <w:b w:val="true"/>
          <w:color w:val="#1C2A3B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1C2A3B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Reklamace</w:t>
      </w:r>
    </w:p>
    <w:p>
      <w:pPr>
        <w:ind w:right="72" w:left="360" w:firstLine="-216"/>
        <w:spacing w:before="252" w:after="0" w:line="268" w:lineRule="auto"/>
        <w:jc w:val="left"/>
        <w:tabs>
          <w:tab w:val="clear" w:pos="216"/>
          <w:tab w:val="decimal" w:pos="360"/>
        </w:tabs>
        <w:numPr>
          <w:ilvl w:val="0"/>
          <w:numId w:val="7"/>
        </w:numP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Zjistí-li odb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ěratel chyby nebo omyly při vyúčtování dodávky elektřiny dle uzavřeného burzovního obchodu </w:t>
      </w:r>
      <w:r>
        <w:rPr>
          <w:color w:val="#000000"/>
          <w:sz w:val="18"/>
          <w:lang w:val="cs-CZ"/>
          <w:spacing w:val="5"/>
          <w:w w:val="100"/>
          <w:strike w:val="false"/>
          <w:vertAlign w:val="baseline"/>
          <w:rFonts w:ascii="Arial" w:hAnsi="Arial"/>
        </w:rPr>
        <w:t xml:space="preserve">(závěrkového listu), má právo příslušné vyúčtování (fakturu) u dodavatele reklamovat. Reklamace musí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mít písemnou formu a její uplatnění nemá odkladný účinek na splatnost faktury, vyjma zcela zjevné chyby,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nedohodne-li se odběratel a dodavatel jinak.</w:t>
      </w:r>
    </w:p>
    <w:p>
      <w:pPr>
        <w:ind w:right="432" w:left="360" w:firstLine="-216"/>
        <w:spacing w:before="216" w:after="0" w:line="268" w:lineRule="auto"/>
        <w:jc w:val="left"/>
        <w:tabs>
          <w:tab w:val="clear" w:pos="216"/>
          <w:tab w:val="decimal" w:pos="360"/>
        </w:tabs>
        <w:numPr>
          <w:ilvl w:val="0"/>
          <w:numId w:val="7"/>
        </w:numP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Dodavatel je povinen reklamaci p</w:t>
      </w:r>
      <w:r>
        <w:rPr>
          <w:color w:val="#000000"/>
          <w:sz w:val="18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řezkoumat a výsledek přezkoumání je povinen oznámit odběrateli ve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lhůtách stanovených příslušnými právními předpisy.</w:t>
      </w:r>
    </w:p>
    <w:p>
      <w:pPr>
        <w:ind w:right="0" w:left="72" w:firstLine="0"/>
        <w:spacing w:before="216" w:after="0" w:line="240" w:lineRule="auto"/>
        <w:jc w:val="left"/>
        <w:rPr>
          <w:b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Omezení a p</w:t>
      </w:r>
      <w:r>
        <w:rPr>
          <w:b w:val="true"/>
          <w:color w:val="#000000"/>
          <w:sz w:val="19"/>
          <w:lang w:val="cs-CZ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řerušení  dodávky</w:t>
      </w:r>
    </w:p>
    <w:p>
      <w:pPr>
        <w:ind w:right="360" w:left="216" w:firstLine="-144"/>
        <w:spacing w:before="216" w:after="0" w:line="266" w:lineRule="auto"/>
        <w:jc w:val="left"/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pict>
          <v:line strokeweight="0.9pt" strokecolor="#171925" from="3.25pt,92.65pt" to="468.05pt,92.6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1. Dodavatel je oprávn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ěn přerušit nebo omezit v nezbytném rozsahu dodávku elektřiny dle burzovního </w:t>
      </w:r>
      <w:r>
        <w:rPr>
          <w:color w:val="#000000"/>
          <w:sz w:val="18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obchodu (závěrkového listu) v odběrném místě v případech neoprávněného odběru, který je definován </w:t>
      </w:r>
      <w:r>
        <w:rPr>
          <w:color w:val="#000000"/>
          <w:sz w:val="18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příslušnými platnými právními předpisy.</w:t>
      </w:r>
    </w:p>
    <w:sectPr>
      <w:pgSz w:w="11918" w:h="16854" w:orient="portrait"/>
      <w:type w:val="nextPage"/>
      <w:textDirection w:val="lrTb"/>
      <w:pgMar w:bottom="585" w:top="934" w:right="1237" w:left="126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18"/>
        <w:lang w:val="cs-CZ"/>
        <w:spacing w:val="9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lowerLetter"/>
      <w:lvlText w:val="%1)"/>
      <w:start w:val="1"/>
      <w:lvlJc w:val="left"/>
      <w:pPr>
        <w:ind w:left="720"/>
        <w:tabs>
          <w:tab w:val="decimal" w:pos="216"/>
        </w:tabs>
      </w:pPr>
      <w:rPr>
        <w:color w:val="#000000"/>
        <w:sz w:val="18"/>
        <w:lang w:val="cs-CZ"/>
        <w:spacing w:val="12"/>
        <w:w w:val="100"/>
        <w:strike w:val="false"/>
        <w:vertAlign w:val="baseline"/>
        <w:rFonts w:ascii="Arial" w:hAnsi="Arial"/>
      </w:rPr>
    </w:lvl>
  </w:abstractNum>
  <w:abstractNum w:abstractNumId="3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9"/>
        <w:w w:val="100"/>
        <w:strike w:val="false"/>
        <w:vertAlign w:val="baseline"/>
        <w:rFonts w:ascii="Arial" w:hAnsi="Arial"/>
      </w:rPr>
    </w:lvl>
  </w:abstractNum>
  <w:abstractNum w:abstractNumId="4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cs-CZ"/>
        <w:spacing w:val="12"/>
        <w:w w:val="100"/>
        <w:strike w:val="false"/>
        <w:vertAlign w:val="baseline"/>
        <w:rFonts w:ascii="Arial" w:hAnsi="Arial"/>
      </w:rPr>
    </w:lvl>
  </w:abstractNum>
  <w:abstractNum w:abstractNumId="5">
    <w:lvl w:ilvl="0">
      <w:numFmt w:val="decimal"/>
      <w:lvlText w:val="%1."/>
      <w:start w:val="3"/>
      <w:lvlJc w:val="left"/>
      <w:pPr>
        <w:ind w:left="720"/>
        <w:tabs>
          <w:tab w:val="decimal" w:pos="216"/>
        </w:tabs>
      </w:pPr>
      <w:rPr>
        <w:color w:val="#000000"/>
        <w:sz w:val="18"/>
        <w:lang w:val="cs-CZ"/>
        <w:spacing w:val="1"/>
        <w:w w:val="100"/>
        <w:strike w:val="false"/>
        <w:vertAlign w:val="baseline"/>
        <w:rFonts w:ascii="Arial" w:hAnsi="Arial"/>
      </w:rPr>
    </w:lvl>
  </w:abstractNum>
  <w:abstractNum w:abstractNumId="6">
    <w:lvl w:ilvl="0">
      <w:numFmt w:val="decimal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18"/>
        <w:lang w:val="cs-CZ"/>
        <w:spacing w:val="0"/>
        <w:w w:val="100"/>
        <w:strike w:val="false"/>
        <w:vertAlign w:val="baseline"/>
        <w:rFonts w:ascii="Arial" w:hAnsi="Aria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