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556" w:after="0" w:line="20" w:lineRule="exact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35.85pt;height:22.85pt;z-index:-1000;margin-left:328.75pt;margin-top:0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616" w:left="936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704215" cy="29019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215" cy="290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38"/>
        <w:gridCol w:w="5437"/>
      </w:tblGrid>
      <w:tr>
        <w:trPr>
          <w:trHeight w:val="6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38" w:type="auto"/>
            <w:textDirection w:val="lrTb"/>
            <w:vAlign w:val="top"/>
          </w:tcPr>
          <w:p>
            <w:pPr>
              <w:ind w:right="0" w:left="216"/>
              <w:spacing w:before="30" w:after="22" w:line="240" w:lineRule="auto"/>
              <w:jc w:val="right"/>
            </w:pPr>
            <w:r>
              <w:drawing>
                <wp:inline>
                  <wp:extent cx="585470" cy="347980"/>
                  <wp:docPr id="3" name="pic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75" w:type="auto"/>
            <w:textDirection w:val="lrTb"/>
            <w:vAlign w:val="center"/>
          </w:tcPr>
          <w:p>
            <w:pPr>
              <w:ind w:right="0" w:left="0" w:firstLine="0"/>
              <w:spacing w:before="0" w:after="0" w:line="292" w:lineRule="auto"/>
              <w:jc w:val="center"/>
              <w:rPr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CFSKOMORAVSKÁ
</w:t>
              <w:br/>
            </w:r>
            <w:r>
              <w:rPr>
                <w:color w:val="#000000"/>
                <w:sz w:val="10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KOMODITNÍ BURZA KLADNO</w:t>
            </w:r>
          </w:p>
        </w:tc>
      </w:tr>
    </w:tbl>
    <w:p>
      <w:pPr>
        <w:spacing w:before="0" w:after="196" w:line="20" w:lineRule="exact"/>
      </w:pPr>
    </w:p>
    <w:p>
      <w:pPr>
        <w:sectPr>
          <w:pgSz w:w="11918" w:h="16854" w:orient="portrait"/>
          <w:type w:val="nextPage"/>
          <w:textDirection w:val="lrTb"/>
          <w:pgMar w:bottom="625" w:top="214" w:right="4001" w:left="1282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Záv</w:t>
      </w:r>
      <w:r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ěrkový list č. PL-20170911-742-83 </w:t>
      </w:r>
    </w:p>
    <w:p>
      <w:pPr>
        <w:ind w:right="0" w:left="0" w:firstLine="0"/>
        <w:spacing w:before="36" w:after="0" w:line="240" w:lineRule="auto"/>
        <w:jc w:val="center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(pro burzovní obchody s plynem v rámci sdružených služeb dodávky plynu)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9288"/>
        </w:tabs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Číslo aukce: 742	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Datum konání burzovního shromáždění: 11 září 2017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5973"/>
        </w:tabs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Dodavatel (prodávající):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Pražská plynárenská, a. s.</w:t>
      </w:r>
    </w:p>
    <w:p>
      <w:pPr>
        <w:ind w:right="0" w:left="0" w:firstLine="0"/>
        <w:spacing w:before="252" w:after="0" w:line="266" w:lineRule="auto"/>
        <w:jc w:val="left"/>
        <w:tabs>
          <w:tab w:val="right" w:leader="none" w:pos="9061"/>
        </w:tabs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Zapsán v:	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OR vedeném M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ěstským soudem v Praze, oddíl B, vložka 2337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7287"/>
        </w:tabs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Sídlo: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Národní 37, 110 00 Praha 1 - Nové M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ěsto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5274"/>
        </w:tabs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ČO: 60193492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DIČ: CZ60193492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5238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Bankovní spojení: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35-3600132/0800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Zastoupen:</w:t>
      </w:r>
    </w:p>
    <w:p>
      <w:pPr>
        <w:ind w:right="0" w:left="0" w:firstLine="0"/>
        <w:spacing w:before="36" w:after="0" w:line="266" w:lineRule="auto"/>
        <w:jc w:val="left"/>
        <w:tabs>
          <w:tab w:val="right" w:leader="none" w:pos="5573"/>
        </w:tabs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Jméno a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říjmení makléře: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Ing. Vratislav Kaválek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Eviden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ční číslo makléře:</w:t>
      </w:r>
    </w:p>
    <w:p>
      <w:pPr>
        <w:ind w:right="0" w:left="3744" w:firstLine="0"/>
        <w:spacing w:before="72" w:after="0" w:line="211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41037</w:t>
      </w:r>
    </w:p>
    <w:p>
      <w:pPr>
        <w:ind w:right="0" w:left="0" w:firstLine="0"/>
        <w:spacing w:before="216" w:after="0" w:line="283" w:lineRule="auto"/>
        <w:jc w:val="left"/>
        <w:tabs>
          <w:tab w:val="right" w:leader="none" w:pos="8493"/>
        </w:tabs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Odb</w:t>
      </w:r>
      <w:r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ěratel (kupující):	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Dětský domov a školní jídelna, Hranice, Purgešova 847</w:t>
      </w:r>
    </w:p>
    <w:p>
      <w:pPr>
        <w:ind w:right="0" w:left="0" w:firstLine="0"/>
        <w:spacing w:before="180" w:after="0" w:line="304" w:lineRule="auto"/>
        <w:jc w:val="left"/>
        <w:tabs>
          <w:tab w:val="right" w:leader="none" w:pos="6999"/>
        </w:tabs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Zapsán v:	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Registru ekonomických subjekt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ů, ČSÚ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387"/>
        </w:tabs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Sídlo: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Purgešova 847, 75301 Hranice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4273"/>
        </w:tabs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ČO: 62350277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DIČ: x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5994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Bankovní spojení: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19 - 42 87 55 02 77 / 0100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Zastoupen:</w:t>
      </w:r>
    </w:p>
    <w:p>
      <w:pPr>
        <w:ind w:right="0" w:left="0" w:firstLine="0"/>
        <w:spacing w:before="36" w:after="0" w:line="271" w:lineRule="auto"/>
        <w:jc w:val="left"/>
        <w:tabs>
          <w:tab w:val="right" w:leader="none" w:pos="5127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Jméno a 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říjmení makléře:	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Bc. Iva Kupcová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263"/>
        </w:tabs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Eviden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ční číslo makléře: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41042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9263"/>
        </w:tabs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Popis produktu:	</w:t>
      </w:r>
      <w:r>
        <w:rPr>
          <w:b w:val="true"/>
          <w:color w:val="#000000"/>
          <w:sz w:val="17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Dodávka zemního plynu v rámci sdružených služeb dodávky</w:t>
      </w:r>
    </w:p>
    <w:p>
      <w:pPr>
        <w:ind w:right="360" w:left="0" w:firstLine="0"/>
        <w:spacing w:before="36" w:after="0" w:line="240" w:lineRule="auto"/>
        <w:jc w:val="right"/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zemního plynu pro odb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ěr do 630 MWh (plyn — maloodběr)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3816"/>
        </w:tabs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Po</w:t>
      </w: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čet odběrných míst:	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1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5872"/>
        </w:tabs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Termín dodávky:	</w:t>
      </w:r>
      <w:r>
        <w:rPr>
          <w:b w:val="true"/>
          <w:color w:val="#000000"/>
          <w:sz w:val="17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1. 1. 2018 — 31. 12. 2018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5112"/>
        </w:tabs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Celkové množství dodávky:	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206 MWh</w:t>
      </w:r>
    </w:p>
    <w:p>
      <w:pPr>
        <w:ind w:right="0" w:left="0" w:firstLine="0"/>
        <w:spacing w:before="504" w:after="0" w:line="240" w:lineRule="auto"/>
        <w:jc w:val="left"/>
        <w:tabs>
          <w:tab w:val="right" w:leader="none" w:pos="5562"/>
        </w:tabs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Jednotková kupní cena (bez DPH):	</w:t>
      </w: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464 CZK/MWh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6815"/>
        </w:tabs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Pevná kapacitní složka ceny:	</w:t>
      </w: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O CZK/odb</w:t>
      </w:r>
      <w:r>
        <w:rPr>
          <w:b w:val="true"/>
          <w:color w:val="#000000"/>
          <w:sz w:val="17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ěrné místo/měsíc</w:t>
      </w:r>
    </w:p>
    <w:p>
      <w:pPr>
        <w:ind w:right="0" w:left="4248" w:firstLine="0"/>
        <w:spacing w:before="0" w:after="252" w:line="213" w:lineRule="auto"/>
        <w:jc w:val="left"/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 CZK/tis. m3</w:t>
      </w:r>
    </w:p>
    <w:p>
      <w:pPr>
        <w:sectPr>
          <w:pgSz w:w="11918" w:h="16854" w:orient="portrait"/>
          <w:type w:val="continuous"/>
          <w:textDirection w:val="lrTb"/>
          <w:pgMar w:bottom="625" w:top="214" w:right="1216" w:left="1282" w:header="720" w:footer="720"/>
          <w:titlePg w:val="false"/>
        </w:sectPr>
      </w:pPr>
    </w:p>
    <w:p>
      <w:pPr>
        <w:ind w:right="0" w:left="0" w:firstLine="0"/>
        <w:spacing w:before="0" w:after="0" w:line="341" w:lineRule="exact"/>
        <w:jc w:val="left"/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Technické parametry dodávky: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Zú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čtovací podmínky </w:t>
      </w:r>
    </w:p>
    <w:p>
      <w:pPr>
        <w:ind w:right="0" w:left="0" w:firstLine="0"/>
        <w:spacing w:before="144" w:after="0" w:line="184" w:lineRule="exact"/>
        <w:jc w:val="left"/>
        <w:rPr>
          <w:b w:val="true"/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Zú</w:t>
      </w:r>
      <w:r>
        <w:rPr>
          <w:b w:val="true"/>
          <w:color w:val="#000000"/>
          <w:sz w:val="17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čtovací období:</w:t>
      </w:r>
    </w:p>
    <w:p>
      <w:pPr>
        <w:ind w:right="0" w:left="0" w:firstLine="0"/>
        <w:spacing w:before="180" w:after="108" w:line="256" w:lineRule="auto"/>
        <w:jc w:val="left"/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Splatnost zú</w:t>
      </w:r>
      <w:r>
        <w:rPr>
          <w:b w:val="true"/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čtovací faktury: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viz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říloha závěrkového listu č. 1</w:t>
      </w:r>
    </w:p>
    <w:p>
      <w:pPr>
        <w:ind w:right="0" w:left="0" w:firstLine="0"/>
        <w:spacing w:before="468" w:after="0" w:line="537" w:lineRule="auto"/>
        <w:jc w:val="center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</w:t>
        <w:br/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ěsíc
</w:t>
        <w:br/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 dní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2880" w:space="815"/>
            <w:col w:w="2880" w:space="0"/>
          </w:cols>
          <w:pgMar w:bottom="625" w:top="214" w:right="4001" w:left="1282" w:header="720" w:footer="720"/>
          <w:titlePg w:val="false"/>
        </w:sectPr>
      </w:pPr>
    </w:p>
    <w:p>
      <w:pPr>
        <w:ind w:right="4752" w:left="72" w:firstLine="0"/>
        <w:spacing w:before="180" w:after="0" w:line="480" w:lineRule="auto"/>
        <w:jc w:val="left"/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8pt;height:10.55pt;z-index:-999;margin-left:0pt;margin-top:152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text" w:vAnchor="text" w:y="3051" w:w="9360" w:h="211" w:hSpace="0" w:vSpace="0" w:wrap="3"/>
                    <w:tabs>
                      <w:tab w:val="right" w:leader="none" w:pos="9313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plynu v rámci SSDP charakteru maloodb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1 (celkem 7)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Zálohy v pr</w:t>
      </w:r>
      <w:r>
        <w:rPr>
          <w:b w:val="true"/>
          <w:color w:val="#000000"/>
          <w:sz w:val="17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ůběhu zúčtovacího období: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bez záloh </w: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Ostatní podmínky: </w:t>
      </w:r>
    </w:p>
    <w:p>
      <w:pPr>
        <w:ind w:right="504" w:left="72" w:firstLine="0"/>
        <w:spacing w:before="180" w:after="0" w:line="268" w:lineRule="auto"/>
        <w:jc w:val="left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Dodavatel je povinen u odb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ěrných míst s jiným než ročním zúčtovacím obdobím umožnit samoodečet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není-li odečet měřícího zařízení prováděn dálkově. Dodavatel provede bezplatné vyúčtování po zaslání</w:t>
      </w:r>
    </w:p>
    <w:p>
      <w:pPr>
        <w:ind w:right="0" w:left="72" w:firstLine="0"/>
        <w:spacing w:before="0" w:after="0" w:line="273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samoode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čtů ze strany odběratele, které mu budou zaslány v termínu a způsobem stanoveným dodavatelem.</w:t>
      </w:r>
    </w:p>
    <w:p>
      <w:pPr>
        <w:ind w:right="0" w:left="72" w:firstLine="0"/>
        <w:spacing w:before="180" w:after="0" w:line="266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Pro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 s požadavkem na sloučenou fakturaci (uvedeno v Příloze č. 1):</w:t>
      </w:r>
    </w:p>
    <w:p>
      <w:pPr>
        <w:ind w:right="576" w:left="72" w:firstLine="0"/>
        <w:spacing w:before="0" w:after="0" w:line="271" w:lineRule="auto"/>
        <w:jc w:val="left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61720" from="3.05pt,35.75pt" to="468.05pt,35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ěrateli účtovat dodávku plynu na jedné sloučené faktuře (daňovém dokladu) v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elektronické podobě s následným zasláním v papírové podobě s tím, že za každé odběrné místo bude</w:t>
      </w:r>
    </w:p>
    <w:p>
      <w:pPr>
        <w:sectPr>
          <w:pgSz w:w="11918" w:h="16854" w:orient="portrait"/>
          <w:type w:val="continuous"/>
          <w:textDirection w:val="lrTb"/>
          <w:pgMar w:bottom="625" w:top="214" w:right="1216" w:left="1282" w:header="720" w:footer="720"/>
          <w:titlePg w:val="false"/>
        </w:sectPr>
      </w:pPr>
    </w:p>
    <w:p>
      <w:pPr>
        <w:ind w:right="0" w:left="288" w:firstLine="0"/>
        <w:spacing w:before="0" w:after="0" w:line="395" w:lineRule="exact"/>
        <w:jc w:val="left"/>
        <w:rPr>
          <w:b w:val="true"/>
          <w:color w:val="#44537C"/>
          <w:sz w:val="73"/>
          <w:lang w:val="cs-CZ"/>
          <w:spacing w:val="0"/>
          <w:w w:val="95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37.75pt;height:10.1pt;z-index:-998;margin-left:-69.75pt;margin-top:753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0" w:firstLine="0"/>
                    <w:spacing w:before="0" w:after="0" w:line="264" w:lineRule="auto"/>
                    <w:jc w:val="left"/>
                    <w:framePr w:hAnchor="text" w:vAnchor="text" w:x="-1395" w:y="15062" w:w="10755" w:h="202" w:hSpace="0" w:vSpace="0" w:wrap="3"/>
                    <w:tabs>
                      <w:tab w:val="right" w:leader="none" w:pos="10706"/>
                    </w:tabs>
                    <w:rPr>
                      <w:i w:val="true"/>
                      <w:color w:val="#000000"/>
                      <w:sz w:val="1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plynu v rámc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 SSDP charakteru maloodběr	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2 (celkem 7)</w:t>
                  </w:r>
                </w:p>
              </w:txbxContent>
            </v:textbox>
          </v:shape>
        </w:pict>
      </w:r>
      <w:r>
        <w:pict>
          <v:line strokeweight="0.2pt" strokecolor="#4E4E4E" from="-69.6pt,121pt" to="-69.6pt,285.2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44537C"/>
          <w:sz w:val="73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B</w:t>
      </w:r>
    </w:p>
    <w:p>
      <w:pPr>
        <w:ind w:right="0" w:left="1152" w:firstLine="0"/>
        <w:spacing w:before="288" w:after="0" w:line="240" w:lineRule="auto"/>
        <w:jc w:val="left"/>
        <w:tabs>
          <w:tab w:val="left" w:leader="none" w:pos="2430"/>
        </w:tabs>
        <w:rPr>
          <w:b w:val="true"/>
          <w:color w:val="#000000"/>
          <w:sz w:val="6"/>
          <w:lang w:val="cs-CZ"/>
          <w:spacing w:val="3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6"/>
          <w:lang w:val="cs-CZ"/>
          <w:spacing w:val="31"/>
          <w:w w:val="100"/>
          <w:strike w:val="false"/>
          <w:vertAlign w:val="baseline"/>
          <w:rFonts w:ascii="Arial" w:hAnsi="Arial"/>
        </w:rPr>
        <w:t xml:space="preserve"> </w:t>
      </w:r>
      <w:r>
        <w:rPr>
          <w:b w:val="true"/>
          <w:color w:val="#000000"/>
          <w:sz w:val="11"/>
          <w:lang w:val="cs-CZ"/>
          <w:spacing w:val="31"/>
          <w:w w:val="100"/>
          <w:strike w:val="false"/>
          <w:vertAlign w:val="baseline"/>
          <w:rFonts w:ascii="Verdana" w:hAnsi="Verdana"/>
        </w:rPr>
        <w:t xml:space="preserve">KOMODITNÍ	</w:t>
      </w:r>
      <w:r>
        <w:rPr>
          <w:b w:val="true"/>
          <w:color w:val="#000000"/>
          <w:sz w:val="11"/>
          <w:lang w:val="cs-CZ"/>
          <w:spacing w:val="0"/>
          <w:w w:val="95"/>
          <w:strike w:val="false"/>
          <w:vertAlign w:val="superscript"/>
          <w:rFonts w:ascii="Verdana" w:hAnsi="Verdana"/>
        </w:rPr>
        <w:t xml:space="preserve">Á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1944" w:firstLine="0"/>
        <w:spacing w:before="0" w:after="0" w:line="240" w:lineRule="auto"/>
        <w:jc w:val="left"/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11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superscript"/>
          <w:rFonts w:ascii="Tahoma" w:hAnsi="Tahoma"/>
        </w:rPr>
        <w:t xml:space="preserve">R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R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superscript"/>
          <w:rFonts w:ascii="Tahoma" w:hAnsi="Tahoma"/>
        </w:rPr>
        <w:t xml:space="preserve">A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Z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superscript"/>
          <w:rFonts w:ascii="Tahoma" w:hAnsi="Tahoma"/>
        </w:rPr>
        <w:t xml:space="preserve">V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A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superscript"/>
          <w:rFonts w:ascii="Tahoma" w:hAnsi="Tahoma"/>
        </w:rPr>
        <w:t xml:space="preserve">S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K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superscript"/>
          <w:rFonts w:ascii="Tahoma" w:hAnsi="Tahoma"/>
        </w:rPr>
        <w:t xml:space="preserve">K</w:t>
      </w:r>
      <w:r>
        <w:rPr>
          <w:b w:val="true"/>
          <w:color w:val="#000000"/>
          <w:sz w:val="11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LADNO</w:t>
      </w:r>
    </w:p>
    <w:p>
      <w:pPr>
        <w:ind w:right="360" w:left="0" w:firstLine="0"/>
        <w:spacing w:before="108" w:after="0" w:line="273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provedeno vyú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čtování s rozepsáním jednotlivých položek ceny spolu s uvedením ceny celkem a příslušné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výše DPH v % a v Kč.</w:t>
      </w:r>
    </w:p>
    <w:p>
      <w:pPr>
        <w:ind w:right="72" w:left="0" w:firstLine="0"/>
        <w:spacing w:before="180" w:after="0" w:line="268" w:lineRule="auto"/>
        <w:jc w:val="left"/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ěrateli předepisovat a účtovat zálohy na jednom sloučeném předpisu a sloučeném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daňovém dokladu o přijetí platby v elektronické podobě s následným zasláním v papírové podobě s tím, že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celková záloha a přijatá platba bude rozepsána na dílčí zálohy za jednotlivá odběrná místa spolu s uvedením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ceny celkem a příslušné výše DPH v % a v Kč.</w:t>
      </w:r>
    </w:p>
    <w:p>
      <w:pPr>
        <w:ind w:right="0" w:left="0" w:firstLine="0"/>
        <w:spacing w:before="144" w:after="0" w:line="266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je povinen na výslovné vyžádání jednotlivého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 používat:</w:t>
      </w:r>
    </w:p>
    <w:p>
      <w:pPr>
        <w:ind w:right="0" w:left="0" w:firstLine="0"/>
        <w:spacing w:before="0" w:after="0" w:line="268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a)namísto slou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čené faktury fakturu na každé jednotlivé odběrné místo</w:t>
      </w:r>
    </w:p>
    <w:p>
      <w:pPr>
        <w:ind w:right="720" w:left="0" w:firstLine="0"/>
        <w:spacing w:before="0" w:after="0" w:line="271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b)namísto slou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čeného předpisu záloh a sloučeného daňového dokladu o přijetí platby předpis záloh a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daňový doklad o přijetí platby za každé jednotlivé odběrné místo</w:t>
      </w:r>
    </w:p>
    <w:p>
      <w:pPr>
        <w:ind w:right="0" w:left="0" w:firstLine="0"/>
        <w:spacing w:before="180" w:after="0" w:line="240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Pro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 s požadavkem na samostatnou fakturaci (uvedeno v Příloze č. 1):</w:t>
      </w:r>
    </w:p>
    <w:p>
      <w:pPr>
        <w:ind w:right="360" w:left="0" w:firstLine="0"/>
        <w:spacing w:before="0" w:after="0" w:line="268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ěrateli účtovat dodávku plynu za každé jednotlivé odběrné místo zvlášt' v elektronické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podobě s následným zasláním v papírové podobě .</w:t>
      </w:r>
    </w:p>
    <w:p>
      <w:pPr>
        <w:ind w:right="792" w:left="0" w:firstLine="0"/>
        <w:spacing w:before="144" w:after="0" w:line="271" w:lineRule="auto"/>
        <w:jc w:val="left"/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ěrateli předepisovat a účtovat zálohy za každé jednotlivé odběrné místo zvlášť v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elektronické podobě s následným zasláním v papírové podobě .</w:t>
      </w:r>
    </w:p>
    <w:p>
      <w:pPr>
        <w:ind w:right="0" w:left="0" w:firstLine="0"/>
        <w:spacing w:before="0" w:after="0" w:line="271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je povinen na výslovné vyžádání jednotlivého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 používat:</w:t>
      </w:r>
    </w:p>
    <w:p>
      <w:pPr>
        <w:ind w:right="360" w:left="0" w:firstLine="0"/>
        <w:spacing w:before="0" w:after="0" w:line="271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a)namísto faktury za každé jednotlivé odb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ěrné místo fakturu sloučenou s rozpisem jednotlivých odběrných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míst</w:t>
      </w:r>
    </w:p>
    <w:p>
      <w:pPr>
        <w:ind w:right="360" w:left="0" w:firstLine="0"/>
        <w:spacing w:before="0" w:after="0" w:line="271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b)namísto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ředpisu záloh a daňového dokladu o přijetí platby za každé jednotlivé odběrné místo sloučený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předpis záloh a sloučený daňový doklad o přijetí platby s rozpisem jednotlivých odběrných míst</w:t>
      </w:r>
    </w:p>
    <w:p>
      <w:pPr>
        <w:ind w:right="360" w:left="0" w:firstLine="0"/>
        <w:spacing w:before="180" w:after="0" w:line="266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je povinen poskytnout data o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ěrech a fakturaci všech odběrných míst v elektronické podobě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ve formátu .xls po skončení období dodávky do 15. února centrálnímu zadavateli, Olomoucký kraj,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Jeremenkova 1191/40a, 779 11 Olomouc, IČ: 60609460 do datové schránky.</w:t>
      </w:r>
    </w:p>
    <w:p>
      <w:pPr>
        <w:ind w:right="2016" w:left="0" w:firstLine="0"/>
        <w:spacing w:before="180" w:after="0" w:line="537" w:lineRule="auto"/>
        <w:jc w:val="left"/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ěratelé mohou vytvářet na svá odběrná místa bezplatně fakturační skupiny.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Zákaznický portál na webovém rozhraní bude přístupný vybraným osobám zákazníka.</w:t>
      </w:r>
    </w:p>
    <w:p>
      <w:pPr>
        <w:ind w:right="288" w:left="0" w:firstLine="0"/>
        <w:spacing w:before="144" w:after="0" w:line="271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ěratel je oprávněn zvolit čtvrtletní, pololetní či roční fakturaci za podmínky, že bude plátcem měsíčních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záloh. Faktura bude vystavena na základě samoodečtu ze strany odběratele.</w:t>
      </w:r>
    </w:p>
    <w:p>
      <w:pPr>
        <w:ind w:right="216" w:left="0" w:firstLine="0"/>
        <w:spacing w:before="144" w:after="0" w:line="268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Dodavatel je povinen poskytovat záznamy o všech vystavených fakturách ve formátu csv.,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řípadně DÚF (dodatečné údaje k fakturaci), ke všem odběrným místům v elektronické podobě. Dodavatel tyto data bude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zasílat v periodě jednoho měsíce. Data budou zaslána nejpozději do 25. dne následujícího kalendářního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měsíce, do datové schránky Olomouckého kraje, případně prostřednictvím emailu, nebo na předem určené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datové uložiště. Struktura souboru bude definována zástupcem všech odběratelů, Olomouckým krajem.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Záznam bude minimálně obsahovat následující údaje:</w:t>
      </w:r>
    </w:p>
    <w:p>
      <w:pPr>
        <w:ind w:right="360" w:left="0" w:firstLine="144"/>
        <w:spacing w:before="0" w:after="0" w:line="268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Plyn MO - EIC, I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ČO, číslo faktury, zúčtovací období (od-do), spotřeba plynu v MWh, pásmo spotřeby (přepočtená roční spotřeba), spalné teplo objemové, objemový koeficient, korekce spotřeby, regulované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platby — daň z plynu, cena za činnost zúčtování OTE, pevná cena za odebraný plyn, stálý měsíční plat za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rezervovanou distribuční kapacitu, obchodní cena — cena za odebraný zemní plyn, cena celkem bez DPH,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cena celkem s DPH.</w:t>
      </w:r>
    </w:p>
    <w:p>
      <w:pPr>
        <w:ind w:right="504" w:left="0" w:firstLine="0"/>
        <w:spacing w:before="216" w:after="0" w:line="266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jmenuje pro zajišt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ění obchodního styku s odběratelem konkrétní kontaktní osobu, která bude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odběrateli operativně k dispozici pro řešení případných problémů při dodávce komodity.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Dodací podmínky</w:t>
      </w:r>
    </w:p>
    <w:p>
      <w:pPr>
        <w:ind w:right="360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je povinen dodávat sjednané množství plynu do odb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ěrného místa odběratele v rozsahu a za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podmínek uzavřeného burzovního obchodu (závěrkového listu) v kvalitě podle Řádu provozovatele přepravní soustavy, ke které je odběrné místo připojeno, pokud tornu nebrání okolnosti vyvolané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provozovatelem přepravní nebo distribuční soustavy nebo okolnosti stanovené příslušnými právními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předpisy.</w:t>
      </w:r>
    </w:p>
    <w:p>
      <w:pPr>
        <w:ind w:right="144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3141F" from="3.85pt,46.55pt" to="468.05pt,46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 sjednané množství plynu se považuje skute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čně dodané a odebrané množství plynu v odběrném místě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odběratele v maximální hodnotě ročního množství 630 MWh. Odběratel je povinen odebírat plyn do</w:t>
      </w:r>
    </w:p>
    <w:p>
      <w:pPr>
        <w:sectPr>
          <w:pgSz w:w="11918" w:h="16854" w:orient="portrait"/>
          <w:type w:val="nextPage"/>
          <w:textDirection w:val="lrTb"/>
          <w:pgMar w:bottom="450" w:top="1012" w:right="1222" w:left="1276" w:header="720" w:footer="720"/>
          <w:titlePg w:val="false"/>
        </w:sectPr>
      </w:pPr>
    </w:p>
    <w:p>
      <w:pPr>
        <w:ind w:right="0" w:left="0" w:firstLine="0"/>
        <w:spacing w:before="36" w:after="0" w:line="297" w:lineRule="auto"/>
        <w:jc w:val="center"/>
        <w:rPr>
          <w:color w:val="#000000"/>
          <w:sz w:val="1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68pt;height:9.95pt;z-index:-997;margin-left:0pt;margin-top:74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4940" w:w="9360" w:h="199" w:hSpace="0" w:vSpace="0" w:wrap="3"/>
                    <w:tabs>
                      <w:tab w:val="right" w:leader="none" w:pos="9316"/>
                    </w:tabs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Dodávka plynu v rámci SSDP charakteru maloodb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ěr	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Strana 3 (celkem 7)</w:t>
                  </w:r>
                </w:p>
              </w:txbxContent>
            </v:textbox>
          </v:shape>
        </w:pict>
      </w:r>
      <w:r>
        <w:rPr>
          <w:color w:val="#000000"/>
          <w:sz w:val="1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ČESKOMORAVSKÁ
</w:t>
        <w:br/>
      </w:r>
      <w:r>
        <w:rPr>
          <w:color w:val="#000000"/>
          <w:sz w:val="10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KOMODITNi BURZA KLADNO</w:t>
      </w:r>
    </w:p>
    <w:p>
      <w:pPr>
        <w:ind w:right="144" w:left="216" w:firstLine="0"/>
        <w:spacing w:before="252" w:after="0" w:line="271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uvedené maximální hodnoty ro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čního množství. Celkové množství dodávky plynu uvedené na závěrkovém listu představuje předpokládané množství dodávky plynu.</w:t>
      </w:r>
    </w:p>
    <w:p>
      <w:pPr>
        <w:ind w:right="936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Dodávka plynu je spin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ěna přechodem plynu z příslušné distribuční soustavy přes měřící zařízení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 odběrného místa odběratele.</w:t>
      </w:r>
    </w:p>
    <w:p>
      <w:pPr>
        <w:ind w:right="504" w:left="360" w:firstLine="-288"/>
        <w:spacing w:before="216" w:after="0" w:line="271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zajistit na vlastní jméno a na vlastní ú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čet pro odběrné místo odběratele přepravu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plynu, uskladnění plynu, distribuci plynu a ostatní související služby.</w:t>
      </w:r>
    </w:p>
    <w:p>
      <w:pPr>
        <w:ind w:right="432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Dodavatel je povinen ve smyslu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říslušného platného právního předpisu převzít závazek odběratele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odebrat plyn z plynárenské soustavy a nést pinou zodpovědnost za odchylku odběratele vztahující se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k odběrnému místu odběratele. Z důvodu přenesení odpovědnosti za odchylku na dodavatele není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odběratel oprávněn mit pro dodávku plynu do odběrného místa dle burzovního obchodu (závěrkového listu) jiného nebo více jiných dodavatelů. Odběratel se zavazuje ukončit smlouvu s předcházejícím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dodavatelem, pokud k tomu nezpinomocní dodavatele, který mu bude dodávat plyn na základě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burzovního obchodu (závěrkového listu).</w:t>
      </w:r>
    </w:p>
    <w:p>
      <w:pPr>
        <w:ind w:right="72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Dodávka plynu se považuje za zahájenou první plynárenský den burzovním obchodem sjednaného období dodávky plynu a za ukon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čenou poslední plynárenský den burzovním obchodem sjednaného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období dodávky plynu. Odběratel je povinen nahlásit dodavateli stav měřícího zařízení v odběrném místě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 prvnímu kalendářnímu dni zahájení burzovním obchodem sjednané dodávky plynu, a to nejpozději jeden kalendářní den po tomto datu. V případě, že tak neučiní, bude počáteční stav měřícího zařízení stanoven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provozovatelem distribuční soustavy v souladu s Řádem provozovatele distribuční soustavy. Odběratel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se tímto vzdává nároku na reklamaci takového stavu měřícího zařízení a takto stanovený stav měřícího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zařízení pině respektuje.</w:t>
      </w:r>
    </w:p>
    <w:p>
      <w:pPr>
        <w:ind w:right="288" w:left="360" w:firstLine="-288"/>
        <w:spacing w:before="252" w:after="0" w:line="264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Sjednaná dodávka plynu m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ůže být omezena, pokud bude provozovatelem přepravní soustavy vyhlášen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stav nouze podle příslušných platných právních předpisů. Odběratel je povinen sledovat informace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 vyhlášení omezujících regulačních opatření v případě hrozícího nebo stávajícího stavu nouze</w:t>
      </w:r>
    </w:p>
    <w:p>
      <w:pPr>
        <w:ind w:right="648" w:left="216" w:firstLine="144"/>
        <w:spacing w:before="0" w:after="0" w:line="266" w:lineRule="auto"/>
        <w:jc w:val="left"/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plynárenství. Dodavatel i odb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ěratel jsou povinni v případě hrozícího nebo stávajícího stavu nouze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plynárenství postupovat podle příslušného platného právního předpisu.</w:t>
      </w:r>
    </w:p>
    <w:p>
      <w:pPr>
        <w:ind w:right="288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Dodavatelem dodané a odb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ěratelem odebrané množství plynu bude v odběrném místě měřeno měřícím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zařízením ve vlastnictví příslušného provozovatele distribuční soustavy, který zodpovídá za správnost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naměřených údajů. O druhu, velikostí, umístění a skladbě měřícího zařízení rozhoduje příslušný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provozovatel distribuční soustavy. Odběratel je povinen odebírat plyn pouze přes měřidlo, které připojil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provozovatel distribuční soustavy. Odběratel je povinen udržovat odběrné zařízení ve stavu, který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odpovídá příslušným technickým normám a platným právním předpisům a který umožňuje jeho řádný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 spolehlivý provoz.</w:t>
      </w:r>
    </w:p>
    <w:p>
      <w:pPr>
        <w:ind w:right="72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3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M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ěření dodávek plynu včetně vyhodnocování, předávání výsledků měření a dalších nezbytných informací pro vyúčtování dodávky plynu je zajišťováno příslušným provozovatelem distribuční soustavy. Naměřený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objem plynu bude v souladu s platnými právními předpisy přepočítáván na vztažené podmínky a energii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vyjádřenou v MWh, resp. kWh. Rozdělení odběru plynu do jednotlivých kalendářních měsíců je stanoveno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v závislosti na termínu odečtu odběru plynu, který provádí příslušný provozovatel distribuční soustavy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souladu s platným Řádem provozovatele distribuční soustavy.</w:t>
      </w:r>
    </w:p>
    <w:p>
      <w:pPr>
        <w:ind w:right="144" w:left="216" w:firstLine="-144"/>
        <w:spacing w:before="216" w:after="0" w:line="268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 se zavazuje umožnit přístup k měřícímu zařízení na odběrném místě pro potřebu kontroly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správnosti měřených údajů, provedení odečtů nebo kontroly, opravy, údržby, výměny nebo odebrání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měřidla, a to rovněž při ukončení odběru nebo přerušení dodávky plynu. Odběratel je povinen zdržet se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jakýchkoliv zásahů do měřidla a jeho připojení včetně plomb, a zabezpečit měřidlo tak, aby nemohlo dojít k jeho poškození, odcizení nebo porušení plomb. Odběratel je dále povinen bez zbytečného odkladu oznámit dodavateli poškození měřicího zařízení nebo jeho plomby, případně jinou událost, která má vliv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na řádnou funkci měřícího zařízení.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7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7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Platební podmínky </w:t>
      </w:r>
    </w:p>
    <w:p>
      <w:pPr>
        <w:ind w:right="0" w:left="72" w:firstLine="0"/>
        <w:spacing w:before="216" w:after="0" w:line="266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1.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 je povinen zaplatit dodavateli za dodávku plynu cenu, která je tvořena:</w:t>
      </w:r>
    </w:p>
    <w:p>
      <w:pPr>
        <w:ind w:right="0" w:left="288" w:firstLine="0"/>
        <w:spacing w:before="0" w:after="0" w:line="273" w:lineRule="auto"/>
        <w:jc w:val="left"/>
        <w:tabs>
          <w:tab w:val="clear" w:pos="288"/>
          <w:tab w:val="decimal" w:pos="576"/>
        </w:tabs>
        <w:numPr>
          <w:ilvl w:val="0"/>
          <w:numId w:val="4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cenou za dodávku komodity plyn , která je stanovena burzovním obchodem (záv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ěrkovým listem),</w:t>
      </w:r>
    </w:p>
    <w:p>
      <w:pPr>
        <w:ind w:right="0" w:left="288" w:firstLine="0"/>
        <w:spacing w:before="0" w:after="0" w:line="240" w:lineRule="auto"/>
        <w:jc w:val="left"/>
        <w:tabs>
          <w:tab w:val="clear" w:pos="288"/>
          <w:tab w:val="decimal" w:pos="576"/>
        </w:tabs>
        <w:numPr>
          <w:ilvl w:val="0"/>
          <w:numId w:val="4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51720" from="0pt,35.55pt" to="468.05pt,35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pevnou kapacitní složkou ceny (cena za p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řepravu a strukturování)</w:t>
      </w:r>
    </w:p>
    <w:p>
      <w:pPr>
        <w:sectPr>
          <w:pgSz w:w="11918" w:h="16854" w:orient="portrait"/>
          <w:type w:val="nextPage"/>
          <w:textDirection w:val="lrTb"/>
          <w:pgMar w:bottom="670" w:top="914" w:right="1217" w:left="1281" w:header="720" w:footer="720"/>
          <w:titlePg w:val="false"/>
        </w:sectPr>
      </w:pPr>
    </w:p>
    <w:p>
      <w:pPr>
        <w:ind w:right="0" w:left="1512" w:firstLine="0"/>
        <w:spacing w:before="0" w:after="0" w:line="264" w:lineRule="auto"/>
        <w:jc w:val="left"/>
        <w:rPr>
          <w:b w:val="true"/>
          <w:color w:val="#000000"/>
          <w:sz w:val="10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68pt;height:10.85pt;z-index:-996;margin-left:0pt;margin-top:744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66" w:lineRule="auto"/>
                    <w:jc w:val="left"/>
                    <w:framePr w:hAnchor="text" w:vAnchor="text" w:y="14895" w:w="9360" w:h="217" w:hSpace="0" w:vSpace="0" w:wrap="3"/>
                    <w:tabs>
                      <w:tab w:val="right" w:leader="none" w:pos="9297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plynu v rámci SSDP charakteru maloodb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4 (celkem 7)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10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čf5KOMORAVSKÁ</w:t>
      </w:r>
    </w:p>
    <w:p>
      <w:pPr>
        <w:ind w:right="0" w:left="1152" w:firstLine="0"/>
        <w:spacing w:before="0" w:after="0" w:line="240" w:lineRule="auto"/>
        <w:jc w:val="left"/>
        <w:tabs>
          <w:tab w:val="left" w:leader="none" w:pos="2556"/>
        </w:tabs>
        <w:rPr>
          <w:b w:val="true"/>
          <w:color w:val="#000000"/>
          <w:sz w:val="1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KOMOD	</w:t>
      </w:r>
      <w:r>
        <w:rPr>
          <w:b w:val="true"/>
          <w:color w:val="#000000"/>
          <w:sz w:val="1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</w:t>
      </w:r>
    </w:p>
    <w:p>
      <w:pPr>
        <w:ind w:right="0" w:left="1656" w:firstLine="0"/>
        <w:spacing w:before="0" w:after="0" w:line="240" w:lineRule="auto"/>
        <w:jc w:val="left"/>
        <w:rPr>
          <w:b w:val="true"/>
          <w:color w:val="#000000"/>
          <w:sz w:val="10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0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ITM BURZA KLADNO</w:t>
      </w:r>
    </w:p>
    <w:p>
      <w:pPr>
        <w:ind w:right="0" w:left="720" w:firstLine="0"/>
        <w:spacing w:before="0" w:after="0" w:line="293" w:lineRule="exact"/>
        <w:jc w:val="left"/>
        <w:rPr>
          <w:b w:val="true"/>
          <w:color w:val="#5F6C96"/>
          <w:sz w:val="45"/>
          <w:lang w:val="cs-CZ"/>
          <w:spacing w:val="172"/>
          <w:w w:val="40"/>
          <w:strike w:val="false"/>
          <w:vertAlign w:val="baseline"/>
          <w:rFonts w:ascii="Tahoma" w:hAnsi="Tahoma"/>
        </w:rPr>
      </w:pPr>
      <w:r>
        <w:rPr>
          <w:b w:val="true"/>
          <w:color w:val="#5F6C96"/>
          <w:sz w:val="45"/>
          <w:lang w:val="cs-CZ"/>
          <w:spacing w:val="172"/>
          <w:w w:val="40"/>
          <w:strike w:val="false"/>
          <w:vertAlign w:val="baseline"/>
          <w:rFonts w:ascii="Tahoma" w:hAnsi="Tahoma"/>
        </w:rPr>
        <w:t xml:space="preserve">111&gt;</w:t>
      </w:r>
      <w:r>
        <w:rPr>
          <w:b w:val="true"/>
          <w:color w:val="#000000"/>
          <w:sz w:val="6"/>
          <w:lang w:val="cs-CZ"/>
          <w:spacing w:val="202"/>
          <w:w w:val="100"/>
          <w:strike w:val="false"/>
          <w:vertAlign w:val="baseline"/>
          <w:rFonts w:ascii="Arial" w:hAnsi="Arial"/>
        </w:rPr>
        <w:t xml:space="preserve"> </w:t>
      </w:r>
    </w:p>
    <w:p>
      <w:pPr>
        <w:ind w:right="0" w:left="0" w:firstLine="0"/>
        <w:spacing w:before="180" w:after="0" w:line="268" w:lineRule="auto"/>
        <w:jc w:val="center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c) cenou za p</w:t>
        <w:br/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řepravu plynu, uskladnění plynu, distribuci plynu a související služby stanovenou v souladu
</w:t>
        <w:br/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se všeobecně závaznými právními předpisy, zejména cenovými rozhodnutími příslušných správních</w:t>
      </w:r>
    </w:p>
    <w:p>
      <w:pPr>
        <w:ind w:right="0" w:left="432" w:firstLine="0"/>
        <w:spacing w:before="0" w:after="0" w:line="271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a regula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čních orgánů.</w:t>
      </w:r>
    </w:p>
    <w:p>
      <w:pPr>
        <w:ind w:right="792" w:left="288" w:firstLine="-216"/>
        <w:spacing w:before="180" w:after="0" w:line="266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Dodávky plynu se v pr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ůběhu zúčtovacího období vyúčtovávají fakturami, které musí mít náležitosti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daňových dokladů podle příslušných právních předpisů.</w:t>
      </w:r>
    </w:p>
    <w:p>
      <w:pPr>
        <w:ind w:right="72" w:left="288" w:firstLine="-216"/>
        <w:spacing w:before="144" w:after="0" w:line="268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K ú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čtované ceně dodávky plynu se připočítává daň z plynu, daň z přidané hodnoty, poplatky a jiné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nepřímé daně stanovené v souladu s příslušnými právními předpisy. Odběratel je povinen předložit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dodavateli doklady, na základě kterých uplatňuje osvobození od příslušné daně. Zároveň je odběratel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povinen v případě změny, zániku či zrušení příslušného dokladu, na základě kterého uplatňuje osvobození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dle předchozí věty, tuto skutečnost dodavateli oznámit, a to bez zbytečného odkladu, nejdéle však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do druhého pracovního dne ode dne změny, zániku nebo zrušení tohoto dokladu, na základě kterého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uplatňuje osvobození. Odběratel je odpovědný za škodu, která vznikne dodavateli porušením povinnosti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zákazníka uvedené v předchozí větě.</w:t>
      </w:r>
    </w:p>
    <w:p>
      <w:pPr>
        <w:ind w:right="504" w:left="288" w:firstLine="-216"/>
        <w:spacing w:before="180" w:after="0" w:line="268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 pr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ůběhu zúčtovacího období hradí odběratel dodavateli za dodávky plynu pravidelné zálohy, pokud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není burzovním obchodem sjednáno jinak. Jejich výše je určena podle celkové předpokládané platby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odběratele za příslušné fakturační období včetně daně z přidané hodnoty. Dodavatel je povinen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 uzavření burzovního obchodu (závěrkového listu) vystavit odběrateli v souladu s podmínkami 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uzavřeného burzovního obchodu (závěrkového listu) platební kalendář s uvedením počtu, výše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a splatnosti záloh.</w:t>
      </w:r>
    </w:p>
    <w:p>
      <w:pPr>
        <w:ind w:right="144" w:left="288" w:firstLine="-216"/>
        <w:spacing w:before="180" w:after="0" w:line="268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Zálohy zaplacené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ěratelem na příslušné zúčtovací období budou dodavatelem vypořádány ve faktuře za zúčtovací období. Rozdíl ve faktuře mezi vyúčtovanou částkou a zaplacenými zálohami, který je nedoplatkem odběratele, je odběratel povinen zaplatit dodavateli v termínu splatnosti faktury. Rozdíl ve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faktuře mezi vyúčtovanou částkou a zaplacenými zálohami, který je přeplatkem odběratele, dodavatel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vrátí odběrateli v termínu splatnosti faktury na bankovní účet odběratele uvedený v závěrkovém listu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 použitím variabilního symbolu uvedeného na faktuře. Pokud není burzovním obchodem sjednáno jinak,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je dodavatel oprávněn přeplatky a nedoplatky odběratele převádět do dalšího zúčtovacího období, dále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je oprávněn započítat přeplatek odběratele na úhradu záloh v dalším zúčtovacím období, přičemž převod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 započtení těchto částek je povinen vždy oznámit odběrateli.</w:t>
      </w:r>
    </w:p>
    <w:p>
      <w:pPr>
        <w:ind w:right="288" w:left="288" w:firstLine="-216"/>
        <w:spacing w:before="180" w:after="0" w:line="268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ěratel je povinen provádět všechny platby bezhotovostně v tuzemské měně, pokud není burzovním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obchodem (závěrkovým listem) sjednána jiná měna, na bankovní účet dodavatele uvedený na příslušné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faktuře s použitím variabilního symbolu uvedeného na faktuře. Pokud odběratel poukáže platbu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 nesprávným variabilním symbolem, nebo ji poukáže na jiný bankovní účet dodavatele, než je uvedeno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na faktuře, je dodavatel oprávněn platbu vrátit odběrateli jako neidentifikovatelnou a účtovat úrok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 prodlení za opožděné placení od data splatnosti faktury až do obdržení správně poukázané platby.</w:t>
      </w:r>
    </w:p>
    <w:p>
      <w:pPr>
        <w:ind w:right="72" w:left="288" w:firstLine="-216"/>
        <w:spacing w:before="252" w:after="0" w:line="268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Zaplacením plateb se rozumí p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řipsání příslušné částky na bankovní účet dodavatele. Připadne-li den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splatnosti faktury nebo zálohy na den pracovního volna nebo klidu, je dnem splatnosti nejbližší následující pracovní den.</w:t>
      </w:r>
    </w:p>
    <w:p>
      <w:pPr>
        <w:ind w:right="72" w:left="288" w:firstLine="-216"/>
        <w:spacing w:before="216" w:after="0" w:line="266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řípadě prodlení odběratele s úhradou jakékoliv částky vyplývající z uzavřeného burzovního obchodu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(závěrkového listu), je odběratel povinen uhradit dodavateli úrok z prodlení ve výši 0,05 % z dlužné částky za každý den prodlení.</w:t>
      </w:r>
    </w:p>
    <w:p>
      <w:pPr>
        <w:ind w:right="288" w:left="288" w:firstLine="-216"/>
        <w:spacing w:before="252" w:after="0" w:line="266" w:lineRule="auto"/>
        <w:jc w:val="left"/>
        <w:tabs>
          <w:tab w:val="clear" w:pos="216"/>
          <w:tab w:val="decimal" w:pos="288"/>
        </w:tabs>
        <w:numPr>
          <w:ilvl w:val="0"/>
          <w:numId w:val="5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řípadě, že je odběratel v prodlení s úhradou jakékoliv částky vyplývající z uzavřeného burzovního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obchodu, má dodavatel právo zaslat odběrateli písemné výzvy či upomínky k placení. Odběratel je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v takovém případě povinen uhradit dodavateli náklady spojené se zasláním písemné výzvy či upomínky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 placení.</w:t>
      </w:r>
    </w:p>
    <w:p>
      <w:pPr>
        <w:ind w:right="72" w:left="216" w:firstLine="-144"/>
        <w:spacing w:before="180" w:after="0" w:line="266" w:lineRule="auto"/>
        <w:jc w:val="both"/>
        <w:tabs>
          <w:tab w:val="clear" w:pos="360"/>
          <w:tab w:val="decimal" w:pos="432"/>
        </w:tabs>
        <w:numPr>
          <w:ilvl w:val="0"/>
          <w:numId w:val="5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3141D" from="3.15pt,113.9pt" to="468.05pt,113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řípadě prodlení dodavatele s úhradou jakékoliv částky vyplývající z uzavřeného burzovního obchodu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(závěrkového listu), je dodavatel povinen uhradit odběrateli úrok z prodlení ve výši 0,05 % z dlužné částky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 každý den prodlení.</w:t>
      </w:r>
    </w:p>
    <w:p>
      <w:pPr>
        <w:sectPr>
          <w:pgSz w:w="11918" w:h="16854" w:orient="portrait"/>
          <w:type w:val="nextPage"/>
          <w:textDirection w:val="lrTb"/>
          <w:pgMar w:bottom="635" w:top="994" w:right="1231" w:left="1267" w:header="720" w:footer="720"/>
          <w:titlePg w:val="false"/>
        </w:sectPr>
      </w:pPr>
    </w:p>
    <w:p>
      <w:pPr>
        <w:ind w:right="0" w:left="288" w:firstLine="0"/>
        <w:spacing w:before="0" w:after="0" w:line="412" w:lineRule="exact"/>
        <w:jc w:val="left"/>
        <w:rPr>
          <w:b w:val="true"/>
          <w:color w:val="#4B546E"/>
          <w:sz w:val="73"/>
          <w:lang w:val="cs-CZ"/>
          <w:spacing w:val="0"/>
          <w:w w:val="95"/>
          <w:strike w:val="fals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68pt;height:10.85pt;z-index:-995;margin-left:0pt;margin-top:754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6" w:lineRule="auto"/>
                    <w:jc w:val="left"/>
                    <w:framePr w:hAnchor="text" w:vAnchor="text" w:y="15082" w:w="9360" w:h="217" w:hSpace="0" w:vSpace="0" w:wrap="3"/>
                    <w:tabs>
                      <w:tab w:val="right" w:leader="none" w:pos="9307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plynu v rámci SSDP charakteru maloodb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5 (celkem 7)</w:t>
                  </w:r>
                </w:p>
              </w:txbxContent>
            </v:textbox>
          </v:shape>
        </w:pict>
      </w:r>
      <w:r>
        <w:rPr>
          <w:b w:val="true"/>
          <w:color w:val="#4B546E"/>
          <w:sz w:val="73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B!</w:t>
      </w:r>
    </w:p>
    <w:p>
      <w:pPr>
        <w:ind w:right="0" w:left="0" w:firstLine="0"/>
        <w:spacing w:before="0" w:after="0" w:line="12" w:lineRule="exact"/>
        <w:jc w:val="center"/>
        <w:rPr>
          <w:color w:val="#000000"/>
          <w:sz w:val="11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1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ČESKOMORAVSKÁ
</w:t>
        <w:br/>
      </w:r>
      <w:r>
        <w:rPr>
          <w:b w:val="true"/>
          <w:i w:val="true"/>
          <w:color w:val="#000000"/>
          <w:sz w:val="12"/>
          <w:lang w:val="cs-CZ"/>
          <w:spacing w:val="-20"/>
          <w:w w:val="60"/>
          <w:strike w:val="false"/>
          <w:vertAlign w:val="baseline"/>
          <w:rFonts w:ascii="Times New Roman" w:hAnsi="Times New Roman"/>
        </w:rPr>
        <w:t xml:space="preserve">K</w:t>
      </w:r>
      <w:r>
        <w:rPr>
          <w:b w:val="true"/>
          <w:color w:val="#000000"/>
          <w:sz w:val="11"/>
          <w:lang w:val="cs-CZ"/>
          <w:spacing w:val="-20"/>
          <w:w w:val="100"/>
          <w:strike w:val="false"/>
          <w:vertAlign w:val="baseline"/>
          <w:rFonts w:ascii="Times New Roman" w:hAnsi="Times New Roman"/>
        </w:rPr>
        <w:t xml:space="preserve">OMODITNÍ KOMO DITNi BURZA KLADNO</w:t>
      </w:r>
    </w:p>
    <w:p>
      <w:pPr>
        <w:ind w:right="0" w:left="0" w:firstLine="0"/>
        <w:spacing w:before="180" w:after="72" w:line="212" w:lineRule="exact"/>
        <w:jc w:val="left"/>
        <w:rPr>
          <w:b w:val="true"/>
          <w:color w:val="#000000"/>
          <w:sz w:val="17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Reklamace</w:t>
      </w:r>
    </w:p>
    <w:p>
      <w:pPr>
        <w:ind w:right="72" w:left="360" w:firstLine="-288"/>
        <w:spacing w:before="252" w:after="0" w:line="266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pict>
          <v:line strokeweight="0.35pt" strokecolor="#414044" from="0pt,0.25pt" to="52.1pt,0.2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Zjistí-li odb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ěratel chyby nebo omyly při vyúčtování dodávky plynu dle uzavřeného burzovního obchodu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(závěrkového listu), má právo příslušné vyúčtování (fakturu) u dodavatele reklamovat, a to nejpozději do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30-ti kalendářních dnů od doručení faktury, v níž se reklamované skutečnosti vyskytly. Reklamace musí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mít písemnou formu a její uplatnění nemá odkladný účinek na splatnost faktury, vyjma zcela zjevné chyby,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nedohodne-li se odběratel a dodavatel jinak.</w:t>
      </w:r>
    </w:p>
    <w:p>
      <w:pPr>
        <w:ind w:right="432" w:left="360" w:firstLine="-288"/>
        <w:spacing w:before="252" w:after="0" w:line="266" w:lineRule="auto"/>
        <w:jc w:val="left"/>
        <w:tabs>
          <w:tab w:val="clear" w:pos="288"/>
          <w:tab w:val="decimal" w:pos="360"/>
        </w:tabs>
        <w:numPr>
          <w:ilvl w:val="0"/>
          <w:numId w:val="6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je povinen reklamaci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řezkoumat a výsledek přezkoumání je povinen oznámit odběrateli ve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lhůtě do 30-ti kalendářních dnů od doručení reklamace.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7"/>
          <w:lang w:val="cs-CZ"/>
          <w:spacing w:val="-4"/>
          <w:w w:val="100"/>
          <w:strike w:val="false"/>
          <w:u w:val="singl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-4"/>
          <w:w w:val="100"/>
          <w:strike w:val="false"/>
          <w:u w:val="single"/>
          <w:vertAlign w:val="baseline"/>
          <w:rFonts w:ascii="Verdana" w:hAnsi="Verdana"/>
        </w:rPr>
        <w:t xml:space="preserve">Omezení a p</w:t>
      </w:r>
      <w:r>
        <w:rPr>
          <w:b w:val="true"/>
          <w:color w:val="#000000"/>
          <w:sz w:val="17"/>
          <w:lang w:val="cs-CZ"/>
          <w:spacing w:val="-4"/>
          <w:w w:val="100"/>
          <w:strike w:val="false"/>
          <w:u w:val="single"/>
          <w:vertAlign w:val="baseline"/>
          <w:rFonts w:ascii="Verdana" w:hAnsi="Verdana"/>
        </w:rPr>
        <w:t xml:space="preserve">řerušení dodávky</w:t>
      </w:r>
    </w:p>
    <w:p>
      <w:pPr>
        <w:ind w:right="72" w:left="360" w:firstLine="-288"/>
        <w:spacing w:before="288" w:after="0" w:line="266" w:lineRule="auto"/>
        <w:jc w:val="both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je oprávn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 přerušit nebo omezit v nezbytném rozsahu dodávku plynu dle burzovního obchodu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(závěrkového listu) v odběrném místě v případech neoprávněného odběru, který je definován příslušnými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platnými právními předpisy.</w:t>
      </w:r>
    </w:p>
    <w:p>
      <w:pPr>
        <w:ind w:right="504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řerušení nebo omezení dodávky plynu z důvodu neoprávněného odběru bude provedeno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provozovatelem distribuční soustavy na žádost dodavatele bezprostředně po zjištění neoprávněného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odběru a bude provedeno na náklady odběratele.</w:t>
      </w:r>
    </w:p>
    <w:p>
      <w:pPr>
        <w:ind w:right="72" w:left="360" w:firstLine="-288"/>
        <w:spacing w:before="252" w:after="0" w:line="266" w:lineRule="auto"/>
        <w:jc w:val="left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řerušením nebo omezením dodávky plynu v případech neoprávněného odběru nevzniká odběrateli právo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na náhradu škody a ušlého zisku na dodavateli a na provozovateli distribuční soustavy.</w:t>
      </w:r>
    </w:p>
    <w:p>
      <w:pPr>
        <w:ind w:right="72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ěratel je povinen uhradit dodavateli náklady spojené s přerušením, obnovením nebo ukončením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dodávky plynu z důvodu neoprávněného odběru. Při neoprávněném odběru je zákazník povinen uhradit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skutečně vzniklou škodu, nelze-li vzniklou škodu prokazatelně stanovit, je náhrada škody vypočtena podle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Řádu provozovatele distribuční soustavy.</w:t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17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</w:pPr>
      <w:r>
        <w:rPr>
          <w:b w:val="true"/>
          <w:color w:val="#000000"/>
          <w:sz w:val="17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  <w:t xml:space="preserve">Odstoupení od burzovního obchodu (záv</w:t>
      </w:r>
      <w:r>
        <w:rPr>
          <w:b w:val="true"/>
          <w:color w:val="#000000"/>
          <w:sz w:val="17"/>
          <w:lang w:val="cs-CZ"/>
          <w:spacing w:val="-3"/>
          <w:w w:val="100"/>
          <w:strike w:val="false"/>
          <w:u w:val="single"/>
          <w:vertAlign w:val="baseline"/>
          <w:rFonts w:ascii="Verdana" w:hAnsi="Verdana"/>
        </w:rPr>
        <w:t xml:space="preserve">ěrkového listu)</w:t>
      </w:r>
    </w:p>
    <w:p>
      <w:pPr>
        <w:ind w:right="0" w:left="0" w:firstLine="0"/>
        <w:spacing w:before="252" w:after="0" w:line="271" w:lineRule="auto"/>
        <w:jc w:val="left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1. Dodavatel je oprávn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 odstoupit od burzovního obchodu (závěrkového listu) v případě:</w:t>
      </w:r>
    </w:p>
    <w:p>
      <w:pPr>
        <w:ind w:right="0" w:left="288" w:firstLine="0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8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podstatného porušení povinností — podmínek burzovního obchodu (záv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ěrkového listu) odběratelem,</w:t>
      </w:r>
    </w:p>
    <w:p>
      <w:pPr>
        <w:ind w:right="0" w:left="288" w:firstLine="0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8"/>
        </w:numP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neoprávn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ěného odběru, který je definován příslušnými platnými právními předpisy,</w:t>
      </w:r>
    </w:p>
    <w:p>
      <w:pPr>
        <w:ind w:right="0" w:left="288" w:firstLine="0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8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je-li odb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ěratel v úpadku anebo je mu povoleno vyrovnání.</w:t>
      </w:r>
    </w:p>
    <w:p>
      <w:pPr>
        <w:ind w:right="360" w:left="216" w:firstLine="-216"/>
        <w:spacing w:before="216" w:after="0" w:line="266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2. Za podstatné porušení povinností — podmínek burzovního obchodu (záv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ěrkového listu) odběratelem se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považuje zejména:</w:t>
      </w:r>
    </w:p>
    <w:p>
      <w:pPr>
        <w:ind w:right="504" w:left="576" w:firstLine="-288"/>
        <w:spacing w:before="36" w:after="0" w:line="271" w:lineRule="auto"/>
        <w:jc w:val="left"/>
        <w:tabs>
          <w:tab w:val="clear" w:pos="288"/>
          <w:tab w:val="decimal" w:pos="576"/>
        </w:tabs>
        <w:numPr>
          <w:ilvl w:val="0"/>
          <w:numId w:val="9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je-li odb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 i přes doručení výzvy nebo upomínky k placení opakovaně v prodlení se zaplacením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peněžitého závazku vyplývajícího ze závěrkového listu,</w:t>
      </w:r>
    </w:p>
    <w:p>
      <w:pPr>
        <w:ind w:right="72" w:left="576" w:firstLine="-288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9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zjistí-li dodavatel nebo p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říslušný provozovatel distribuční soustavy neoprávněnou manipulaci s měřícím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zařízením,</w:t>
      </w:r>
    </w:p>
    <w:p>
      <w:pPr>
        <w:ind w:right="288" w:left="576" w:firstLine="-288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9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neumožní-li odb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 přístup k měřícímu zařízení ani po opakované písemné výzvě dodavatele nebo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příslušného provozovatele distribuční soustavy,</w:t>
      </w:r>
    </w:p>
    <w:p>
      <w:pPr>
        <w:ind w:right="792" w:left="576" w:firstLine="-288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9"/>
        </w:numP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poruší-li odb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ěratel podstatně povinnosti — podmínky zvlášt' specifikované burzovním obchodem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(závěrkovým listem).</w:t>
      </w:r>
    </w:p>
    <w:p>
      <w:pPr>
        <w:ind w:right="0" w:left="72" w:firstLine="0"/>
        <w:spacing w:before="252" w:after="0" w:line="271" w:lineRule="auto"/>
        <w:jc w:val="left"/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3. Odb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ěratel je oprávněn odstoupit od burzovního obchodu (závěrkového listu) v případě</w:t>
      </w:r>
    </w:p>
    <w:p>
      <w:pPr>
        <w:ind w:right="0" w:left="288" w:firstLine="0"/>
        <w:spacing w:before="0" w:after="0" w:line="268" w:lineRule="auto"/>
        <w:jc w:val="left"/>
        <w:tabs>
          <w:tab w:val="clear" w:pos="288"/>
          <w:tab w:val="decimal" w:pos="576"/>
        </w:tabs>
        <w:numPr>
          <w:ilvl w:val="0"/>
          <w:numId w:val="10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podstatného porušení povinností — podmínek burzovního obchodu (záv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ěrkového listu) dodavatelem,</w:t>
      </w:r>
    </w:p>
    <w:p>
      <w:pPr>
        <w:ind w:right="0" w:left="288" w:firstLine="0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10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je-li dodavatel v úpadku nebo je mu povoleno vyrovnání.</w:t>
      </w:r>
    </w:p>
    <w:p>
      <w:pPr>
        <w:ind w:right="288" w:left="216" w:firstLine="-216"/>
        <w:spacing w:before="216" w:after="0" w:line="266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4. Za podstatné porušení povinností — podmínek burzovního obchodu (záv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ěrkového listu) dodavatelem se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považuje zejména:</w:t>
      </w:r>
    </w:p>
    <w:p>
      <w:pPr>
        <w:ind w:right="0" w:left="576" w:firstLine="-288"/>
        <w:spacing w:before="0" w:after="0" w:line="268" w:lineRule="auto"/>
        <w:jc w:val="left"/>
        <w:tabs>
          <w:tab w:val="clear" w:pos="288"/>
          <w:tab w:val="decimal" w:pos="576"/>
        </w:tabs>
        <w:numPr>
          <w:ilvl w:val="0"/>
          <w:numId w:val="11"/>
        </w:numP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bezd</w:t>
      </w:r>
      <w:r>
        <w:rPr>
          <w:color w:val="#000000"/>
          <w:sz w:val="18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ůvodné přerušení, omezení nebo ukončení dodávky plynu dodavatelem,</w:t>
      </w:r>
    </w:p>
    <w:p>
      <w:pPr>
        <w:ind w:right="0" w:left="288" w:firstLine="0"/>
        <w:spacing w:before="0" w:after="0" w:line="273" w:lineRule="auto"/>
        <w:jc w:val="left"/>
        <w:tabs>
          <w:tab w:val="clear" w:pos="288"/>
          <w:tab w:val="decimal" w:pos="576"/>
        </w:tabs>
        <w:numPr>
          <w:ilvl w:val="0"/>
          <w:numId w:val="11"/>
        </w:numP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bezd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ůvodné nezajištění dopravy plynu a souvisejících služeb ze strany dodavatele,</w:t>
      </w:r>
    </w:p>
    <w:p>
      <w:pPr>
        <w:ind w:right="432" w:left="576" w:firstLine="-288"/>
        <w:spacing w:before="0" w:after="0" w:line="240" w:lineRule="auto"/>
        <w:jc w:val="left"/>
        <w:tabs>
          <w:tab w:val="clear" w:pos="288"/>
          <w:tab w:val="decimal" w:pos="576"/>
        </w:tabs>
        <w:numPr>
          <w:ilvl w:val="0"/>
          <w:numId w:val="11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je-li dodavatel i p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řes doručení výzvy nebo upomínky k placení opakovaně v prodlení se zaplacením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peněžitého závazku vyplývajícího ze závěrkového listu,</w:t>
      </w:r>
    </w:p>
    <w:p>
      <w:pPr>
        <w:ind w:right="720" w:left="576" w:firstLine="-288"/>
        <w:spacing w:before="0" w:after="0" w:line="266" w:lineRule="auto"/>
        <w:jc w:val="left"/>
        <w:tabs>
          <w:tab w:val="clear" w:pos="288"/>
          <w:tab w:val="decimal" w:pos="576"/>
        </w:tabs>
        <w:numPr>
          <w:ilvl w:val="0"/>
          <w:numId w:val="11"/>
        </w:numP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4171F" from="0pt,59.05pt" to="468.05pt,59.0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poruší-li dodavatel podstatn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povinnosti — podmínky zvlášt' specifikované burzovním obchodem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(závěrkovým listem).</w:t>
      </w:r>
    </w:p>
    <w:sectPr>
      <w:pgSz w:w="11918" w:h="16854" w:orient="portrait"/>
      <w:type w:val="nextPage"/>
      <w:textDirection w:val="lrTb"/>
      <w:pgMar w:bottom="628" w:top="814" w:right="1226" w:left="127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3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3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8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2"/>
      <w:lvlJc w:val="left"/>
      <w:pPr>
        <w:ind w:left="720"/>
        <w:tabs>
          <w:tab w:val="decimal" w:pos="216"/>
        </w:tabs>
      </w:pPr>
      <w:rPr>
        <w:color w:val="#000000"/>
        <w:sz w:val="18"/>
        <w:lang w:val="cs-CZ"/>
        <w:spacing w:val="1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3"/>
        <w:w w:val="100"/>
        <w:strike w:val="false"/>
        <w:vertAlign w:val="baseline"/>
        <w:rFonts w:ascii="Arial" w:hAnsi="Arial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Arial" w:hAnsi="Arial"/>
      </w:rPr>
    </w:lvl>
  </w:abstractNum>
  <w:abstractNum w:abstractNumId="7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6"/>
        <w:w w:val="100"/>
        <w:strike w:val="false"/>
        <w:vertAlign w:val="baseline"/>
        <w:rFonts w:ascii="Arial" w:hAnsi="Arial"/>
      </w:rPr>
    </w:lvl>
  </w:abstractNum>
  <w:abstractNum w:abstractNumId="8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Arial" w:hAnsi="Arial"/>
      </w:rPr>
    </w:lvl>
  </w:abstractNum>
  <w:abstractNum w:abstractNumId="9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6"/>
        <w:w w:val="100"/>
        <w:strike w:val="false"/>
        <w:vertAlign w:val="baseline"/>
        <w:rFonts w:ascii="Arial" w:hAnsi="Arial"/>
      </w:rPr>
    </w:lvl>
  </w:abstractNum>
  <w:abstractNum w:abstractNumId="10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8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numbering" Target="/word/numbering.xm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