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676" w:rsidRPr="00D1150F" w:rsidRDefault="001F1676" w:rsidP="001F1676">
      <w:pPr>
        <w:jc w:val="center"/>
        <w:rPr>
          <w:lang w:val="cs-CZ"/>
        </w:rPr>
      </w:pPr>
      <w:bookmarkStart w:id="0" w:name="_Ref489004960"/>
      <w:bookmarkStart w:id="1" w:name="_Toc489005208"/>
    </w:p>
    <w:p w:rsidR="00D1150F" w:rsidRPr="00D1150F" w:rsidRDefault="00D1150F" w:rsidP="001F1676">
      <w:pPr>
        <w:jc w:val="center"/>
        <w:rPr>
          <w:lang w:val="cs-CZ"/>
        </w:rPr>
      </w:pPr>
    </w:p>
    <w:p w:rsidR="005A28DE" w:rsidRPr="00D1150F" w:rsidRDefault="005A28DE" w:rsidP="001F1676">
      <w:pPr>
        <w:jc w:val="center"/>
        <w:rPr>
          <w:lang w:val="cs-CZ"/>
        </w:rPr>
      </w:pPr>
      <w:r w:rsidRPr="00D1150F">
        <w:rPr>
          <w:noProof/>
          <w:lang w:val="cs-CZ" w:eastAsia="cs-CZ"/>
        </w:rPr>
        <w:drawing>
          <wp:inline distT="0" distB="0" distL="0" distR="0">
            <wp:extent cx="3792855" cy="1343660"/>
            <wp:effectExtent l="0" t="0" r="0" b="8890"/>
            <wp:docPr id="1" name="Picture 1" descr="C:\Users\js\AppData\Local\Microsoft\Windows\INetCache\Content.Word\ptt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\AppData\Local\Microsoft\Windows\INetCache\Content.Word\ptt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8DE" w:rsidRPr="00D1150F" w:rsidRDefault="005A28DE" w:rsidP="001F1676">
      <w:pPr>
        <w:jc w:val="center"/>
        <w:rPr>
          <w:lang w:val="cs-CZ"/>
        </w:rPr>
      </w:pPr>
    </w:p>
    <w:p w:rsidR="005A28DE" w:rsidRPr="00D1150F" w:rsidRDefault="005A28DE" w:rsidP="001F1676">
      <w:pPr>
        <w:pStyle w:val="PTTlv1"/>
        <w:numPr>
          <w:ilvl w:val="0"/>
          <w:numId w:val="0"/>
        </w:numPr>
        <w:ind w:left="360" w:hanging="360"/>
        <w:jc w:val="center"/>
      </w:pPr>
    </w:p>
    <w:p w:rsidR="005A28DE" w:rsidRPr="00D1150F" w:rsidRDefault="005A28DE" w:rsidP="001F1676">
      <w:pPr>
        <w:jc w:val="center"/>
        <w:rPr>
          <w:b/>
          <w:sz w:val="52"/>
          <w:lang w:val="cs-CZ"/>
        </w:rPr>
      </w:pPr>
      <w:r w:rsidRPr="00D1150F">
        <w:rPr>
          <w:b/>
          <w:sz w:val="52"/>
          <w:lang w:val="cs-CZ"/>
        </w:rPr>
        <w:t>Nabídka SW pro správu pohledávek černých pasažérů</w:t>
      </w:r>
      <w:r w:rsidRPr="00D1150F">
        <w:rPr>
          <w:b/>
          <w:sz w:val="52"/>
          <w:lang w:val="cs-CZ"/>
        </w:rPr>
        <w:br/>
        <w:t>STOWAWAYS</w:t>
      </w:r>
    </w:p>
    <w:p w:rsidR="005A28DE" w:rsidRPr="00D1150F" w:rsidRDefault="005A28DE" w:rsidP="001F1676">
      <w:pPr>
        <w:jc w:val="center"/>
        <w:rPr>
          <w:b/>
          <w:sz w:val="52"/>
          <w:lang w:val="cs-CZ"/>
        </w:rPr>
      </w:pPr>
    </w:p>
    <w:p w:rsidR="005A28DE" w:rsidRPr="00D1150F" w:rsidRDefault="005A28DE" w:rsidP="001F1676">
      <w:pPr>
        <w:jc w:val="center"/>
        <w:rPr>
          <w:b/>
          <w:sz w:val="52"/>
          <w:lang w:val="cs-CZ"/>
        </w:rPr>
      </w:pPr>
      <w:r w:rsidRPr="00D1150F">
        <w:rPr>
          <w:b/>
          <w:sz w:val="52"/>
          <w:lang w:val="cs-CZ"/>
        </w:rPr>
        <w:t>Dopravní společnost</w:t>
      </w:r>
      <w:r w:rsidRPr="00D1150F">
        <w:rPr>
          <w:b/>
          <w:sz w:val="52"/>
          <w:lang w:val="cs-CZ"/>
        </w:rPr>
        <w:br/>
      </w:r>
      <w:proofErr w:type="spellStart"/>
      <w:r w:rsidRPr="00D1150F">
        <w:rPr>
          <w:b/>
          <w:sz w:val="52"/>
          <w:lang w:val="cs-CZ"/>
        </w:rPr>
        <w:t>Zlín</w:t>
      </w:r>
      <w:proofErr w:type="spellEnd"/>
      <w:r w:rsidRPr="00D1150F">
        <w:rPr>
          <w:b/>
          <w:sz w:val="52"/>
          <w:lang w:val="cs-CZ"/>
        </w:rPr>
        <w:t>-Otrokovice, s.r.o.</w:t>
      </w:r>
    </w:p>
    <w:p w:rsidR="005A28DE" w:rsidRDefault="005A28DE" w:rsidP="001F1676">
      <w:pPr>
        <w:jc w:val="center"/>
        <w:rPr>
          <w:b/>
          <w:sz w:val="36"/>
          <w:lang w:val="cs-CZ"/>
        </w:rPr>
      </w:pPr>
    </w:p>
    <w:p w:rsidR="003A2B8E" w:rsidRPr="00D1150F" w:rsidRDefault="003A2B8E" w:rsidP="001F1676">
      <w:pPr>
        <w:jc w:val="center"/>
        <w:rPr>
          <w:b/>
          <w:sz w:val="36"/>
          <w:lang w:val="cs-CZ"/>
        </w:rPr>
      </w:pPr>
    </w:p>
    <w:p w:rsidR="005A28DE" w:rsidRPr="00D1150F" w:rsidRDefault="005A28DE" w:rsidP="001F1676">
      <w:pPr>
        <w:jc w:val="center"/>
        <w:rPr>
          <w:sz w:val="32"/>
          <w:lang w:val="cs-CZ"/>
        </w:rPr>
      </w:pPr>
      <w:r w:rsidRPr="00D1150F">
        <w:rPr>
          <w:sz w:val="32"/>
          <w:lang w:val="cs-CZ"/>
        </w:rPr>
        <w:t>Zpracováno:</w:t>
      </w:r>
    </w:p>
    <w:p w:rsidR="005A28DE" w:rsidRPr="00D1150F" w:rsidRDefault="005A28DE" w:rsidP="001F1676">
      <w:pPr>
        <w:jc w:val="center"/>
        <w:rPr>
          <w:sz w:val="32"/>
          <w:lang w:val="cs-CZ"/>
        </w:rPr>
      </w:pPr>
    </w:p>
    <w:p w:rsidR="005A28DE" w:rsidRPr="00D1150F" w:rsidRDefault="005A28DE" w:rsidP="001F1676">
      <w:pPr>
        <w:jc w:val="center"/>
        <w:rPr>
          <w:sz w:val="32"/>
          <w:lang w:val="cs-CZ"/>
        </w:rPr>
      </w:pPr>
      <w:r w:rsidRPr="00D1150F">
        <w:rPr>
          <w:sz w:val="32"/>
          <w:lang w:val="cs-CZ"/>
        </w:rPr>
        <w:t>Prosinec 2017</w:t>
      </w:r>
    </w:p>
    <w:p w:rsidR="005A28DE" w:rsidRPr="00D1150F" w:rsidRDefault="005A28DE" w:rsidP="001F1676">
      <w:pPr>
        <w:jc w:val="center"/>
        <w:rPr>
          <w:sz w:val="32"/>
          <w:lang w:val="cs-CZ"/>
        </w:rPr>
      </w:pPr>
      <w:r w:rsidRPr="00D1150F">
        <w:rPr>
          <w:sz w:val="32"/>
          <w:lang w:val="cs-CZ"/>
        </w:rPr>
        <w:t>PTT Software s. r. o.</w:t>
      </w:r>
    </w:p>
    <w:p w:rsidR="005A28DE" w:rsidRPr="00D1150F" w:rsidRDefault="004C1641" w:rsidP="001F1676">
      <w:pPr>
        <w:jc w:val="center"/>
        <w:rPr>
          <w:rFonts w:ascii="Arial" w:eastAsia="Times New Roman" w:hAnsi="Arial" w:cs="Arial"/>
          <w:sz w:val="32"/>
          <w:szCs w:val="32"/>
          <w:lang w:val="cs-CZ" w:eastAsia="cs-CZ"/>
        </w:rPr>
      </w:pPr>
      <w:proofErr w:type="spellStart"/>
      <w:r>
        <w:rPr>
          <w:sz w:val="32"/>
          <w:lang w:val="cs-CZ"/>
        </w:rPr>
        <w:t>xxxxxxxxxx</w:t>
      </w:r>
      <w:proofErr w:type="spellEnd"/>
      <w:r w:rsidR="005A28DE" w:rsidRPr="00D1150F">
        <w:rPr>
          <w:lang w:val="cs-CZ"/>
        </w:rPr>
        <w:br w:type="page"/>
      </w:r>
    </w:p>
    <w:p w:rsidR="00570853" w:rsidRPr="00D1150F" w:rsidRDefault="00570853" w:rsidP="00153886">
      <w:pPr>
        <w:pStyle w:val="PTTlv1"/>
      </w:pPr>
      <w:bookmarkStart w:id="2" w:name="_Toc500805479"/>
      <w:r w:rsidRPr="00D1150F">
        <w:lastRenderedPageBreak/>
        <w:t>Obsah:</w:t>
      </w:r>
      <w:bookmarkEnd w:id="0"/>
      <w:bookmarkEnd w:id="1"/>
      <w:bookmarkEnd w:id="2"/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r w:rsidRPr="00D1150F">
        <w:rPr>
          <w:rFonts w:cstheme="minorHAnsi"/>
          <w:lang w:val="cs-CZ"/>
        </w:rPr>
        <w:fldChar w:fldCharType="begin"/>
      </w:r>
      <w:r w:rsidR="006A704E" w:rsidRPr="00D1150F">
        <w:rPr>
          <w:rFonts w:cstheme="minorHAnsi"/>
          <w:lang w:val="cs-CZ"/>
        </w:rPr>
        <w:instrText xml:space="preserve"> TOC \h \z \t "PTT lv.2,2,PTT lv.1,1,PTT lv.3,3" </w:instrText>
      </w:r>
      <w:r w:rsidRPr="00D1150F">
        <w:rPr>
          <w:rFonts w:cstheme="minorHAnsi"/>
          <w:lang w:val="cs-CZ"/>
        </w:rPr>
        <w:fldChar w:fldCharType="separate"/>
      </w:r>
      <w:hyperlink w:anchor="_Toc500805479" w:history="1">
        <w:r w:rsidR="00D1150F" w:rsidRPr="002B5947">
          <w:rPr>
            <w:rStyle w:val="Hypertextovodkaz"/>
            <w:noProof/>
          </w:rPr>
          <w:t>1.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Obsah: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80" w:history="1">
        <w:r w:rsidR="00D1150F" w:rsidRPr="002B5947">
          <w:rPr>
            <w:rStyle w:val="Hypertextovodkaz"/>
            <w:noProof/>
          </w:rPr>
          <w:t>2.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Předmět nabídky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81" w:history="1">
        <w:r w:rsidR="00D1150F" w:rsidRPr="002B5947">
          <w:rPr>
            <w:rStyle w:val="Hypertextovodkaz"/>
            <w:noProof/>
          </w:rPr>
          <w:t>3.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Identifikace dodavatele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82" w:history="1">
        <w:r w:rsidR="00D1150F" w:rsidRPr="002B5947">
          <w:rPr>
            <w:rStyle w:val="Hypertextovodkaz"/>
            <w:noProof/>
          </w:rPr>
          <w:t>4.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Nabídka SW pro správu pohledávek černých pasažérů - STOWAWAYS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2"/>
        <w:tabs>
          <w:tab w:val="left" w:pos="880"/>
          <w:tab w:val="right" w:leader="dot" w:pos="9350"/>
        </w:tabs>
        <w:rPr>
          <w:rFonts w:eastAsiaTheme="minorEastAsia"/>
          <w:noProof/>
        </w:rPr>
      </w:pPr>
      <w:hyperlink w:anchor="_Toc500805483" w:history="1">
        <w:r w:rsidR="00D1150F" w:rsidRPr="002B5947">
          <w:rPr>
            <w:rStyle w:val="Hypertextovodkaz"/>
            <w:noProof/>
          </w:rPr>
          <w:t>4.1.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Architektura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2"/>
        <w:tabs>
          <w:tab w:val="left" w:pos="880"/>
          <w:tab w:val="right" w:leader="dot" w:pos="9350"/>
        </w:tabs>
        <w:rPr>
          <w:rFonts w:eastAsiaTheme="minorEastAsia"/>
          <w:noProof/>
        </w:rPr>
      </w:pPr>
      <w:hyperlink w:anchor="_Toc500805484" w:history="1">
        <w:r w:rsidR="00D1150F" w:rsidRPr="002B5947">
          <w:rPr>
            <w:rStyle w:val="Hypertextovodkaz"/>
            <w:noProof/>
          </w:rPr>
          <w:t>4.2.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Popis funkčtnoti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2"/>
        <w:tabs>
          <w:tab w:val="left" w:pos="880"/>
          <w:tab w:val="right" w:leader="dot" w:pos="9350"/>
        </w:tabs>
        <w:rPr>
          <w:rFonts w:eastAsiaTheme="minorEastAsia"/>
          <w:noProof/>
        </w:rPr>
      </w:pPr>
      <w:hyperlink w:anchor="_Toc500805485" w:history="1">
        <w:r w:rsidR="00D1150F" w:rsidRPr="002B5947">
          <w:rPr>
            <w:rStyle w:val="Hypertextovodkaz"/>
            <w:noProof/>
          </w:rPr>
          <w:t>4.3.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Napojení na EET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2"/>
        <w:tabs>
          <w:tab w:val="left" w:pos="880"/>
          <w:tab w:val="right" w:leader="dot" w:pos="9350"/>
        </w:tabs>
        <w:rPr>
          <w:rFonts w:eastAsiaTheme="minorEastAsia"/>
          <w:noProof/>
        </w:rPr>
      </w:pPr>
      <w:hyperlink w:anchor="_Toc500805486" w:history="1">
        <w:r w:rsidR="00D1150F" w:rsidRPr="002B5947">
          <w:rPr>
            <w:rStyle w:val="Hypertextovodkaz"/>
            <w:noProof/>
          </w:rPr>
          <w:t>4.4.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Ochrana osobních údajů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2"/>
        <w:tabs>
          <w:tab w:val="left" w:pos="880"/>
          <w:tab w:val="right" w:leader="dot" w:pos="9350"/>
        </w:tabs>
        <w:rPr>
          <w:rFonts w:eastAsiaTheme="minorEastAsia"/>
          <w:noProof/>
        </w:rPr>
      </w:pPr>
      <w:hyperlink w:anchor="_Toc500805487" w:history="1">
        <w:r w:rsidR="00D1150F" w:rsidRPr="002B5947">
          <w:rPr>
            <w:rStyle w:val="Hypertextovodkaz"/>
            <w:noProof/>
          </w:rPr>
          <w:t>4.5.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Servisní podpora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2"/>
        <w:tabs>
          <w:tab w:val="left" w:pos="880"/>
          <w:tab w:val="right" w:leader="dot" w:pos="9350"/>
        </w:tabs>
        <w:rPr>
          <w:rFonts w:eastAsiaTheme="minorEastAsia"/>
          <w:noProof/>
        </w:rPr>
      </w:pPr>
      <w:hyperlink w:anchor="_Toc500805488" w:history="1">
        <w:r w:rsidR="00D1150F" w:rsidRPr="002B5947">
          <w:rPr>
            <w:rStyle w:val="Hypertextovodkaz"/>
            <w:noProof/>
          </w:rPr>
          <w:t>4.6.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Cena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89" w:history="1">
        <w:r w:rsidR="00D1150F" w:rsidRPr="002B5947">
          <w:rPr>
            <w:rStyle w:val="Hypertextovodkaz"/>
            <w:noProof/>
          </w:rPr>
          <w:t>5.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Záruka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90" w:history="1">
        <w:r w:rsidR="00D1150F" w:rsidRPr="002B5947">
          <w:rPr>
            <w:rStyle w:val="Hypertextovodkaz"/>
            <w:noProof/>
          </w:rPr>
          <w:t>6.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Platnost nabídky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91" w:history="1">
        <w:r w:rsidR="00D1150F" w:rsidRPr="002B5947">
          <w:rPr>
            <w:rStyle w:val="Hypertextovodkaz"/>
            <w:noProof/>
          </w:rPr>
          <w:t>7.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Termíny dodání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92" w:history="1">
        <w:r w:rsidR="00D1150F" w:rsidRPr="002B5947">
          <w:rPr>
            <w:rStyle w:val="Hypertextovodkaz"/>
            <w:noProof/>
          </w:rPr>
          <w:t>8.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Důvernost informací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50F" w:rsidRDefault="004B6D29">
      <w:pPr>
        <w:pStyle w:val="Obsah1"/>
        <w:tabs>
          <w:tab w:val="left" w:pos="440"/>
          <w:tab w:val="right" w:leader="dot" w:pos="9350"/>
        </w:tabs>
        <w:rPr>
          <w:rFonts w:eastAsiaTheme="minorEastAsia"/>
          <w:noProof/>
        </w:rPr>
      </w:pPr>
      <w:hyperlink w:anchor="_Toc500805493" w:history="1">
        <w:r w:rsidR="00D1150F" w:rsidRPr="002B5947">
          <w:rPr>
            <w:rStyle w:val="Hypertextovodkaz"/>
            <w:noProof/>
          </w:rPr>
          <w:t>9.</w:t>
        </w:r>
        <w:r w:rsidR="00D1150F">
          <w:rPr>
            <w:rFonts w:eastAsiaTheme="minorEastAsia"/>
            <w:noProof/>
          </w:rPr>
          <w:tab/>
        </w:r>
        <w:r w:rsidR="00D1150F" w:rsidRPr="002B5947">
          <w:rPr>
            <w:rStyle w:val="Hypertextovodkaz"/>
            <w:noProof/>
          </w:rPr>
          <w:t>Kontaktní informace</w:t>
        </w:r>
        <w:r w:rsidR="00D1150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50F">
          <w:rPr>
            <w:noProof/>
            <w:webHidden/>
          </w:rPr>
          <w:instrText xml:space="preserve"> PAGEREF _Toc500805493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1150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1098E" w:rsidRPr="00D1150F" w:rsidRDefault="004B6D29">
      <w:pPr>
        <w:rPr>
          <w:rFonts w:cstheme="minorHAnsi"/>
          <w:lang w:val="cs-CZ"/>
        </w:rPr>
      </w:pPr>
      <w:r w:rsidRPr="00D1150F">
        <w:rPr>
          <w:rFonts w:cstheme="minorHAnsi"/>
          <w:lang w:val="cs-CZ"/>
        </w:rPr>
        <w:fldChar w:fldCharType="end"/>
      </w:r>
    </w:p>
    <w:p w:rsidR="005A28DE" w:rsidRPr="00D1150F" w:rsidRDefault="005A28DE">
      <w:pPr>
        <w:rPr>
          <w:rFonts w:cstheme="minorHAnsi"/>
          <w:b/>
          <w:sz w:val="28"/>
          <w:lang w:val="cs-CZ"/>
        </w:rPr>
      </w:pPr>
      <w:bookmarkStart w:id="3" w:name="_Toc489005209"/>
      <w:r w:rsidRPr="00D1150F">
        <w:rPr>
          <w:lang w:val="cs-CZ"/>
        </w:rPr>
        <w:br w:type="page"/>
      </w:r>
    </w:p>
    <w:p w:rsidR="000F2546" w:rsidRPr="00D1150F" w:rsidRDefault="00972E80" w:rsidP="000F2546">
      <w:pPr>
        <w:pStyle w:val="PTTlv1"/>
      </w:pPr>
      <w:bookmarkStart w:id="4" w:name="_Toc500805480"/>
      <w:bookmarkEnd w:id="3"/>
      <w:r w:rsidRPr="00D1150F">
        <w:lastRenderedPageBreak/>
        <w:t>Předmět nabídky</w:t>
      </w:r>
      <w:bookmarkEnd w:id="4"/>
    </w:p>
    <w:p w:rsidR="002A4A30" w:rsidRPr="00D1150F" w:rsidRDefault="00BF14BD" w:rsidP="002A4A30">
      <w:pPr>
        <w:rPr>
          <w:lang w:val="cs-CZ"/>
        </w:rPr>
      </w:pPr>
      <w:r w:rsidRPr="00D1150F">
        <w:rPr>
          <w:lang w:val="cs-CZ"/>
        </w:rPr>
        <w:t xml:space="preserve">Předmětem nabídky je dodávka licence k software pro evidenci pohledávek černých </w:t>
      </w:r>
      <w:r w:rsidR="004779FC">
        <w:rPr>
          <w:lang w:val="cs-CZ"/>
        </w:rPr>
        <w:t>p</w:t>
      </w:r>
      <w:r w:rsidRPr="00D1150F">
        <w:rPr>
          <w:lang w:val="cs-CZ"/>
        </w:rPr>
        <w:t>asažérů a související agendy.</w:t>
      </w:r>
    </w:p>
    <w:p w:rsidR="00972E80" w:rsidRPr="00D1150F" w:rsidRDefault="00972E80" w:rsidP="00972E80">
      <w:pPr>
        <w:pStyle w:val="PTTlv1"/>
      </w:pPr>
      <w:bookmarkStart w:id="5" w:name="_Ref500660865"/>
      <w:bookmarkStart w:id="6" w:name="_Toc500805481"/>
      <w:r w:rsidRPr="00D1150F">
        <w:t>Identifikace dodavatele</w:t>
      </w:r>
      <w:bookmarkEnd w:id="5"/>
      <w:bookmarkEnd w:id="6"/>
    </w:p>
    <w:p w:rsidR="00972E80" w:rsidRPr="00D1150F" w:rsidRDefault="00972E80" w:rsidP="00972E80">
      <w:pPr>
        <w:rPr>
          <w:lang w:val="cs-CZ"/>
        </w:rPr>
      </w:pPr>
      <w:r w:rsidRPr="004779FC">
        <w:rPr>
          <w:b/>
          <w:lang w:val="cs-CZ"/>
        </w:rPr>
        <w:t>Na</w:t>
      </w:r>
      <w:r w:rsidR="004779FC">
        <w:rPr>
          <w:b/>
          <w:lang w:val="cs-CZ"/>
        </w:rPr>
        <w:t>b</w:t>
      </w:r>
      <w:r w:rsidRPr="004779FC">
        <w:rPr>
          <w:b/>
          <w:lang w:val="cs-CZ"/>
        </w:rPr>
        <w:t>ídku</w:t>
      </w:r>
      <w:r w:rsidRPr="00D1150F">
        <w:rPr>
          <w:lang w:val="cs-CZ"/>
        </w:rPr>
        <w:t xml:space="preserve"> předkládá společnost:</w:t>
      </w:r>
    </w:p>
    <w:p w:rsidR="00972E80" w:rsidRPr="00D1150F" w:rsidRDefault="00972E80" w:rsidP="00972E80">
      <w:pPr>
        <w:rPr>
          <w:lang w:val="cs-CZ"/>
        </w:rPr>
      </w:pPr>
      <w:r w:rsidRPr="00D1150F">
        <w:rPr>
          <w:lang w:val="cs-CZ"/>
        </w:rPr>
        <w:t>PTT Software s.r.o. IČO: 05095671 DIČ: CZ 05095671</w:t>
      </w:r>
    </w:p>
    <w:p w:rsidR="00972E80" w:rsidRPr="00D1150F" w:rsidRDefault="00972E80" w:rsidP="00972E80">
      <w:pPr>
        <w:rPr>
          <w:lang w:val="cs-CZ"/>
        </w:rPr>
      </w:pPr>
      <w:r w:rsidRPr="00D1150F">
        <w:rPr>
          <w:lang w:val="cs-CZ"/>
        </w:rPr>
        <w:t>Konviktská 291/24, 110 00 Praha 1, Česká republika, Tel: +420 226 211 931</w:t>
      </w:r>
    </w:p>
    <w:p w:rsidR="00972E80" w:rsidRPr="00D1150F" w:rsidRDefault="00972E80" w:rsidP="00972E80">
      <w:pPr>
        <w:rPr>
          <w:lang w:val="cs-CZ"/>
        </w:rPr>
      </w:pPr>
      <w:r w:rsidRPr="00D1150F">
        <w:rPr>
          <w:lang w:val="cs-CZ"/>
        </w:rPr>
        <w:t>Zapsaná 25. května 2016 u Městského soudu v Praze, spisová značka: C 257569</w:t>
      </w:r>
    </w:p>
    <w:p w:rsidR="00496F51" w:rsidRPr="00D1150F" w:rsidRDefault="00496F51" w:rsidP="00496F51">
      <w:pPr>
        <w:pStyle w:val="PTTlv1"/>
      </w:pPr>
      <w:bookmarkStart w:id="7" w:name="_Toc500805482"/>
      <w:r w:rsidRPr="00D1150F">
        <w:t>Nabídka SW pro správu pohledávek černých pasažérů - STOWAWAYS</w:t>
      </w:r>
      <w:bookmarkEnd w:id="7"/>
    </w:p>
    <w:p w:rsidR="00F87DB5" w:rsidRPr="00D1150F" w:rsidRDefault="00F87DB5" w:rsidP="00F87DB5">
      <w:pPr>
        <w:pStyle w:val="PTTlv2"/>
      </w:pPr>
      <w:bookmarkStart w:id="8" w:name="_Toc500805483"/>
      <w:r w:rsidRPr="00D1150F">
        <w:t>Architektura</w:t>
      </w:r>
      <w:bookmarkEnd w:id="8"/>
    </w:p>
    <w:p w:rsidR="00011A9F" w:rsidRPr="00D1150F" w:rsidRDefault="00011A9F" w:rsidP="00011A9F">
      <w:pPr>
        <w:rPr>
          <w:lang w:val="cs-CZ"/>
        </w:rPr>
      </w:pPr>
      <w:r w:rsidRPr="00D1150F">
        <w:rPr>
          <w:lang w:val="cs-CZ"/>
        </w:rPr>
        <w:t xml:space="preserve">SW je koncipován </w:t>
      </w:r>
      <w:r w:rsidR="00B64489" w:rsidRPr="00D1150F">
        <w:rPr>
          <w:lang w:val="cs-CZ"/>
        </w:rPr>
        <w:t>v </w:t>
      </w:r>
      <w:r w:rsidRPr="00D1150F">
        <w:rPr>
          <w:lang w:val="cs-CZ"/>
        </w:rPr>
        <w:t>třívrstv</w:t>
      </w:r>
      <w:r w:rsidR="00B64489" w:rsidRPr="00D1150F">
        <w:rPr>
          <w:lang w:val="cs-CZ"/>
        </w:rPr>
        <w:t>é architektuře. D</w:t>
      </w:r>
      <w:r w:rsidRPr="00D1150F">
        <w:rPr>
          <w:lang w:val="cs-CZ"/>
        </w:rPr>
        <w:t>atabáz</w:t>
      </w:r>
      <w:r w:rsidR="00B64489" w:rsidRPr="00D1150F">
        <w:rPr>
          <w:lang w:val="cs-CZ"/>
        </w:rPr>
        <w:t>e se využívá</w:t>
      </w:r>
      <w:r w:rsidRPr="00D1150F">
        <w:rPr>
          <w:lang w:val="cs-CZ"/>
        </w:rPr>
        <w:t xml:space="preserve"> MS SQL 2012 a novější. </w:t>
      </w:r>
      <w:r w:rsidR="00B64489" w:rsidRPr="00D1150F">
        <w:rPr>
          <w:lang w:val="cs-CZ"/>
        </w:rPr>
        <w:t>Aplikační server běží jako služba operačního systému MS Server 2012 a novější. Klientské aplikace komunikují jen s aplikačním serverem a nemají přímé napojení na da</w:t>
      </w:r>
      <w:r w:rsidR="004779FC">
        <w:rPr>
          <w:lang w:val="cs-CZ"/>
        </w:rPr>
        <w:t>t</w:t>
      </w:r>
      <w:r w:rsidR="00B64489" w:rsidRPr="00D1150F">
        <w:rPr>
          <w:lang w:val="cs-CZ"/>
        </w:rPr>
        <w:t>a</w:t>
      </w:r>
      <w:r w:rsidR="004779FC">
        <w:rPr>
          <w:lang w:val="cs-CZ"/>
        </w:rPr>
        <w:t>b</w:t>
      </w:r>
      <w:r w:rsidR="00B64489" w:rsidRPr="00D1150F">
        <w:rPr>
          <w:lang w:val="cs-CZ"/>
        </w:rPr>
        <w:t>ázi.</w:t>
      </w:r>
    </w:p>
    <w:p w:rsidR="00441C27" w:rsidRPr="00D1150F" w:rsidRDefault="00B64489" w:rsidP="00011A9F">
      <w:pPr>
        <w:rPr>
          <w:lang w:val="cs-CZ"/>
        </w:rPr>
      </w:pPr>
      <w:r w:rsidRPr="00D1150F">
        <w:rPr>
          <w:lang w:val="cs-CZ"/>
        </w:rPr>
        <w:object w:dxaOrig="6660" w:dyaOrig="5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3pt;height:290.25pt" o:ole="">
            <v:imagedata r:id="rId9" o:title=""/>
          </v:shape>
          <o:OLEObject Type="Embed" ProgID="Visio.Drawing.15" ShapeID="_x0000_i1025" DrawAspect="Content" ObjectID="_1579427198" r:id="rId10"/>
        </w:object>
      </w:r>
    </w:p>
    <w:p w:rsidR="00B64489" w:rsidRPr="00D1150F" w:rsidRDefault="00B64489" w:rsidP="00011A9F">
      <w:pPr>
        <w:rPr>
          <w:lang w:val="cs-CZ"/>
        </w:rPr>
      </w:pPr>
      <w:r w:rsidRPr="00D1150F">
        <w:rPr>
          <w:lang w:val="cs-CZ"/>
        </w:rPr>
        <w:lastRenderedPageBreak/>
        <w:t xml:space="preserve">Tiskové sestavy a grafický reporting je řešen v samostatných aplikacích a je možné je generovat aplikačně či je publikovat </w:t>
      </w:r>
      <w:r w:rsidR="004779FC">
        <w:rPr>
          <w:lang w:val="cs-CZ"/>
        </w:rPr>
        <w:t>n</w:t>
      </w:r>
      <w:r w:rsidRPr="00D1150F">
        <w:rPr>
          <w:lang w:val="cs-CZ"/>
        </w:rPr>
        <w:t>a webovém serveru.</w:t>
      </w:r>
    </w:p>
    <w:p w:rsidR="00B64489" w:rsidRPr="00D1150F" w:rsidRDefault="00B64489" w:rsidP="00011A9F">
      <w:pPr>
        <w:rPr>
          <w:lang w:val="cs-CZ"/>
        </w:rPr>
      </w:pPr>
      <w:r w:rsidRPr="00D1150F">
        <w:rPr>
          <w:lang w:val="cs-CZ"/>
        </w:rPr>
        <w:object w:dxaOrig="6555" w:dyaOrig="5805">
          <v:shape id="_x0000_i1026" type="#_x0000_t75" style="width:327.75pt;height:290.25pt" o:ole="">
            <v:imagedata r:id="rId11" o:title=""/>
          </v:shape>
          <o:OLEObject Type="Embed" ProgID="Visio.Drawing.15" ShapeID="_x0000_i1026" DrawAspect="Content" ObjectID="_1579427199" r:id="rId12"/>
        </w:object>
      </w:r>
    </w:p>
    <w:p w:rsidR="0049501F" w:rsidRPr="00D1150F" w:rsidRDefault="00B64489" w:rsidP="00011A9F">
      <w:pPr>
        <w:rPr>
          <w:lang w:val="cs-CZ"/>
        </w:rPr>
      </w:pPr>
      <w:r w:rsidRPr="00D1150F">
        <w:rPr>
          <w:lang w:val="cs-CZ"/>
        </w:rPr>
        <w:t xml:space="preserve">Z bezpečnostních důvodů se předpokládá, že webový server a aplikační server je provozován na stejném </w:t>
      </w:r>
      <w:r w:rsidR="0049501F" w:rsidRPr="00D1150F">
        <w:rPr>
          <w:lang w:val="cs-CZ"/>
        </w:rPr>
        <w:t>serveru</w:t>
      </w:r>
      <w:r w:rsidRPr="00D1150F">
        <w:rPr>
          <w:lang w:val="cs-CZ"/>
        </w:rPr>
        <w:t>.</w:t>
      </w:r>
    </w:p>
    <w:p w:rsidR="002F5E2A" w:rsidRPr="00D1150F" w:rsidRDefault="000252CF" w:rsidP="00011A9F">
      <w:pPr>
        <w:rPr>
          <w:lang w:val="cs-CZ"/>
        </w:rPr>
      </w:pPr>
      <w:r w:rsidRPr="00D1150F">
        <w:rPr>
          <w:lang w:val="cs-CZ"/>
        </w:rPr>
        <w:t>Aktualizace probíhají jen na straně apl</w:t>
      </w:r>
      <w:r w:rsidR="004779FC">
        <w:rPr>
          <w:lang w:val="cs-CZ"/>
        </w:rPr>
        <w:t>i</w:t>
      </w:r>
      <w:r w:rsidRPr="00D1150F">
        <w:rPr>
          <w:lang w:val="cs-CZ"/>
        </w:rPr>
        <w:t>kačního serveru. Klientské aplikace se aktualizují automaticky.</w:t>
      </w:r>
    </w:p>
    <w:p w:rsidR="002732E6" w:rsidRPr="00D1150F" w:rsidRDefault="00F87DB5" w:rsidP="002732E6">
      <w:pPr>
        <w:pStyle w:val="PTTlv2"/>
      </w:pPr>
      <w:bookmarkStart w:id="9" w:name="_Toc500805484"/>
      <w:r w:rsidRPr="00D1150F">
        <w:t>Popis funkčno</w:t>
      </w:r>
      <w:r w:rsidR="004779FC">
        <w:t>s</w:t>
      </w:r>
      <w:r w:rsidRPr="00D1150F">
        <w:t>ti</w:t>
      </w:r>
      <w:bookmarkEnd w:id="9"/>
    </w:p>
    <w:p w:rsidR="001F1676" w:rsidRPr="00D1150F" w:rsidRDefault="000252CF" w:rsidP="00441C27">
      <w:pPr>
        <w:rPr>
          <w:lang w:val="cs-CZ"/>
        </w:rPr>
      </w:pPr>
      <w:r w:rsidRPr="00D1150F">
        <w:rPr>
          <w:lang w:val="cs-CZ"/>
        </w:rPr>
        <w:t xml:space="preserve">Základní funkčnost nutná pro splnění agendy </w:t>
      </w:r>
      <w:r w:rsidR="001F1676" w:rsidRPr="00D1150F">
        <w:rPr>
          <w:lang w:val="cs-CZ"/>
        </w:rPr>
        <w:t>evidence pohledávek černých pasažérů, životního cyklu pohledávek a pokutových bloků revizorů: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Evidence černých pasažérů – historická data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 xml:space="preserve">Evidence </w:t>
      </w:r>
      <w:proofErr w:type="spellStart"/>
      <w:r w:rsidRPr="00D1150F">
        <w:rPr>
          <w:lang w:val="cs-CZ"/>
        </w:rPr>
        <w:t>hlášenek</w:t>
      </w:r>
      <w:proofErr w:type="spellEnd"/>
      <w:r w:rsidRPr="00D1150F">
        <w:rPr>
          <w:lang w:val="cs-CZ"/>
        </w:rPr>
        <w:t xml:space="preserve"> – historická data</w:t>
      </w:r>
      <w:r w:rsidR="00A4243E">
        <w:rPr>
          <w:lang w:val="cs-CZ"/>
        </w:rPr>
        <w:t xml:space="preserve"> (včetně fází, nákladů, plateb, zaúčtování a soudů)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Evidence příplatků a plateb – historická data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Evidence revizorů – historická data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Evidence pokutových bloků a jejich administrace – historická data</w:t>
      </w:r>
    </w:p>
    <w:p w:rsidR="001F1676" w:rsidRPr="00D1150F" w:rsidRDefault="001F1676" w:rsidP="001F1676">
      <w:pPr>
        <w:rPr>
          <w:lang w:val="cs-CZ"/>
        </w:rPr>
      </w:pPr>
      <w:r w:rsidRPr="00D1150F">
        <w:rPr>
          <w:lang w:val="cs-CZ"/>
        </w:rPr>
        <w:t>Procesy zajišťované aplikačně:</w:t>
      </w:r>
    </w:p>
    <w:p w:rsidR="001F1676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 xml:space="preserve">Hromadná změna stavů </w:t>
      </w:r>
      <w:proofErr w:type="spellStart"/>
      <w:r w:rsidRPr="00D1150F">
        <w:rPr>
          <w:lang w:val="cs-CZ"/>
        </w:rPr>
        <w:t>hlášenek</w:t>
      </w:r>
      <w:proofErr w:type="spellEnd"/>
    </w:p>
    <w:p w:rsidR="00A4243E" w:rsidRPr="00A4243E" w:rsidRDefault="00A4243E" w:rsidP="00A4243E">
      <w:pPr>
        <w:pStyle w:val="Odstavecseseznamem"/>
        <w:numPr>
          <w:ilvl w:val="0"/>
          <w:numId w:val="21"/>
        </w:numPr>
        <w:rPr>
          <w:lang w:val="cs-CZ"/>
        </w:rPr>
      </w:pPr>
      <w:r>
        <w:rPr>
          <w:lang w:val="cs-CZ"/>
        </w:rPr>
        <w:t>Hromadné zasílání upomínek podle filtrů (např. nezletilí, mladší 15 let apod.)</w:t>
      </w:r>
    </w:p>
    <w:p w:rsidR="001F1676" w:rsidRPr="00A4243E" w:rsidRDefault="001F1676" w:rsidP="00A4243E">
      <w:pPr>
        <w:pStyle w:val="Odstavecseseznamem"/>
        <w:numPr>
          <w:ilvl w:val="0"/>
          <w:numId w:val="21"/>
        </w:numPr>
        <w:rPr>
          <w:lang w:val="cs-CZ"/>
        </w:rPr>
      </w:pPr>
      <w:r w:rsidRPr="00A4243E">
        <w:rPr>
          <w:lang w:val="cs-CZ"/>
        </w:rPr>
        <w:lastRenderedPageBreak/>
        <w:t xml:space="preserve">Hromadná změna správců </w:t>
      </w:r>
      <w:proofErr w:type="spellStart"/>
      <w:r w:rsidR="00A4243E" w:rsidRPr="00A4243E">
        <w:rPr>
          <w:lang w:val="cs-CZ"/>
        </w:rPr>
        <w:t>hlášenek</w:t>
      </w:r>
      <w:proofErr w:type="spellEnd"/>
      <w:r w:rsidR="00A4243E" w:rsidRPr="00A4243E">
        <w:rPr>
          <w:lang w:val="cs-CZ"/>
        </w:rPr>
        <w:t xml:space="preserve"> spolu se souvisejícími reporty (doplňkové textové soubory, reporty)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 xml:space="preserve">Hromadné platby </w:t>
      </w:r>
      <w:proofErr w:type="spellStart"/>
      <w:r w:rsidRPr="00D1150F">
        <w:rPr>
          <w:lang w:val="cs-CZ"/>
        </w:rPr>
        <w:t>hlášenek</w:t>
      </w:r>
      <w:proofErr w:type="spellEnd"/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Odesílání informací o platbách do EET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proofErr w:type="spellStart"/>
      <w:r w:rsidRPr="00D1150F">
        <w:rPr>
          <w:lang w:val="cs-CZ"/>
        </w:rPr>
        <w:t>Anonymizace</w:t>
      </w:r>
      <w:proofErr w:type="spellEnd"/>
      <w:r w:rsidRPr="00D1150F">
        <w:rPr>
          <w:lang w:val="cs-CZ"/>
        </w:rPr>
        <w:t xml:space="preserve"> dat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Logování přístupu k osobním údajům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Tiskové sestavy</w:t>
      </w:r>
    </w:p>
    <w:p w:rsidR="00E06D5B" w:rsidRPr="00D1150F" w:rsidRDefault="00E06D5B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Měsíční uzávěrky</w:t>
      </w:r>
    </w:p>
    <w:p w:rsidR="001F1676" w:rsidRPr="00D1150F" w:rsidRDefault="001F1676" w:rsidP="001F1676">
      <w:pPr>
        <w:rPr>
          <w:lang w:val="cs-CZ"/>
        </w:rPr>
      </w:pPr>
      <w:r w:rsidRPr="00D1150F">
        <w:rPr>
          <w:lang w:val="cs-CZ"/>
        </w:rPr>
        <w:t>Pomocné nástroje, které jsou součástí nabízeného řešení:</w:t>
      </w:r>
    </w:p>
    <w:p w:rsidR="001F1676" w:rsidRPr="00D1150F" w:rsidRDefault="001F1676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 xml:space="preserve">Editor </w:t>
      </w:r>
      <w:r w:rsidR="00F57FD3" w:rsidRPr="00D1150F">
        <w:rPr>
          <w:lang w:val="cs-CZ"/>
        </w:rPr>
        <w:t>tiskových sestav</w:t>
      </w:r>
    </w:p>
    <w:p w:rsidR="00F57FD3" w:rsidRPr="00D1150F" w:rsidRDefault="00F57FD3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Editor grafických a interaktivních reportů</w:t>
      </w:r>
    </w:p>
    <w:p w:rsidR="00F57FD3" w:rsidRPr="00D1150F" w:rsidRDefault="00F57FD3" w:rsidP="001F1676">
      <w:pPr>
        <w:pStyle w:val="Odstavecseseznamem"/>
        <w:numPr>
          <w:ilvl w:val="0"/>
          <w:numId w:val="21"/>
        </w:numPr>
        <w:rPr>
          <w:lang w:val="cs-CZ"/>
        </w:rPr>
      </w:pPr>
      <w:r w:rsidRPr="00D1150F">
        <w:rPr>
          <w:lang w:val="cs-CZ"/>
        </w:rPr>
        <w:t>Webový nástroj pro zobrazování reportů</w:t>
      </w:r>
    </w:p>
    <w:p w:rsidR="00E06D5B" w:rsidRPr="00D1150F" w:rsidRDefault="00E06D5B" w:rsidP="00E06D5B">
      <w:pPr>
        <w:rPr>
          <w:lang w:val="cs-CZ"/>
        </w:rPr>
      </w:pPr>
      <w:r w:rsidRPr="00D1150F">
        <w:rPr>
          <w:lang w:val="cs-CZ"/>
        </w:rPr>
        <w:t>Reporting probíhá přímým vytěžováním dat z DB a nepodléhá procesu logování.</w:t>
      </w:r>
    </w:p>
    <w:p w:rsidR="002732E6" w:rsidRPr="00D1150F" w:rsidRDefault="002732E6" w:rsidP="002732E6">
      <w:pPr>
        <w:pStyle w:val="PTTlv2"/>
      </w:pPr>
      <w:bookmarkStart w:id="10" w:name="_Toc500805485"/>
      <w:r w:rsidRPr="00D1150F">
        <w:t>Napojení na EET</w:t>
      </w:r>
      <w:bookmarkEnd w:id="10"/>
    </w:p>
    <w:p w:rsidR="00441C27" w:rsidRPr="00D1150F" w:rsidRDefault="00441C27" w:rsidP="00441C27">
      <w:pPr>
        <w:rPr>
          <w:lang w:val="cs-CZ"/>
        </w:rPr>
      </w:pPr>
      <w:r w:rsidRPr="00D1150F">
        <w:rPr>
          <w:lang w:val="cs-CZ"/>
        </w:rPr>
        <w:t>SW se chová pro příjem hotovostních plateb na přepážce jako EET pokladna. Jsou implementovány dvě operace pro bezproblémové zpracování EET ze strany finanční správy:</w:t>
      </w:r>
    </w:p>
    <w:p w:rsidR="00441C27" w:rsidRPr="00D1150F" w:rsidRDefault="00441C27" w:rsidP="00441C27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>Odeslání informace o přijetí platby s jednotnou sazbou DPH</w:t>
      </w:r>
    </w:p>
    <w:p w:rsidR="00441C27" w:rsidRPr="00D1150F" w:rsidRDefault="00441C27" w:rsidP="00441C27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>Zrušení přijetí platby (např. pro případ původně špatného zadání platby)</w:t>
      </w:r>
    </w:p>
    <w:p w:rsidR="00A4243E" w:rsidRDefault="00A4243E" w:rsidP="00A4243E">
      <w:pPr>
        <w:rPr>
          <w:lang w:val="cs-CZ"/>
        </w:rPr>
      </w:pPr>
      <w:r>
        <w:rPr>
          <w:lang w:val="cs-CZ"/>
        </w:rPr>
        <w:t>Při nefunkčnosti připojení na server EET dostane uživatel o takové skutečnosti hlášení a odeslání zprávy se zařadí do fronty k pozdějšímu odeslání. Fronta se v případě nefunkčního spojení ukládá do databáze a uživatel si jo může prohlédnout. Frontu není možné v aplikaci editovat.</w:t>
      </w:r>
    </w:p>
    <w:p w:rsidR="00441C27" w:rsidRPr="00D1150F" w:rsidRDefault="00441C27" w:rsidP="00441C27">
      <w:pPr>
        <w:rPr>
          <w:lang w:val="cs-CZ"/>
        </w:rPr>
      </w:pPr>
      <w:r w:rsidRPr="00D1150F">
        <w:rPr>
          <w:lang w:val="cs-CZ"/>
        </w:rPr>
        <w:t>Jako pokladna vystupuje aplikační server.</w:t>
      </w:r>
    </w:p>
    <w:p w:rsidR="000252CF" w:rsidRDefault="000252CF" w:rsidP="00441C27">
      <w:pPr>
        <w:rPr>
          <w:lang w:val="cs-CZ"/>
        </w:rPr>
      </w:pPr>
      <w:r w:rsidRPr="00D1150F">
        <w:rPr>
          <w:lang w:val="cs-CZ"/>
        </w:rPr>
        <w:t>Potvrzovací kódy od finanční správy se ukládají do databáze a v souladu se zákonem jsou tisknuty na potvrzení o přijetí plateb.</w:t>
      </w:r>
    </w:p>
    <w:p w:rsidR="00A4243E" w:rsidRDefault="00A4243E" w:rsidP="00A4243E">
      <w:pPr>
        <w:rPr>
          <w:lang w:val="cs-CZ"/>
        </w:rPr>
      </w:pPr>
      <w:r>
        <w:rPr>
          <w:lang w:val="cs-CZ"/>
        </w:rPr>
        <w:t xml:space="preserve">Další funkčnosti napojení na EET, které jsou součástí nabízeného řešení a je možné je ze strany DP </w:t>
      </w:r>
      <w:proofErr w:type="spellStart"/>
      <w:r>
        <w:rPr>
          <w:lang w:val="cs-CZ"/>
        </w:rPr>
        <w:t>využív</w:t>
      </w:r>
      <w:proofErr w:type="spellEnd"/>
      <w:r>
        <w:rPr>
          <w:lang w:val="cs-CZ"/>
        </w:rPr>
        <w:t xml:space="preserve"> budoucnu:</w:t>
      </w:r>
    </w:p>
    <w:p w:rsidR="00A4243E" w:rsidRDefault="00A4243E" w:rsidP="00A4243E">
      <w:pPr>
        <w:pStyle w:val="Odstavecseseznamem"/>
        <w:numPr>
          <w:ilvl w:val="0"/>
          <w:numId w:val="20"/>
        </w:numPr>
        <w:rPr>
          <w:lang w:val="cs-CZ"/>
        </w:rPr>
      </w:pPr>
      <w:r>
        <w:rPr>
          <w:lang w:val="cs-CZ"/>
        </w:rPr>
        <w:t>Změna na systém více pokladen, kdy jedna přepážka = jedna pokladna</w:t>
      </w:r>
    </w:p>
    <w:p w:rsidR="00A4243E" w:rsidRDefault="00A4243E" w:rsidP="00A4243E">
      <w:pPr>
        <w:pStyle w:val="Odstavecseseznamem"/>
        <w:numPr>
          <w:ilvl w:val="0"/>
          <w:numId w:val="20"/>
        </w:numPr>
        <w:rPr>
          <w:lang w:val="cs-CZ"/>
        </w:rPr>
      </w:pPr>
      <w:r>
        <w:rPr>
          <w:lang w:val="cs-CZ"/>
        </w:rPr>
        <w:t>Při změně procesu vymáhání pohledávek je možné evidovat položky v různých sazbách DPH (např. poštovné a další náklady vymáhání)</w:t>
      </w:r>
    </w:p>
    <w:p w:rsidR="002732E6" w:rsidRPr="00D1150F" w:rsidRDefault="00A4243E" w:rsidP="002732E6">
      <w:pPr>
        <w:pStyle w:val="PTTlv2"/>
      </w:pPr>
      <w:r w:rsidRPr="00A4243E">
        <w:t>Při využití více sazeb DPH je systém připraven na odesílání zpráv v odpovídajícím formátu</w:t>
      </w:r>
      <w:bookmarkStart w:id="11" w:name="_Toc500805486"/>
      <w:r w:rsidR="005F44AD">
        <w:t xml:space="preserve"> </w:t>
      </w:r>
      <w:r w:rsidR="002732E6" w:rsidRPr="00D1150F">
        <w:t>Ochrana osobních údajů</w:t>
      </w:r>
      <w:bookmarkEnd w:id="11"/>
    </w:p>
    <w:p w:rsidR="0049501F" w:rsidRPr="00D1150F" w:rsidRDefault="0049501F" w:rsidP="0049501F">
      <w:pPr>
        <w:rPr>
          <w:lang w:val="cs-CZ"/>
        </w:rPr>
      </w:pPr>
      <w:r w:rsidRPr="00D1150F">
        <w:rPr>
          <w:lang w:val="cs-CZ"/>
        </w:rPr>
        <w:t>Veškeré informace podléhající ochraně osobních údajů (data o neplatičích, a revizorech) podléhají při načítání = poskytování uživateli procesu logování.</w:t>
      </w:r>
    </w:p>
    <w:p w:rsidR="00441C27" w:rsidRPr="00D1150F" w:rsidRDefault="00441C27" w:rsidP="0049501F">
      <w:pPr>
        <w:rPr>
          <w:lang w:val="cs-CZ"/>
        </w:rPr>
      </w:pPr>
      <w:r w:rsidRPr="00D1150F">
        <w:rPr>
          <w:lang w:val="cs-CZ"/>
        </w:rPr>
        <w:lastRenderedPageBreak/>
        <w:t>Aby byla naplněna litera zá</w:t>
      </w:r>
      <w:r w:rsidR="004779FC">
        <w:rPr>
          <w:lang w:val="cs-CZ"/>
        </w:rPr>
        <w:t>k</w:t>
      </w:r>
      <w:r w:rsidRPr="00D1150F">
        <w:rPr>
          <w:lang w:val="cs-CZ"/>
        </w:rPr>
        <w:t>o</w:t>
      </w:r>
      <w:r w:rsidR="004779FC">
        <w:rPr>
          <w:lang w:val="cs-CZ"/>
        </w:rPr>
        <w:t>n</w:t>
      </w:r>
      <w:r w:rsidRPr="00D1150F">
        <w:rPr>
          <w:lang w:val="cs-CZ"/>
        </w:rPr>
        <w:t>a o ochraně osobních údajů, logují se tedy i informace zobrazené v seznamu neplatičů. Pokud tedy dojde k hledání klíčového slova „</w:t>
      </w:r>
      <w:proofErr w:type="spellStart"/>
      <w:r w:rsidRPr="00D1150F">
        <w:rPr>
          <w:lang w:val="cs-CZ"/>
        </w:rPr>
        <w:t>pa</w:t>
      </w:r>
      <w:proofErr w:type="spellEnd"/>
      <w:r w:rsidRPr="00D1150F">
        <w:rPr>
          <w:lang w:val="cs-CZ"/>
        </w:rPr>
        <w:t>“, tak se do logu může zapsat obrovské množství dat.</w:t>
      </w:r>
    </w:p>
    <w:p w:rsidR="00441C27" w:rsidRPr="00D1150F" w:rsidRDefault="00441C27" w:rsidP="0049501F">
      <w:pPr>
        <w:rPr>
          <w:lang w:val="cs-CZ"/>
        </w:rPr>
      </w:pPr>
      <w:r w:rsidRPr="00D1150F">
        <w:rPr>
          <w:lang w:val="cs-CZ"/>
        </w:rPr>
        <w:t>SW obsahuje i funkci „</w:t>
      </w:r>
      <w:proofErr w:type="spellStart"/>
      <w:r w:rsidRPr="00D1150F">
        <w:rPr>
          <w:lang w:val="cs-CZ"/>
        </w:rPr>
        <w:t>anonymizace</w:t>
      </w:r>
      <w:proofErr w:type="spellEnd"/>
      <w:r w:rsidRPr="00D1150F">
        <w:rPr>
          <w:lang w:val="cs-CZ"/>
        </w:rPr>
        <w:t xml:space="preserve">“, která plní „právo být zapomenut“. Pro každou fázi vymáhání pohledávek se definuje délka období, po kterém data o </w:t>
      </w:r>
      <w:proofErr w:type="spellStart"/>
      <w:r w:rsidRPr="00D1150F">
        <w:rPr>
          <w:lang w:val="cs-CZ"/>
        </w:rPr>
        <w:t>hlášence</w:t>
      </w:r>
      <w:proofErr w:type="spellEnd"/>
      <w:r w:rsidRPr="00D1150F">
        <w:rPr>
          <w:lang w:val="cs-CZ"/>
        </w:rPr>
        <w:t xml:space="preserve"> a osobních údajích neplatiče virtuálně skartují.</w:t>
      </w:r>
    </w:p>
    <w:p w:rsidR="00441C27" w:rsidRPr="00D1150F" w:rsidRDefault="00441C27" w:rsidP="0049501F">
      <w:pPr>
        <w:rPr>
          <w:lang w:val="cs-CZ"/>
        </w:rPr>
      </w:pPr>
      <w:r w:rsidRPr="00D1150F">
        <w:rPr>
          <w:lang w:val="cs-CZ"/>
        </w:rPr>
        <w:t>Skartace probíhá následujícím způsobem:</w:t>
      </w:r>
    </w:p>
    <w:p w:rsidR="00441C27" w:rsidRPr="00D1150F" w:rsidRDefault="00441C27" w:rsidP="00441C27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 xml:space="preserve">Všechny </w:t>
      </w:r>
      <w:proofErr w:type="spellStart"/>
      <w:r w:rsidRPr="00D1150F">
        <w:rPr>
          <w:lang w:val="cs-CZ"/>
        </w:rPr>
        <w:t>hlášenky</w:t>
      </w:r>
      <w:proofErr w:type="spellEnd"/>
      <w:r w:rsidRPr="00D1150F">
        <w:rPr>
          <w:lang w:val="cs-CZ"/>
        </w:rPr>
        <w:t xml:space="preserve"> odpovídající kritériím se odpojí od nepla</w:t>
      </w:r>
      <w:r w:rsidR="004B1111" w:rsidRPr="00D1150F">
        <w:rPr>
          <w:lang w:val="cs-CZ"/>
        </w:rPr>
        <w:t xml:space="preserve">tiče (od tohoto momentu není </w:t>
      </w:r>
      <w:proofErr w:type="spellStart"/>
      <w:r w:rsidR="004B1111" w:rsidRPr="00D1150F">
        <w:rPr>
          <w:lang w:val="cs-CZ"/>
        </w:rPr>
        <w:t>dohledatelné</w:t>
      </w:r>
      <w:proofErr w:type="spellEnd"/>
      <w:r w:rsidR="004B1111" w:rsidRPr="00D1150F">
        <w:rPr>
          <w:lang w:val="cs-CZ"/>
        </w:rPr>
        <w:t>, komu daný dluh připadal a kdo jej zaplatil</w:t>
      </w:r>
      <w:r w:rsidRPr="00D1150F">
        <w:rPr>
          <w:lang w:val="cs-CZ"/>
        </w:rPr>
        <w:t>)</w:t>
      </w:r>
    </w:p>
    <w:p w:rsidR="004B1111" w:rsidRPr="00D1150F" w:rsidRDefault="004B1111" w:rsidP="00441C27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 xml:space="preserve">Neplatiči, kterým nezbývá žádná </w:t>
      </w:r>
      <w:proofErr w:type="spellStart"/>
      <w:r w:rsidRPr="00D1150F">
        <w:rPr>
          <w:lang w:val="cs-CZ"/>
        </w:rPr>
        <w:t>hlášenka</w:t>
      </w:r>
      <w:proofErr w:type="spellEnd"/>
      <w:r w:rsidRPr="00D1150F">
        <w:rPr>
          <w:lang w:val="cs-CZ"/>
        </w:rPr>
        <w:t xml:space="preserve"> = dluh se z databáze zcela smažou</w:t>
      </w:r>
    </w:p>
    <w:p w:rsidR="004B1111" w:rsidRPr="00D1150F" w:rsidRDefault="004B1111" w:rsidP="00441C27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>Logy týkající se mazaných neplatičů jsou také smazány (i logy obsahují osobní data, podléhající „právu být zapomenut“)</w:t>
      </w:r>
    </w:p>
    <w:p w:rsidR="00F87DB5" w:rsidRPr="00D1150F" w:rsidRDefault="00F87DB5" w:rsidP="00F87DB5">
      <w:pPr>
        <w:pStyle w:val="PTTlv2"/>
      </w:pPr>
      <w:bookmarkStart w:id="12" w:name="_Toc500805487"/>
      <w:r w:rsidRPr="00D1150F">
        <w:t>Servisní podpora</w:t>
      </w:r>
      <w:bookmarkEnd w:id="12"/>
    </w:p>
    <w:p w:rsidR="00117569" w:rsidRPr="00D1150F" w:rsidRDefault="00D90C21" w:rsidP="00D90C21">
      <w:pPr>
        <w:rPr>
          <w:lang w:val="cs-CZ"/>
        </w:rPr>
      </w:pPr>
      <w:r w:rsidRPr="00D1150F">
        <w:rPr>
          <w:lang w:val="cs-CZ"/>
        </w:rPr>
        <w:t xml:space="preserve">Servisní podpora </w:t>
      </w:r>
      <w:r w:rsidR="00117569" w:rsidRPr="00D1150F">
        <w:rPr>
          <w:lang w:val="cs-CZ"/>
        </w:rPr>
        <w:t>je poskytována telefonicky a elektronicky a je následujících parametrů:</w:t>
      </w:r>
    </w:p>
    <w:p w:rsidR="00117569" w:rsidRPr="00D1150F" w:rsidRDefault="00117569" w:rsidP="00117569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>Telefonická podpora je v pracovní dny v časech od 8.00 do 16.00</w:t>
      </w:r>
    </w:p>
    <w:p w:rsidR="00117569" w:rsidRPr="00D1150F" w:rsidRDefault="00117569" w:rsidP="00117569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>Obsahem telefonické podpory je poskytování instrukcí týkajících se obsluhy SW</w:t>
      </w:r>
    </w:p>
    <w:p w:rsidR="00117569" w:rsidRPr="00D1150F" w:rsidRDefault="00117569" w:rsidP="00117569">
      <w:pPr>
        <w:pStyle w:val="Odstavecseseznamem"/>
        <w:numPr>
          <w:ilvl w:val="0"/>
          <w:numId w:val="20"/>
        </w:numPr>
        <w:rPr>
          <w:lang w:val="cs-CZ"/>
        </w:rPr>
      </w:pPr>
      <w:r w:rsidRPr="00D1150F">
        <w:rPr>
          <w:lang w:val="cs-CZ"/>
        </w:rPr>
        <w:t xml:space="preserve">Zřízení přístupu do internetového </w:t>
      </w:r>
      <w:proofErr w:type="spellStart"/>
      <w:r w:rsidRPr="00D1150F">
        <w:rPr>
          <w:lang w:val="cs-CZ"/>
        </w:rPr>
        <w:t>servicedesku</w:t>
      </w:r>
      <w:proofErr w:type="spellEnd"/>
      <w:r w:rsidRPr="00D1150F">
        <w:rPr>
          <w:lang w:val="cs-CZ"/>
        </w:rPr>
        <w:t>, v jehož rámci probíhá přijímání a vyřizování hlášení o vadách a závadách systému, zodpovíd</w:t>
      </w:r>
      <w:r w:rsidR="00875381" w:rsidRPr="00D1150F">
        <w:rPr>
          <w:lang w:val="cs-CZ"/>
        </w:rPr>
        <w:t>ání</w:t>
      </w:r>
      <w:r w:rsidRPr="00D1150F">
        <w:rPr>
          <w:lang w:val="cs-CZ"/>
        </w:rPr>
        <w:t xml:space="preserve"> položen</w:t>
      </w:r>
      <w:r w:rsidR="00875381" w:rsidRPr="00D1150F">
        <w:rPr>
          <w:lang w:val="cs-CZ"/>
        </w:rPr>
        <w:t>ých</w:t>
      </w:r>
      <w:r w:rsidRPr="00D1150F">
        <w:rPr>
          <w:lang w:val="cs-CZ"/>
        </w:rPr>
        <w:t xml:space="preserve"> otáz</w:t>
      </w:r>
      <w:r w:rsidR="00875381" w:rsidRPr="00D1150F">
        <w:rPr>
          <w:lang w:val="cs-CZ"/>
        </w:rPr>
        <w:t>e</w:t>
      </w:r>
      <w:r w:rsidRPr="00D1150F">
        <w:rPr>
          <w:lang w:val="cs-CZ"/>
        </w:rPr>
        <w:t xml:space="preserve">k týkajících se jakýchkoliv závad nebo dotazů na instrukce týkající se obsluhy </w:t>
      </w:r>
      <w:r w:rsidR="00875381" w:rsidRPr="00D1150F">
        <w:rPr>
          <w:lang w:val="cs-CZ"/>
        </w:rPr>
        <w:t>SW</w:t>
      </w:r>
    </w:p>
    <w:p w:rsidR="00F87DB5" w:rsidRPr="00D1150F" w:rsidRDefault="00F87DB5" w:rsidP="00F87DB5">
      <w:pPr>
        <w:pStyle w:val="PTTlv2"/>
      </w:pPr>
      <w:bookmarkStart w:id="13" w:name="_Toc500805488"/>
      <w:r w:rsidRPr="00D1150F">
        <w:t>Cena</w:t>
      </w:r>
      <w:bookmarkEnd w:id="13"/>
    </w:p>
    <w:p w:rsidR="00BF14BD" w:rsidRPr="00D1150F" w:rsidRDefault="00BF14BD" w:rsidP="00BF14BD">
      <w:pPr>
        <w:rPr>
          <w:lang w:val="cs-CZ"/>
        </w:rPr>
      </w:pPr>
      <w:r w:rsidRPr="00D1150F">
        <w:rPr>
          <w:lang w:val="cs-CZ"/>
        </w:rPr>
        <w:t>Nabízená konečná cena za celé řešení je uvedena v následující tabulce.</w:t>
      </w:r>
    </w:p>
    <w:tbl>
      <w:tblPr>
        <w:tblStyle w:val="Mkatabulky"/>
        <w:tblW w:w="9298" w:type="dxa"/>
        <w:tblLook w:val="04A0"/>
      </w:tblPr>
      <w:tblGrid>
        <w:gridCol w:w="5552"/>
        <w:gridCol w:w="1673"/>
        <w:gridCol w:w="2073"/>
      </w:tblGrid>
      <w:tr w:rsidR="00BF14BD" w:rsidRPr="00D1150F" w:rsidTr="00441C27">
        <w:trPr>
          <w:trHeight w:val="627"/>
        </w:trPr>
        <w:tc>
          <w:tcPr>
            <w:tcW w:w="5552" w:type="dxa"/>
            <w:shd w:val="clear" w:color="auto" w:fill="F2F2F2" w:themeFill="background1" w:themeFillShade="F2"/>
          </w:tcPr>
          <w:p w:rsidR="00BF14BD" w:rsidRPr="00D1150F" w:rsidRDefault="00BF14BD" w:rsidP="00441C27">
            <w:pPr>
              <w:pStyle w:val="Zkladntext"/>
              <w:ind w:firstLine="0"/>
            </w:pPr>
            <w:r w:rsidRPr="00D1150F">
              <w:t>Název položky</w:t>
            </w:r>
          </w:p>
        </w:tc>
        <w:tc>
          <w:tcPr>
            <w:tcW w:w="1673" w:type="dxa"/>
            <w:shd w:val="clear" w:color="auto" w:fill="F2F2F2" w:themeFill="background1" w:themeFillShade="F2"/>
          </w:tcPr>
          <w:p w:rsidR="00BF14BD" w:rsidRPr="00D1150F" w:rsidRDefault="00BF14BD" w:rsidP="00441C27">
            <w:pPr>
              <w:pStyle w:val="Zkladntext"/>
              <w:ind w:firstLine="0"/>
              <w:jc w:val="right"/>
            </w:pPr>
            <w:r w:rsidRPr="00D1150F">
              <w:t>Dodavatel</w:t>
            </w:r>
          </w:p>
        </w:tc>
        <w:tc>
          <w:tcPr>
            <w:tcW w:w="2073" w:type="dxa"/>
            <w:shd w:val="clear" w:color="auto" w:fill="F2F2F2" w:themeFill="background1" w:themeFillShade="F2"/>
          </w:tcPr>
          <w:p w:rsidR="00BF14BD" w:rsidRPr="00D1150F" w:rsidRDefault="00BF14BD" w:rsidP="00441C27">
            <w:pPr>
              <w:pStyle w:val="Zkladntext"/>
              <w:ind w:firstLine="0"/>
              <w:jc w:val="right"/>
            </w:pPr>
            <w:r w:rsidRPr="00D1150F">
              <w:t>Cena bez DPH v CZK</w:t>
            </w:r>
          </w:p>
        </w:tc>
      </w:tr>
      <w:tr w:rsidR="00BF14BD" w:rsidRPr="00D1150F" w:rsidTr="00441C27">
        <w:tc>
          <w:tcPr>
            <w:tcW w:w="5552" w:type="dxa"/>
          </w:tcPr>
          <w:p w:rsidR="00BF14BD" w:rsidRPr="00D1150F" w:rsidRDefault="00BF14BD" w:rsidP="00441C27">
            <w:pPr>
              <w:pStyle w:val="Zkladntext"/>
              <w:ind w:firstLine="0"/>
            </w:pPr>
            <w:r w:rsidRPr="00D1150F">
              <w:t xml:space="preserve">Licence k SW </w:t>
            </w:r>
            <w:proofErr w:type="spellStart"/>
            <w:r w:rsidRPr="00D1150F">
              <w:t>Stowaways</w:t>
            </w:r>
            <w:proofErr w:type="spellEnd"/>
          </w:p>
        </w:tc>
        <w:tc>
          <w:tcPr>
            <w:tcW w:w="1673" w:type="dxa"/>
          </w:tcPr>
          <w:p w:rsidR="00BF14BD" w:rsidRPr="00D1150F" w:rsidRDefault="00BF14BD" w:rsidP="00441C27">
            <w:pPr>
              <w:pStyle w:val="Zkladntext"/>
              <w:ind w:firstLine="0"/>
              <w:jc w:val="right"/>
            </w:pPr>
            <w:r w:rsidRPr="00D1150F">
              <w:t>PTT Software</w:t>
            </w:r>
          </w:p>
        </w:tc>
        <w:tc>
          <w:tcPr>
            <w:tcW w:w="2073" w:type="dxa"/>
          </w:tcPr>
          <w:p w:rsidR="00BF14BD" w:rsidRPr="00D1150F" w:rsidRDefault="00BF14BD" w:rsidP="00441C27">
            <w:pPr>
              <w:jc w:val="right"/>
              <w:rPr>
                <w:bCs/>
                <w:color w:val="000000"/>
              </w:rPr>
            </w:pPr>
            <w:r w:rsidRPr="00D1150F">
              <w:rPr>
                <w:bCs/>
                <w:color w:val="000000"/>
              </w:rPr>
              <w:t>100 000</w:t>
            </w:r>
          </w:p>
        </w:tc>
      </w:tr>
      <w:tr w:rsidR="00BF14BD" w:rsidRPr="00D1150F" w:rsidTr="00441C27">
        <w:tc>
          <w:tcPr>
            <w:tcW w:w="5552" w:type="dxa"/>
          </w:tcPr>
          <w:p w:rsidR="00BF14BD" w:rsidRPr="00D1150F" w:rsidRDefault="00BF14BD" w:rsidP="00BF14BD">
            <w:pPr>
              <w:pStyle w:val="Zkladntext"/>
              <w:ind w:firstLine="0"/>
            </w:pPr>
            <w:r w:rsidRPr="00D1150F">
              <w:t>Instalace</w:t>
            </w:r>
          </w:p>
        </w:tc>
        <w:tc>
          <w:tcPr>
            <w:tcW w:w="1673" w:type="dxa"/>
          </w:tcPr>
          <w:p w:rsidR="00BF14BD" w:rsidRPr="00D1150F" w:rsidRDefault="00BF14BD" w:rsidP="00441C27">
            <w:pPr>
              <w:pStyle w:val="Zkladntext"/>
              <w:ind w:firstLine="0"/>
              <w:jc w:val="right"/>
            </w:pPr>
            <w:r w:rsidRPr="00D1150F">
              <w:t>PTT Software</w:t>
            </w:r>
          </w:p>
        </w:tc>
        <w:tc>
          <w:tcPr>
            <w:tcW w:w="2073" w:type="dxa"/>
          </w:tcPr>
          <w:p w:rsidR="00BF14BD" w:rsidRPr="00D1150F" w:rsidRDefault="00BF14BD" w:rsidP="00441C27">
            <w:pPr>
              <w:jc w:val="right"/>
              <w:rPr>
                <w:bCs/>
                <w:color w:val="000000"/>
              </w:rPr>
            </w:pPr>
            <w:r w:rsidRPr="00D1150F">
              <w:rPr>
                <w:bCs/>
                <w:color w:val="000000"/>
              </w:rPr>
              <w:t>40 000</w:t>
            </w:r>
          </w:p>
        </w:tc>
      </w:tr>
      <w:tr w:rsidR="00BF14BD" w:rsidRPr="00D1150F" w:rsidTr="00441C27">
        <w:tc>
          <w:tcPr>
            <w:tcW w:w="5552" w:type="dxa"/>
          </w:tcPr>
          <w:p w:rsidR="00BF14BD" w:rsidRPr="00D1150F" w:rsidRDefault="00BF14BD" w:rsidP="00441C27">
            <w:pPr>
              <w:pStyle w:val="Zkladntext"/>
              <w:ind w:firstLine="0"/>
            </w:pPr>
            <w:r w:rsidRPr="00D1150F">
              <w:t>Školení zaměstnanců</w:t>
            </w:r>
          </w:p>
        </w:tc>
        <w:tc>
          <w:tcPr>
            <w:tcW w:w="1673" w:type="dxa"/>
          </w:tcPr>
          <w:p w:rsidR="00BF14BD" w:rsidRPr="00D1150F" w:rsidRDefault="00BF14BD" w:rsidP="00441C27">
            <w:pPr>
              <w:pStyle w:val="Zkladntext"/>
              <w:ind w:firstLine="0"/>
              <w:jc w:val="right"/>
            </w:pPr>
            <w:r w:rsidRPr="00D1150F">
              <w:t>PTT Software</w:t>
            </w:r>
          </w:p>
        </w:tc>
        <w:tc>
          <w:tcPr>
            <w:tcW w:w="2073" w:type="dxa"/>
          </w:tcPr>
          <w:p w:rsidR="00BF14BD" w:rsidRPr="00D1150F" w:rsidRDefault="00BF14BD" w:rsidP="00441C27">
            <w:pPr>
              <w:jc w:val="right"/>
              <w:rPr>
                <w:bCs/>
                <w:color w:val="000000"/>
              </w:rPr>
            </w:pPr>
            <w:r w:rsidRPr="00D1150F">
              <w:rPr>
                <w:bCs/>
                <w:color w:val="000000"/>
              </w:rPr>
              <w:t>20 000</w:t>
            </w:r>
          </w:p>
        </w:tc>
      </w:tr>
      <w:tr w:rsidR="00BF14BD" w:rsidRPr="00D1150F" w:rsidTr="00441C27">
        <w:tc>
          <w:tcPr>
            <w:tcW w:w="5552" w:type="dxa"/>
          </w:tcPr>
          <w:p w:rsidR="00BF14BD" w:rsidRPr="00D1150F" w:rsidRDefault="00BF14BD" w:rsidP="00441C27">
            <w:pPr>
              <w:pStyle w:val="Zkladntext"/>
              <w:ind w:firstLine="0"/>
            </w:pPr>
            <w:r w:rsidRPr="00D1150F">
              <w:t>Uživatelská podpora po dobu 1 roku</w:t>
            </w:r>
          </w:p>
        </w:tc>
        <w:tc>
          <w:tcPr>
            <w:tcW w:w="1673" w:type="dxa"/>
          </w:tcPr>
          <w:p w:rsidR="00BF14BD" w:rsidRPr="00D1150F" w:rsidRDefault="00BF14BD" w:rsidP="00441C27">
            <w:pPr>
              <w:pStyle w:val="Zkladntext"/>
              <w:ind w:firstLine="0"/>
              <w:jc w:val="right"/>
            </w:pPr>
            <w:r w:rsidRPr="00D1150F">
              <w:t>PTT Software</w:t>
            </w:r>
          </w:p>
        </w:tc>
        <w:tc>
          <w:tcPr>
            <w:tcW w:w="2073" w:type="dxa"/>
          </w:tcPr>
          <w:p w:rsidR="00BF14BD" w:rsidRPr="00D1150F" w:rsidRDefault="00BF14BD" w:rsidP="00441C27">
            <w:pPr>
              <w:jc w:val="right"/>
              <w:rPr>
                <w:bCs/>
                <w:color w:val="000000"/>
              </w:rPr>
            </w:pPr>
            <w:r w:rsidRPr="00D1150F">
              <w:rPr>
                <w:bCs/>
                <w:color w:val="000000"/>
              </w:rPr>
              <w:t>zdarma</w:t>
            </w:r>
          </w:p>
        </w:tc>
      </w:tr>
    </w:tbl>
    <w:p w:rsidR="000F2546" w:rsidRPr="00D1150F" w:rsidRDefault="000F2546" w:rsidP="000F2546">
      <w:pPr>
        <w:rPr>
          <w:lang w:val="cs-CZ"/>
        </w:rPr>
      </w:pPr>
    </w:p>
    <w:p w:rsidR="00496F51" w:rsidRPr="00D1150F" w:rsidRDefault="00496F51" w:rsidP="00496F51">
      <w:pPr>
        <w:pStyle w:val="PTTlv1"/>
      </w:pPr>
      <w:bookmarkStart w:id="14" w:name="_Toc500805489"/>
      <w:r w:rsidRPr="00D1150F">
        <w:t>Záruka</w:t>
      </w:r>
      <w:bookmarkEnd w:id="14"/>
    </w:p>
    <w:p w:rsidR="00F87DB5" w:rsidRPr="00D1150F" w:rsidRDefault="00F87DB5" w:rsidP="00F87DB5">
      <w:pPr>
        <w:rPr>
          <w:lang w:val="cs-CZ"/>
        </w:rPr>
      </w:pPr>
      <w:r w:rsidRPr="00D1150F">
        <w:rPr>
          <w:lang w:val="cs-CZ"/>
        </w:rPr>
        <w:t xml:space="preserve">Na poskytnutý SW a související služby v rámci nabízeného řešení se vztahuje záruka </w:t>
      </w:r>
      <w:r w:rsidR="002A4826" w:rsidRPr="00D1150F">
        <w:rPr>
          <w:lang w:val="cs-CZ"/>
        </w:rPr>
        <w:t>2</w:t>
      </w:r>
      <w:r w:rsidRPr="00D1150F">
        <w:rPr>
          <w:lang w:val="cs-CZ"/>
        </w:rPr>
        <w:t xml:space="preserve"> rok</w:t>
      </w:r>
      <w:r w:rsidR="002A4826" w:rsidRPr="00D1150F">
        <w:rPr>
          <w:lang w:val="cs-CZ"/>
        </w:rPr>
        <w:t>y</w:t>
      </w:r>
      <w:r w:rsidRPr="00D1150F">
        <w:rPr>
          <w:lang w:val="cs-CZ"/>
        </w:rPr>
        <w:t xml:space="preserve"> od písemného předání systému zákazníkovi.</w:t>
      </w:r>
    </w:p>
    <w:p w:rsidR="00496F51" w:rsidRPr="00D1150F" w:rsidRDefault="00496F51" w:rsidP="00496F51">
      <w:pPr>
        <w:pStyle w:val="PTTlv1"/>
      </w:pPr>
      <w:bookmarkStart w:id="15" w:name="_Toc500805490"/>
      <w:r w:rsidRPr="00D1150F">
        <w:t>Platnost nabídky</w:t>
      </w:r>
      <w:bookmarkEnd w:id="15"/>
    </w:p>
    <w:p w:rsidR="00F87DB5" w:rsidRPr="00D1150F" w:rsidRDefault="00F87DB5" w:rsidP="00F87DB5">
      <w:pPr>
        <w:rPr>
          <w:lang w:val="cs-CZ"/>
        </w:rPr>
      </w:pPr>
      <w:r w:rsidRPr="00D1150F">
        <w:rPr>
          <w:lang w:val="cs-CZ"/>
        </w:rPr>
        <w:lastRenderedPageBreak/>
        <w:t xml:space="preserve">Nabídka je platná do </w:t>
      </w:r>
      <w:proofErr w:type="gramStart"/>
      <w:r w:rsidRPr="00D1150F">
        <w:rPr>
          <w:lang w:val="cs-CZ"/>
        </w:rPr>
        <w:t>31.1.2018</w:t>
      </w:r>
      <w:proofErr w:type="gramEnd"/>
    </w:p>
    <w:p w:rsidR="00496F51" w:rsidRPr="00D1150F" w:rsidRDefault="00496F51" w:rsidP="00496F51">
      <w:pPr>
        <w:pStyle w:val="PTTlv1"/>
      </w:pPr>
      <w:bookmarkStart w:id="16" w:name="_Toc500805491"/>
      <w:r w:rsidRPr="00D1150F">
        <w:t>Termíny dodání</w:t>
      </w:r>
      <w:bookmarkEnd w:id="16"/>
    </w:p>
    <w:p w:rsidR="00F87DB5" w:rsidRPr="00D1150F" w:rsidRDefault="00F87DB5" w:rsidP="00F87DB5">
      <w:pPr>
        <w:rPr>
          <w:lang w:val="cs-CZ"/>
        </w:rPr>
      </w:pPr>
      <w:r w:rsidRPr="00D1150F">
        <w:rPr>
          <w:lang w:val="cs-CZ"/>
        </w:rPr>
        <w:t>Nabízené dílo je možné dodat do 2 týdnů od objednání.</w:t>
      </w:r>
    </w:p>
    <w:p w:rsidR="00496F51" w:rsidRPr="00D1150F" w:rsidRDefault="00496F51" w:rsidP="00496F51">
      <w:pPr>
        <w:pStyle w:val="PTTlv1"/>
      </w:pPr>
      <w:bookmarkStart w:id="17" w:name="_Toc500805492"/>
      <w:r w:rsidRPr="00D1150F">
        <w:t>Dův</w:t>
      </w:r>
      <w:r w:rsidR="005F44AD">
        <w:t>ě</w:t>
      </w:r>
      <w:r w:rsidRPr="00D1150F">
        <w:t>rnost informací</w:t>
      </w:r>
      <w:bookmarkEnd w:id="17"/>
    </w:p>
    <w:p w:rsidR="00496F51" w:rsidRPr="00D1150F" w:rsidRDefault="00496F51" w:rsidP="00496F51">
      <w:pPr>
        <w:rPr>
          <w:lang w:val="cs-CZ"/>
        </w:rPr>
      </w:pPr>
      <w:r w:rsidRPr="00D1150F">
        <w:rPr>
          <w:lang w:val="cs-CZ"/>
        </w:rPr>
        <w:t xml:space="preserve">Veškeré informace obsažené v této nabídce nebo poskytnuté v souvislosti s ní, a to v jakékoli hmotné či nehmotné formě, tvoří předmět obchodního tajemství PTT Software s.r.o. a subdodavatelů uvedených v kapitole </w:t>
      </w:r>
      <w:r w:rsidR="004B6D29" w:rsidRPr="00D1150F">
        <w:rPr>
          <w:lang w:val="cs-CZ"/>
        </w:rPr>
        <w:fldChar w:fldCharType="begin"/>
      </w:r>
      <w:r w:rsidRPr="00D1150F">
        <w:rPr>
          <w:lang w:val="cs-CZ"/>
        </w:rPr>
        <w:instrText xml:space="preserve"> REF _Ref500660865 \r \h </w:instrText>
      </w:r>
      <w:r w:rsidR="004B6D29" w:rsidRPr="00D1150F">
        <w:rPr>
          <w:lang w:val="cs-CZ"/>
        </w:rPr>
      </w:r>
      <w:r w:rsidR="004B6D29" w:rsidRPr="00D1150F">
        <w:rPr>
          <w:lang w:val="cs-CZ"/>
        </w:rPr>
        <w:fldChar w:fldCharType="separate"/>
      </w:r>
      <w:r w:rsidR="00D1150F">
        <w:rPr>
          <w:lang w:val="cs-CZ"/>
        </w:rPr>
        <w:t>3</w:t>
      </w:r>
      <w:r w:rsidR="004B6D29" w:rsidRPr="00D1150F">
        <w:rPr>
          <w:lang w:val="cs-CZ"/>
        </w:rPr>
        <w:fldChar w:fldCharType="end"/>
      </w:r>
      <w:r w:rsidRPr="00D1150F">
        <w:rPr>
          <w:lang w:val="cs-CZ"/>
        </w:rPr>
        <w:t xml:space="preserve"> nebo jsou považovány za důvěrné. Adresát nabídky je povinen chránit a utajovat tyto skutečnosti, zejména je nesmí zpřístupnit či jakýmkoli způsobem sdělit třetí straně.</w:t>
      </w:r>
    </w:p>
    <w:p w:rsidR="00972E80" w:rsidRPr="00D1150F" w:rsidRDefault="00496F51" w:rsidP="00496F51">
      <w:pPr>
        <w:pStyle w:val="PTTlv1"/>
      </w:pPr>
      <w:bookmarkStart w:id="18" w:name="_Toc500805493"/>
      <w:r w:rsidRPr="00D1150F">
        <w:t>Kontaktní informace</w:t>
      </w:r>
      <w:bookmarkEnd w:id="18"/>
    </w:p>
    <w:p w:rsidR="00496F51" w:rsidRPr="00D1150F" w:rsidRDefault="00496F51" w:rsidP="00972E80">
      <w:pPr>
        <w:rPr>
          <w:lang w:val="cs-CZ"/>
        </w:rPr>
      </w:pPr>
      <w:r w:rsidRPr="00D1150F">
        <w:rPr>
          <w:lang w:val="cs-CZ"/>
        </w:rPr>
        <w:t>Nabídku zpracoval:</w:t>
      </w:r>
    </w:p>
    <w:p w:rsidR="00496F51" w:rsidRPr="00D1150F" w:rsidRDefault="00905F33" w:rsidP="00496F51">
      <w:pPr>
        <w:pStyle w:val="Odstavecseseznamem"/>
        <w:numPr>
          <w:ilvl w:val="0"/>
          <w:numId w:val="15"/>
        </w:numPr>
        <w:rPr>
          <w:lang w:val="cs-CZ"/>
        </w:rPr>
      </w:pPr>
      <w:proofErr w:type="spellStart"/>
      <w:r>
        <w:rPr>
          <w:lang w:val="cs-CZ"/>
        </w:rPr>
        <w:t>xxxxxxxxxxxx</w:t>
      </w:r>
      <w:proofErr w:type="spellEnd"/>
      <w:r w:rsidR="00496F51" w:rsidRPr="00D1150F">
        <w:rPr>
          <w:lang w:val="cs-CZ"/>
        </w:rPr>
        <w:t xml:space="preserve">, </w:t>
      </w:r>
      <w:proofErr w:type="spellStart"/>
      <w:r w:rsidR="00BE6225">
        <w:t>xxxxxxxxxxxxxxxxxxxxxxxxxxxxx</w:t>
      </w:r>
      <w:proofErr w:type="spellEnd"/>
    </w:p>
    <w:p w:rsidR="00496F51" w:rsidRPr="00D1150F" w:rsidRDefault="00496F51" w:rsidP="00496F51">
      <w:pPr>
        <w:rPr>
          <w:lang w:val="cs-CZ"/>
        </w:rPr>
      </w:pPr>
    </w:p>
    <w:p w:rsidR="00496F51" w:rsidRPr="00D1150F" w:rsidRDefault="00496F51" w:rsidP="00496F51">
      <w:pPr>
        <w:rPr>
          <w:lang w:val="cs-CZ"/>
        </w:rPr>
      </w:pPr>
      <w:r w:rsidRPr="00D1150F">
        <w:rPr>
          <w:lang w:val="cs-CZ"/>
        </w:rPr>
        <w:t xml:space="preserve">V Praze dne </w:t>
      </w:r>
      <w:proofErr w:type="gramStart"/>
      <w:r w:rsidR="00A4243E">
        <w:rPr>
          <w:lang w:val="cs-CZ"/>
        </w:rPr>
        <w:t>22</w:t>
      </w:r>
      <w:bookmarkStart w:id="19" w:name="_GoBack"/>
      <w:bookmarkEnd w:id="19"/>
      <w:r w:rsidRPr="00D1150F">
        <w:rPr>
          <w:lang w:val="cs-CZ"/>
        </w:rPr>
        <w:t>.12.2017</w:t>
      </w:r>
      <w:proofErr w:type="gramEnd"/>
    </w:p>
    <w:sectPr w:rsidR="00496F51" w:rsidRPr="00D1150F" w:rsidSect="00153886">
      <w:footerReference w:type="default" r:id="rId13"/>
      <w:pgSz w:w="12240" w:h="15840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FF" w:rsidRDefault="00392FFF" w:rsidP="0001098E">
      <w:pPr>
        <w:spacing w:after="0" w:line="240" w:lineRule="auto"/>
      </w:pPr>
      <w:r>
        <w:separator/>
      </w:r>
    </w:p>
  </w:endnote>
  <w:endnote w:type="continuationSeparator" w:id="0">
    <w:p w:rsidR="00392FFF" w:rsidRDefault="00392FFF" w:rsidP="0001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cs-CZ"/>
      </w:rPr>
      <w:id w:val="1106081254"/>
      <w:docPartObj>
        <w:docPartGallery w:val="Page Numbers (Bottom of Page)"/>
        <w:docPartUnique/>
      </w:docPartObj>
    </w:sdtPr>
    <w:sdtContent>
      <w:p w:rsidR="00C2798E" w:rsidRDefault="00C2798E" w:rsidP="00972E80">
        <w:pPr>
          <w:pStyle w:val="Zpat"/>
          <w:jc w:val="left"/>
          <w:rPr>
            <w:lang w:val="cs-CZ"/>
          </w:rPr>
        </w:pPr>
      </w:p>
      <w:p w:rsidR="00441C27" w:rsidRPr="00972E80" w:rsidRDefault="00441C27" w:rsidP="00972E80">
        <w:pPr>
          <w:pStyle w:val="Zpat"/>
          <w:jc w:val="left"/>
          <w:rPr>
            <w:sz w:val="20"/>
            <w:lang w:val="cs-CZ"/>
          </w:rPr>
        </w:pPr>
        <w:r w:rsidRPr="00972E80">
          <w:rPr>
            <w:sz w:val="20"/>
            <w:lang w:val="cs-CZ"/>
          </w:rPr>
          <w:t xml:space="preserve">PTT Software s.r.o. IČO: </w:t>
        </w:r>
        <w:r w:rsidRPr="00972E80">
          <w:rPr>
            <w:rStyle w:val="nowrap"/>
            <w:sz w:val="20"/>
            <w:lang w:val="cs-CZ"/>
          </w:rPr>
          <w:t>05095671 DIČ: CZ05095671</w:t>
        </w:r>
      </w:p>
      <w:p w:rsidR="00441C27" w:rsidRPr="00972E80" w:rsidRDefault="00441C27" w:rsidP="00972E80">
        <w:pPr>
          <w:pStyle w:val="Zpat"/>
          <w:rPr>
            <w:sz w:val="20"/>
            <w:lang w:val="cs-CZ"/>
          </w:rPr>
        </w:pPr>
        <w:r w:rsidRPr="005A28DE">
          <w:rPr>
            <w:sz w:val="20"/>
            <w:lang w:val="cs-CZ"/>
          </w:rPr>
          <w:t>Konviktská 291/</w:t>
        </w:r>
        <w:r w:rsidRPr="00972E80">
          <w:rPr>
            <w:sz w:val="20"/>
            <w:lang w:val="cs-CZ"/>
          </w:rPr>
          <w:t>24, 110 00 Praha 1, Česká republika, Tel: +420 226 211 931</w:t>
        </w:r>
      </w:p>
      <w:p w:rsidR="00441C27" w:rsidRPr="00972E80" w:rsidRDefault="00441C27" w:rsidP="00972E80">
        <w:pPr>
          <w:pStyle w:val="Zpat"/>
          <w:rPr>
            <w:sz w:val="20"/>
            <w:lang w:val="cs-CZ"/>
          </w:rPr>
        </w:pPr>
        <w:r w:rsidRPr="00972E80">
          <w:rPr>
            <w:sz w:val="20"/>
            <w:lang w:val="cs-CZ"/>
          </w:rPr>
          <w:t xml:space="preserve">Zapsaná </w:t>
        </w:r>
        <w:r w:rsidRPr="005A28DE">
          <w:rPr>
            <w:sz w:val="20"/>
            <w:lang w:val="cs-CZ"/>
          </w:rPr>
          <w:t>25. května 2016</w:t>
        </w:r>
        <w:r w:rsidRPr="00972E80">
          <w:rPr>
            <w:sz w:val="20"/>
            <w:lang w:val="cs-CZ"/>
          </w:rPr>
          <w:t xml:space="preserve"> </w:t>
        </w:r>
        <w:r w:rsidRPr="005A28DE">
          <w:rPr>
            <w:sz w:val="20"/>
            <w:lang w:val="cs-CZ"/>
          </w:rPr>
          <w:t>u Městského soudu v Praze</w:t>
        </w:r>
        <w:r w:rsidRPr="00972E80">
          <w:rPr>
            <w:sz w:val="20"/>
            <w:lang w:val="cs-CZ"/>
          </w:rPr>
          <w:t xml:space="preserve">, spisová značka: </w:t>
        </w:r>
        <w:r w:rsidRPr="005A28DE">
          <w:rPr>
            <w:sz w:val="20"/>
            <w:lang w:val="cs-CZ"/>
          </w:rPr>
          <w:t>C 257569</w:t>
        </w:r>
      </w:p>
      <w:p w:rsidR="00441C27" w:rsidRPr="00972E80" w:rsidRDefault="00441C27">
        <w:pPr>
          <w:pStyle w:val="Zpat"/>
          <w:jc w:val="center"/>
          <w:rPr>
            <w:lang w:val="cs-CZ"/>
          </w:rPr>
        </w:pPr>
      </w:p>
      <w:p w:rsidR="00441C27" w:rsidRDefault="004B6D29">
        <w:pPr>
          <w:pStyle w:val="Zpat"/>
          <w:jc w:val="center"/>
        </w:pPr>
        <w:sdt>
          <w:sdtPr>
            <w:rPr>
              <w:lang w:val="cs-CZ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972E80">
              <w:rPr>
                <w:b/>
                <w:bCs/>
                <w:sz w:val="24"/>
                <w:szCs w:val="24"/>
                <w:lang w:val="cs-CZ"/>
              </w:rPr>
              <w:fldChar w:fldCharType="begin"/>
            </w:r>
            <w:r w:rsidR="00441C27" w:rsidRPr="00972E80">
              <w:rPr>
                <w:b/>
                <w:bCs/>
                <w:lang w:val="cs-CZ"/>
              </w:rPr>
              <w:instrText xml:space="preserve"> PAGE </w:instrText>
            </w:r>
            <w:r w:rsidRPr="00972E80">
              <w:rPr>
                <w:b/>
                <w:bCs/>
                <w:sz w:val="24"/>
                <w:szCs w:val="24"/>
                <w:lang w:val="cs-CZ"/>
              </w:rPr>
              <w:fldChar w:fldCharType="separate"/>
            </w:r>
            <w:r w:rsidR="00905F33">
              <w:rPr>
                <w:b/>
                <w:bCs/>
                <w:noProof/>
                <w:lang w:val="cs-CZ"/>
              </w:rPr>
              <w:t>7</w:t>
            </w:r>
            <w:r w:rsidRPr="00972E80">
              <w:rPr>
                <w:b/>
                <w:bCs/>
                <w:sz w:val="24"/>
                <w:szCs w:val="24"/>
                <w:lang w:val="cs-CZ"/>
              </w:rPr>
              <w:fldChar w:fldCharType="end"/>
            </w:r>
            <w:r w:rsidR="00441C27" w:rsidRPr="00972E80">
              <w:rPr>
                <w:lang w:val="cs-CZ"/>
              </w:rPr>
              <w:t>/</w:t>
            </w:r>
            <w:r w:rsidRPr="00972E80">
              <w:rPr>
                <w:b/>
                <w:bCs/>
                <w:sz w:val="24"/>
                <w:szCs w:val="24"/>
                <w:lang w:val="cs-CZ"/>
              </w:rPr>
              <w:fldChar w:fldCharType="begin"/>
            </w:r>
            <w:r w:rsidR="00441C27" w:rsidRPr="00972E80">
              <w:rPr>
                <w:b/>
                <w:bCs/>
                <w:lang w:val="cs-CZ"/>
              </w:rPr>
              <w:instrText xml:space="preserve"> NUMPAGES  </w:instrText>
            </w:r>
            <w:r w:rsidRPr="00972E80">
              <w:rPr>
                <w:b/>
                <w:bCs/>
                <w:sz w:val="24"/>
                <w:szCs w:val="24"/>
                <w:lang w:val="cs-CZ"/>
              </w:rPr>
              <w:fldChar w:fldCharType="separate"/>
            </w:r>
            <w:r w:rsidR="00905F33">
              <w:rPr>
                <w:b/>
                <w:bCs/>
                <w:noProof/>
                <w:lang w:val="cs-CZ"/>
              </w:rPr>
              <w:t>7</w:t>
            </w:r>
            <w:r w:rsidRPr="00972E80">
              <w:rPr>
                <w:b/>
                <w:bCs/>
                <w:sz w:val="24"/>
                <w:szCs w:val="24"/>
                <w:lang w:val="cs-CZ"/>
              </w:rPr>
              <w:fldChar w:fldCharType="end"/>
            </w:r>
          </w:sdtContent>
        </w:sdt>
      </w:p>
    </w:sdtContent>
  </w:sdt>
  <w:p w:rsidR="00441C27" w:rsidRPr="005A28DE" w:rsidRDefault="00441C27" w:rsidP="005A28DE">
    <w:pPr>
      <w:pStyle w:val="Zpa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FF" w:rsidRDefault="00392FFF" w:rsidP="0001098E">
      <w:pPr>
        <w:spacing w:after="0" w:line="240" w:lineRule="auto"/>
      </w:pPr>
      <w:r>
        <w:separator/>
      </w:r>
    </w:p>
  </w:footnote>
  <w:footnote w:type="continuationSeparator" w:id="0">
    <w:p w:rsidR="00392FFF" w:rsidRDefault="00392FFF" w:rsidP="00010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2E10"/>
    <w:multiLevelType w:val="hybridMultilevel"/>
    <w:tmpl w:val="0660E904"/>
    <w:lvl w:ilvl="0" w:tplc="239ECB84">
      <w:start w:val="1"/>
      <w:numFmt w:val="decimal"/>
      <w:pStyle w:val="PTTslovn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C0B22"/>
    <w:multiLevelType w:val="hybridMultilevel"/>
    <w:tmpl w:val="7A50D4DA"/>
    <w:lvl w:ilvl="0" w:tplc="D070D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B217B"/>
    <w:multiLevelType w:val="hybridMultilevel"/>
    <w:tmpl w:val="DCF67A40"/>
    <w:lvl w:ilvl="0" w:tplc="B2DAF2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924B0"/>
    <w:multiLevelType w:val="hybridMultilevel"/>
    <w:tmpl w:val="76286368"/>
    <w:lvl w:ilvl="0" w:tplc="515494AE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F4EFE"/>
    <w:multiLevelType w:val="hybridMultilevel"/>
    <w:tmpl w:val="E698DBE4"/>
    <w:lvl w:ilvl="0" w:tplc="0EB208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87A44"/>
    <w:multiLevelType w:val="multilevel"/>
    <w:tmpl w:val="AEFC8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5B86283"/>
    <w:multiLevelType w:val="multilevel"/>
    <w:tmpl w:val="7A32570C"/>
    <w:lvl w:ilvl="0">
      <w:start w:val="1"/>
      <w:numFmt w:val="decimal"/>
      <w:pStyle w:val="PTTl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TTlv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TTl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6"/>
  </w:num>
  <w:num w:numId="13">
    <w:abstractNumId w:val="6"/>
  </w:num>
  <w:num w:numId="14">
    <w:abstractNumId w:val="6"/>
  </w:num>
  <w:num w:numId="15">
    <w:abstractNumId w:val="2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1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s">
    <w15:presenceInfo w15:providerId="None" w15:userId="j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570853"/>
    <w:rsid w:val="0001098E"/>
    <w:rsid w:val="00011A9F"/>
    <w:rsid w:val="000252CF"/>
    <w:rsid w:val="00030516"/>
    <w:rsid w:val="000F2546"/>
    <w:rsid w:val="00117569"/>
    <w:rsid w:val="00153886"/>
    <w:rsid w:val="001D7065"/>
    <w:rsid w:val="001F1676"/>
    <w:rsid w:val="002732E6"/>
    <w:rsid w:val="00281CD6"/>
    <w:rsid w:val="002A4826"/>
    <w:rsid w:val="002A4A30"/>
    <w:rsid w:val="002B1B13"/>
    <w:rsid w:val="002F5E2A"/>
    <w:rsid w:val="003164A5"/>
    <w:rsid w:val="0036396D"/>
    <w:rsid w:val="003668EA"/>
    <w:rsid w:val="00392FFF"/>
    <w:rsid w:val="003A2B8E"/>
    <w:rsid w:val="00413B53"/>
    <w:rsid w:val="00441C27"/>
    <w:rsid w:val="004779FC"/>
    <w:rsid w:val="0049501F"/>
    <w:rsid w:val="00496F51"/>
    <w:rsid w:val="004B1111"/>
    <w:rsid w:val="004B6D29"/>
    <w:rsid w:val="004C1641"/>
    <w:rsid w:val="004D06AE"/>
    <w:rsid w:val="00570853"/>
    <w:rsid w:val="005A28DE"/>
    <w:rsid w:val="005F44AD"/>
    <w:rsid w:val="00656470"/>
    <w:rsid w:val="00667A37"/>
    <w:rsid w:val="006A704E"/>
    <w:rsid w:val="006C5798"/>
    <w:rsid w:val="007704F5"/>
    <w:rsid w:val="007B16EF"/>
    <w:rsid w:val="007C4930"/>
    <w:rsid w:val="0080686E"/>
    <w:rsid w:val="00875381"/>
    <w:rsid w:val="00905F33"/>
    <w:rsid w:val="009358E8"/>
    <w:rsid w:val="00972E80"/>
    <w:rsid w:val="00A23E61"/>
    <w:rsid w:val="00A4243E"/>
    <w:rsid w:val="00A72EC7"/>
    <w:rsid w:val="00A82AB8"/>
    <w:rsid w:val="00B00C6E"/>
    <w:rsid w:val="00B43691"/>
    <w:rsid w:val="00B64489"/>
    <w:rsid w:val="00BA7A39"/>
    <w:rsid w:val="00BE6225"/>
    <w:rsid w:val="00BF14BD"/>
    <w:rsid w:val="00C2798E"/>
    <w:rsid w:val="00C40D41"/>
    <w:rsid w:val="00C673FD"/>
    <w:rsid w:val="00CB2821"/>
    <w:rsid w:val="00CC7E74"/>
    <w:rsid w:val="00D1150F"/>
    <w:rsid w:val="00D90C21"/>
    <w:rsid w:val="00DB3551"/>
    <w:rsid w:val="00DD45E2"/>
    <w:rsid w:val="00E06D5B"/>
    <w:rsid w:val="00E44F1B"/>
    <w:rsid w:val="00EF4080"/>
    <w:rsid w:val="00F1584D"/>
    <w:rsid w:val="00F57FD3"/>
    <w:rsid w:val="00F8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6F51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7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70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KdHTML">
    <w:name w:val="HTML Code"/>
    <w:basedOn w:val="Standardnpsmoodstavce"/>
    <w:uiPriority w:val="99"/>
    <w:semiHidden/>
    <w:unhideWhenUsed/>
    <w:rsid w:val="00570853"/>
    <w:rPr>
      <w:rFonts w:ascii="Courier New" w:eastAsia="Times New Roman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sid w:val="00413B53"/>
    <w:rPr>
      <w:b/>
      <w:bCs/>
    </w:rPr>
  </w:style>
  <w:style w:type="character" w:customStyle="1" w:styleId="st">
    <w:name w:val="st"/>
    <w:basedOn w:val="Standardnpsmoodstavce"/>
    <w:rsid w:val="004D06AE"/>
  </w:style>
  <w:style w:type="paragraph" w:styleId="Odstavecseseznamem">
    <w:name w:val="List Paragraph"/>
    <w:basedOn w:val="Normln"/>
    <w:uiPriority w:val="34"/>
    <w:qFormat/>
    <w:rsid w:val="0065647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1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98E"/>
  </w:style>
  <w:style w:type="paragraph" w:styleId="Zpat">
    <w:name w:val="footer"/>
    <w:basedOn w:val="Normln"/>
    <w:link w:val="ZpatChar"/>
    <w:uiPriority w:val="99"/>
    <w:unhideWhenUsed/>
    <w:rsid w:val="00010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098E"/>
  </w:style>
  <w:style w:type="paragraph" w:customStyle="1" w:styleId="PTTslovn">
    <w:name w:val="PTT číslování"/>
    <w:basedOn w:val="Normln"/>
    <w:next w:val="Normln"/>
    <w:link w:val="PTTslovnChar"/>
    <w:rsid w:val="0001098E"/>
    <w:pPr>
      <w:numPr>
        <w:numId w:val="2"/>
      </w:numPr>
    </w:pPr>
    <w:rPr>
      <w:rFonts w:cstheme="minorHAnsi"/>
      <w:lang w:val="cs-CZ"/>
    </w:rPr>
  </w:style>
  <w:style w:type="paragraph" w:customStyle="1" w:styleId="PTTlv2">
    <w:name w:val="PTT lv.2"/>
    <w:basedOn w:val="PTTlv1"/>
    <w:next w:val="Normln"/>
    <w:link w:val="PTTlv2Char"/>
    <w:qFormat/>
    <w:rsid w:val="00153886"/>
    <w:pPr>
      <w:numPr>
        <w:ilvl w:val="1"/>
      </w:numPr>
    </w:pPr>
  </w:style>
  <w:style w:type="character" w:customStyle="1" w:styleId="PTTslovnChar">
    <w:name w:val="PTT číslování Char"/>
    <w:basedOn w:val="Standardnpsmoodstavce"/>
    <w:link w:val="PTTslovn"/>
    <w:rsid w:val="0001098E"/>
    <w:rPr>
      <w:rFonts w:cstheme="minorHAnsi"/>
      <w:lang w:val="cs-CZ"/>
    </w:rPr>
  </w:style>
  <w:style w:type="paragraph" w:customStyle="1" w:styleId="PTTlv1">
    <w:name w:val="PTT lv.1"/>
    <w:next w:val="Normln"/>
    <w:link w:val="PTTlv1Char"/>
    <w:qFormat/>
    <w:rsid w:val="00153886"/>
    <w:pPr>
      <w:numPr>
        <w:numId w:val="4"/>
      </w:numPr>
    </w:pPr>
    <w:rPr>
      <w:rFonts w:cstheme="minorHAnsi"/>
      <w:b/>
      <w:sz w:val="28"/>
      <w:lang w:val="cs-CZ"/>
    </w:rPr>
  </w:style>
  <w:style w:type="character" w:customStyle="1" w:styleId="PTTlv2Char">
    <w:name w:val="PTT lv.2 Char"/>
    <w:basedOn w:val="PTTslovnChar"/>
    <w:link w:val="PTTlv2"/>
    <w:rsid w:val="00153886"/>
    <w:rPr>
      <w:rFonts w:cstheme="minorHAnsi"/>
      <w:lang w:val="cs-CZ"/>
    </w:rPr>
  </w:style>
  <w:style w:type="paragraph" w:customStyle="1" w:styleId="PTTlv3">
    <w:name w:val="PTT lv.3"/>
    <w:basedOn w:val="PTTlv2"/>
    <w:next w:val="Normln"/>
    <w:link w:val="PTTlv3Char"/>
    <w:qFormat/>
    <w:rsid w:val="00153886"/>
    <w:pPr>
      <w:numPr>
        <w:ilvl w:val="2"/>
      </w:numPr>
    </w:pPr>
  </w:style>
  <w:style w:type="character" w:customStyle="1" w:styleId="PTTlv1Char">
    <w:name w:val="PTT lv.1 Char"/>
    <w:basedOn w:val="PTTslovnChar"/>
    <w:link w:val="PTTlv1"/>
    <w:rsid w:val="00153886"/>
    <w:rPr>
      <w:rFonts w:cstheme="minorHAnsi"/>
      <w:b/>
      <w:sz w:val="28"/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sid w:val="006A7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TTlv3Char">
    <w:name w:val="PTT lv.3 Char"/>
    <w:basedOn w:val="PTTslovnChar"/>
    <w:link w:val="PTTlv3"/>
    <w:rsid w:val="00153886"/>
    <w:rPr>
      <w:rFonts w:cstheme="minorHAnsi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6A704E"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A70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70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6A704E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A704E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A704E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A704E"/>
    <w:rPr>
      <w:color w:val="0563C1" w:themeColor="hyperlink"/>
      <w:u w:val="single"/>
    </w:rPr>
  </w:style>
  <w:style w:type="paragraph" w:customStyle="1" w:styleId="Titulmal">
    <w:name w:val="Titul malý"/>
    <w:basedOn w:val="Normln"/>
    <w:rsid w:val="005A28DE"/>
    <w:pPr>
      <w:spacing w:before="80" w:after="80" w:line="240" w:lineRule="auto"/>
      <w:ind w:firstLine="480"/>
      <w:jc w:val="center"/>
    </w:pPr>
    <w:rPr>
      <w:rFonts w:ascii="Arial" w:eastAsia="Times New Roman" w:hAnsi="Arial" w:cs="Arial"/>
      <w:b/>
      <w:bCs/>
      <w:sz w:val="32"/>
      <w:szCs w:val="32"/>
      <w:lang w:val="cs-CZ" w:eastAsia="cs-CZ"/>
    </w:rPr>
  </w:style>
  <w:style w:type="paragraph" w:customStyle="1" w:styleId="Titulvelk">
    <w:name w:val="Titul velký"/>
    <w:basedOn w:val="Normln"/>
    <w:rsid w:val="005A28DE"/>
    <w:pPr>
      <w:spacing w:before="160" w:line="240" w:lineRule="auto"/>
      <w:ind w:firstLine="480"/>
      <w:jc w:val="center"/>
    </w:pPr>
    <w:rPr>
      <w:rFonts w:ascii="Arial" w:eastAsia="Times New Roman" w:hAnsi="Arial" w:cs="Arial"/>
      <w:b/>
      <w:bCs/>
      <w:sz w:val="56"/>
      <w:szCs w:val="56"/>
      <w:lang w:val="cs-CZ" w:eastAsia="cs-CZ"/>
    </w:rPr>
  </w:style>
  <w:style w:type="character" w:customStyle="1" w:styleId="nowrap">
    <w:name w:val="nowrap"/>
    <w:basedOn w:val="Standardnpsmoodstavce"/>
    <w:rsid w:val="005A28DE"/>
  </w:style>
  <w:style w:type="character" w:customStyle="1" w:styleId="nounderline">
    <w:name w:val="nounderline"/>
    <w:basedOn w:val="Standardnpsmoodstavce"/>
    <w:rsid w:val="005A28DE"/>
  </w:style>
  <w:style w:type="paragraph" w:styleId="Zkladntext">
    <w:name w:val="Body Text"/>
    <w:link w:val="ZkladntextChar"/>
    <w:rsid w:val="00496F51"/>
    <w:pPr>
      <w:spacing w:before="40" w:after="40" w:line="240" w:lineRule="auto"/>
      <w:ind w:firstLine="227"/>
      <w:jc w:val="both"/>
    </w:pPr>
    <w:rPr>
      <w:rFonts w:ascii="Arial" w:eastAsia="Times New Roman" w:hAnsi="Arial" w:cs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496F51"/>
    <w:rPr>
      <w:rFonts w:ascii="Arial" w:eastAsia="Times New Roman" w:hAnsi="Arial" w:cs="Times New Roman"/>
      <w:lang w:val="cs-CZ" w:eastAsia="cs-CZ"/>
    </w:rPr>
  </w:style>
  <w:style w:type="table" w:styleId="Mkatabulky">
    <w:name w:val="Table Grid"/>
    <w:basedOn w:val="Normlntabulka"/>
    <w:uiPriority w:val="59"/>
    <w:rsid w:val="00BF14BD"/>
    <w:pPr>
      <w:spacing w:after="0" w:line="240" w:lineRule="auto"/>
    </w:pPr>
    <w:rPr>
      <w:lang w:val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1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88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2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4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12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9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Visio12222.vsdx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_________Microsoft_Visio1111.vsd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51804-E623-48DE-BDF7-9E60523D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hrncirik</cp:lastModifiedBy>
  <cp:revision>4</cp:revision>
  <dcterms:created xsi:type="dcterms:W3CDTF">2018-01-29T14:15:00Z</dcterms:created>
  <dcterms:modified xsi:type="dcterms:W3CDTF">2018-02-06T12:00:00Z</dcterms:modified>
</cp:coreProperties>
</file>