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3024" w:firstLine="0"/>
        <w:spacing w:before="0" w:after="0" w:line="194" w:lineRule="auto"/>
        <w:jc w:val="0"/>
        <w:rPr>
          <w:b w:val="true"/>
          <w:color w:val="#000000"/>
          <w:sz w:val="36"/>
          <w:lang w:val="cs-CZ"/>
          <w:spacing w:val="69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40pt;height:82.85pt;z-index:-1000;margin-left:78.05pt;margin-top:5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61.3pt;height:81.9pt;z-index:-999;margin-left:356.5pt;margin-top:5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2048510" cy="1040130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8510" cy="1040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color="#FFFFFF" stroked="f" style="position:absolute;width:117.9pt;height:31.15pt;z-index:-998;margin-left:399.9pt;margin-top:5.6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35" w:lineRule="auto"/>
                    <w:jc w:val="left"/>
                    <w:shd w:val="solid" w:color="#FFFFFF" w:fill="#FFFFFF"/>
                    <w:framePr w:hAnchor="page" w:vAnchor="page" w:x="7998" w:y="113" w:w="2358" w:h="623" w:hSpace="0" w:vSpace="0" w:wrap="3"/>
                    <w:tabs>
                      <w:tab w:val="right" w:leader="none" w:pos="2354"/>
                    </w:tabs>
                    <w:rPr>
                      <w:i w:val="true"/>
                      <w:color w:val="#000000"/>
                      <w:sz w:val="55"/>
                      <w:lang w:val="cs-CZ"/>
                      <w:spacing w:val="-40"/>
                      <w:w w:val="9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55"/>
                      <w:lang w:val="cs-CZ"/>
                      <w:spacing w:val="-40"/>
                      <w:w w:val="95"/>
                      <w:strike w:val="false"/>
                      <w:vertAlign w:val="baseline"/>
                      <w:rFonts w:ascii="Times New Roman" w:hAnsi="Times New Roman"/>
                    </w:rPr>
                    <w:t xml:space="preserve">r</w:t>
                  </w:r>
                  <w:r>
                    <w:rPr>
                      <w:i w:val="true"/>
                      <w:color w:val="#000000"/>
                      <w:sz w:val="55"/>
                      <w:lang w:val="cs-CZ"/>
                      <w:spacing w:val="-40"/>
                      <w:w w:val="100"/>
                      <w:strike w:val="false"/>
                      <w:vertAlign w:val="superscript"/>
                      <w:rFonts w:ascii="Times New Roman" w:hAnsi="Times New Roman"/>
                    </w:rPr>
                    <w:t xml:space="preserve">-</w:t>
                  </w:r>
                  <w:r>
                    <w:rPr>
                      <w:i w:val="true"/>
                      <w:color w:val="#000000"/>
                      <w:sz w:val="55"/>
                      <w:lang w:val="cs-CZ"/>
                      <w:spacing w:val="-40"/>
                      <w:w w:val="75"/>
                      <w:strike w:val="false"/>
                      <w:vertAlign w:val="subscript"/>
                      <w:rFonts w:ascii="Times New Roman" w:hAnsi="Times New Roman"/>
                    </w:rPr>
                    <w:t xml:space="preserve">/</w:t>
                  </w:r>
                  <w:r>
                    <w:rPr>
                      <w:i w:val="true"/>
                      <w:color w:val="#000000"/>
                      <w:sz w:val="32"/>
                      <w:lang w:val="cs-CZ"/>
                      <w:spacing w:val="-4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iz </w:t>
                  </w:r>
                  <w:r>
                    <w:rPr>
                      <w:color w:val="#000000"/>
                      <w:sz w:val="50"/>
                      <w:lang w:val="cs-CZ"/>
                      <w:spacing w:val="-40"/>
                      <w:w w:val="45"/>
                      <w:strike w:val="false"/>
                      <w:vertAlign w:val="baseline"/>
                      <w:rFonts w:ascii="Arial" w:hAnsi="Arial"/>
                    </w:rPr>
                    <w:t xml:space="preserve">o</w:t>
                  </w:r>
                  <w:r>
                    <w:rPr>
                      <w:i w:val="true"/>
                      <w:color w:val="#594E89"/>
                      <w:sz w:val="36"/>
                      <w:lang w:val="cs-CZ"/>
                      <w:spacing w:val="-60"/>
                      <w:w w:val="90"/>
                      <w:strike w:val="false"/>
                      <w:u w:val="singl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i w:val="true"/>
                      <w:color w:val="#594E89"/>
                      <w:sz w:val="36"/>
                      <w:lang w:val="cs-CZ"/>
                      <w:spacing w:val="-20"/>
                      <w:w w:val="90"/>
                      <w:strike w:val="false"/>
                      <w:u w:val="single"/>
                      <w:vertAlign w:val="baseline"/>
                      <w:rFonts w:ascii="Arial" w:hAnsi="Arial"/>
                    </w:rPr>
                    <w:t xml:space="preserve">si270/F</w:t>
                  </w:r>
                  <w:r>
                    <w:rPr>
                      <w:i w:val="true"/>
                      <w:color w:val="#594E89"/>
                      <w:sz w:val="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color="#FFFFFF" stroked="f" style="position:absolute;width:1.3pt;height:5.75pt;z-index:-997;margin-left:375.4pt;margin-top:62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304" w:lineRule="auto"/>
                    <w:jc w:val="left"/>
                    <w:shd w:val="solid" w:color="#FFFFFF" w:fill="#FFFFFF"/>
                    <w:framePr w:hAnchor="page" w:vAnchor="page" w:x="7508" w:y="1258" w:w="26" w:h="115" w:hSpace="0" w:vSpace="0" w:wrap="3"/>
                    <w:rPr>
                      <w:color w:val="#000000"/>
                      <w:sz w:val="8"/>
                      <w:lang w:val="cs-CZ"/>
                      <w:spacing w:val="0"/>
                      <w:w w:val="12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8"/>
                      <w:lang w:val="cs-CZ"/>
                      <w:spacing w:val="0"/>
                      <w:w w:val="125"/>
                      <w:strike w:val="false"/>
                      <w:vertAlign w:val="baseline"/>
                      <w:rFonts w:ascii="Arial" w:hAnsi="Arial"/>
                    </w:rPr>
                    <w:t xml:space="preserve">•</w:t>
                  </w:r>
                </w:p>
              </w:txbxContent>
            </v:textbox>
          </v:shape>
        </w:pict>
      </w:r>
      <w:r>
        <w:pict>
          <v:line strokeweight="0.7pt" strokecolor="#000000" from="346.35pt,2.35pt" to="415.5pt,2.35pt" style="position:absolute;mso-position-horizontal-relative:text;mso-position-vertical-relative:text;">
            <v:stroke dashstyle="shortdot"/>
          </v:line>
        </w:pict>
      </w:r>
      <w:r>
        <w:pict>
          <v:line strokeweight="1.25pt" strokecolor="#E39BA9" from="281.15pt,9pt" to="424.7pt,9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36"/>
          <w:lang w:val="cs-CZ"/>
          <w:spacing w:val="69"/>
          <w:w w:val="100"/>
          <w:strike w:val="false"/>
          <w:vertAlign w:val="baseline"/>
          <w:rFonts w:ascii="Times New Roman" w:hAnsi="Times New Roman"/>
        </w:rPr>
        <w:t xml:space="preserve">SMLOUVA</w:t>
      </w:r>
    </w:p>
    <w:p>
      <w:pPr>
        <w:ind w:right="0" w:left="0" w:firstLine="0"/>
        <w:spacing w:before="0" w:after="396" w:line="240" w:lineRule="auto"/>
        <w:jc w:val="center"/>
        <w:rPr>
          <w:b w:val="true"/>
          <w:color w:val="#000000"/>
          <w:sz w:val="27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7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o poskytnutí p</w:t>
        <w:br/>
      </w:r>
      <w:r>
        <w:rPr>
          <w:b w:val="true"/>
          <w:color w:val="#000000"/>
          <w:sz w:val="27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říspěvku z majetku nadačního fondu
</w:t>
        <w:br/>
      </w:r>
      <w:r>
        <w:rPr>
          <w:b w:val="true"/>
          <w:color w:val="#000000"/>
          <w:sz w:val="27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pro realizaci činnosti na podporu zdravého životního stylu dětí i jejich
</w:t>
        <w:br/>
      </w:r>
      <w:r>
        <w:rPr>
          <w:b w:val="true"/>
          <w:color w:val="#000000"/>
          <w:sz w:val="27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rodičů nebo na podporu vzdělávání, integrace a rozvoje
</w:t>
        <w:br/>
      </w:r>
      <w:r>
        <w:rPr>
          <w:b w:val="true"/>
          <w:color w:val="#000000"/>
          <w:sz w:val="27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dětí ze sociálně znevýhodněných skupin</w:t>
      </w:r>
    </w:p>
    <w:p>
      <w:pPr>
        <w:ind w:right="0" w:left="0" w:firstLine="0"/>
        <w:spacing w:before="0" w:after="0" w:line="276" w:lineRule="auto"/>
        <w:jc w:val="center"/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uzav</w:t>
        <w:br/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řená dle ustanovení § 1746 odst. 2 a v souladu s ustanoveními § 394 a násl. zákona
</w:t>
        <w:br/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č. 89/2012 Sb., občanský zákoník (dále jen </w:t>
      </w:r>
      <w:r>
        <w:rPr>
          <w:b w:val="true"/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„NOZ")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mezi těmito smluvními stranami:</w:t>
      </w:r>
    </w:p>
    <w:p>
      <w:pPr>
        <w:ind w:right="0" w:left="0" w:firstLine="0"/>
        <w:spacing w:before="468" w:after="0" w:line="283" w:lineRule="auto"/>
        <w:jc w:val="left"/>
        <w:rPr>
          <w:b w:val="true"/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D</w:t>
      </w:r>
      <w:r>
        <w:rPr>
          <w:b w:val="true"/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ětský domov a Školní jídelna, Hranice, Purgešova 847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4126"/>
        </w:tabs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s registrovaným sídlem: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Purgešova 847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3687"/>
        </w:tabs>
        <w:rPr>
          <w:color w:val="#000000"/>
          <w:sz w:val="22"/>
          <w:lang w:val="cs-CZ"/>
          <w:spacing w:val="-3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30"/>
          <w:w w:val="100"/>
          <w:strike w:val="false"/>
          <w:vertAlign w:val="baseline"/>
          <w:rFonts w:ascii="Times New Roman" w:hAnsi="Times New Roman"/>
        </w:rPr>
        <w:t xml:space="preserve">1</w:t>
      </w:r>
      <w:r>
        <w:rPr>
          <w:color w:val="#000000"/>
          <w:sz w:val="22"/>
          <w:lang w:val="cs-CZ"/>
          <w:spacing w:val="-30"/>
          <w:w w:val="100"/>
          <w:strike w:val="false"/>
          <w:vertAlign w:val="baseline"/>
          <w:rFonts w:ascii="Times New Roman" w:hAnsi="Times New Roman"/>
        </w:rPr>
        <w:t xml:space="preserve">Č: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62350277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6041"/>
        </w:tabs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zastoupená: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Mgr. Pavlou Tvrdo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ňovou, ředitelkou</w:t>
      </w:r>
    </w:p>
    <w:p>
      <w:pPr>
        <w:ind w:right="0" w:left="0" w:firstLine="0"/>
        <w:spacing w:before="0" w:after="0" w:line="240" w:lineRule="auto"/>
        <w:jc w:val="left"/>
        <w:tabs>
          <w:tab w:val="left" w:leader="none" w:pos="3687"/>
          <w:tab w:val="right" w:leader="none" w:pos="6307"/>
        </w:tabs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zapsaná v obchodním rejst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říku u: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soudu v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, spisová značka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4687"/>
        </w:tabs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Číslo účtu Partnera: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19-4287550277/0100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(dále jen </w:t>
      </w:r>
      <w:r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„Partner")</w:t>
      </w:r>
    </w:p>
    <w:p>
      <w:pPr>
        <w:ind w:right="0" w:left="0" w:firstLine="0"/>
        <w:spacing w:before="144" w:after="0" w:line="160" w:lineRule="exact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633"/>
        <w:gridCol w:w="6167"/>
      </w:tblGrid>
      <w:tr>
        <w:trPr>
          <w:trHeight w:val="174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63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obchodní spole</w:t>
            </w: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čnost:</w:t>
            </w:r>
          </w:p>
          <w:p>
            <w:pPr>
              <w:ind w:right="576" w:left="0" w:firstLine="0"/>
              <w:spacing w:before="0" w:after="0" w:line="240" w:lineRule="auto"/>
              <w:jc w:val="left"/>
              <w:rPr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  <w:t xml:space="preserve">s registrovaným sídlem </w:t>
            </w: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I</w:t>
            </w: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Č:</w:t>
            </w:r>
          </w:p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zastoupená:</w:t>
            </w:r>
          </w:p>
          <w:p>
            <w:pPr>
              <w:ind w:right="36" w:left="0" w:firstLine="0"/>
              <w:spacing w:before="180" w:after="0" w:line="240" w:lineRule="auto"/>
              <w:jc w:val="left"/>
              <w:rPr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  <w:t xml:space="preserve">zapsaná v Nada</w:t>
            </w:r>
            <w:r>
              <w:rPr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  <w:t xml:space="preserve">čním rejstříku </w:t>
            </w:r>
            <w:r>
              <w:rPr>
                <w:color w:val="#000000"/>
                <w:sz w:val="22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(dále jen </w:t>
            </w:r>
            <w:r>
              <w:rPr>
                <w:b w:val="true"/>
                <w:color w:val="#000000"/>
                <w:sz w:val="22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„NFA")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800" w:type="auto"/>
            <w:textDirection w:val="lrTb"/>
            <w:vAlign w:val="top"/>
          </w:tcPr>
          <w:p>
            <w:pPr>
              <w:ind w:right="0" w:left="31" w:firstLine="0"/>
              <w:spacing w:before="0" w:after="0" w:line="211" w:lineRule="auto"/>
              <w:jc w:val="left"/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Nada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ční fond ALBERT</w:t>
            </w:r>
          </w:p>
          <w:p>
            <w:pPr>
              <w:ind w:right="0" w:left="31" w:firstLine="0"/>
              <w:spacing w:before="0" w:after="0" w:line="240" w:lineRule="auto"/>
              <w:jc w:val="left"/>
              <w:rPr>
                <w:color w:val="#000000"/>
                <w:sz w:val="22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Radlická 117, 158 OO Praha 5 — Nové Butovice</w:t>
            </w:r>
          </w:p>
          <w:p>
            <w:pPr>
              <w:ind w:right="0" w:left="31" w:firstLine="0"/>
              <w:spacing w:before="0" w:after="0" w:line="204" w:lineRule="auto"/>
              <w:jc w:val="lef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28967496</w:t>
            </w:r>
          </w:p>
          <w:p>
            <w:pPr>
              <w:ind w:right="0" w:left="31" w:firstLine="0"/>
              <w:spacing w:before="0" w:after="0" w:line="240" w:lineRule="auto"/>
              <w:jc w:val="lef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Ji</w:t>
            </w: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řím Marečkem, předsedou správní rady</w:t>
            </w:r>
          </w:p>
          <w:p>
            <w:pPr>
              <w:ind w:right="0" w:left="31" w:firstLine="0"/>
              <w:spacing w:before="0" w:after="0" w:line="240" w:lineRule="auto"/>
              <w:jc w:val="lef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Martinou </w:t>
            </w: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Černou, členkou správní rady</w:t>
            </w:r>
          </w:p>
          <w:p>
            <w:pPr>
              <w:ind w:right="0" w:left="31" w:firstLine="0"/>
              <w:spacing w:before="0" w:after="0" w:line="240" w:lineRule="auto"/>
              <w:jc w:val="lef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vedeném u M</w:t>
            </w: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ěstského soudu v Praze, spisová značka N 763</w:t>
            </w:r>
          </w:p>
        </w:tc>
      </w:tr>
    </w:tbl>
    <w:p>
      <w:pPr>
        <w:spacing w:before="0" w:after="385" w:line="20" w:lineRule="exact"/>
      </w:pPr>
    </w:p>
    <w:p>
      <w:pPr>
        <w:ind w:right="0" w:left="0" w:firstLine="0"/>
        <w:spacing w:before="0" w:after="0" w:line="480" w:lineRule="auto"/>
        <w:jc w:val="center"/>
        <w:rPr>
          <w:color w:val="#000000"/>
          <w:sz w:val="22"/>
          <w:lang w:val="cs-CZ"/>
          <w:spacing w:val="2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20"/>
          <w:w w:val="100"/>
          <w:strike w:val="false"/>
          <w:vertAlign w:val="baseline"/>
          <w:rFonts w:ascii="Times New Roman" w:hAnsi="Times New Roman"/>
        </w:rPr>
        <w:t xml:space="preserve">takto:
</w:t>
        <w:br/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I.
</w:t>
        <w:br/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Obecná ustanovení</w:t>
      </w:r>
    </w:p>
    <w:p>
      <w:pPr>
        <w:ind w:right="288" w:left="0" w:firstLine="0"/>
        <w:spacing w:before="180" w:after="0" w:line="240" w:lineRule="auto"/>
        <w:jc w:val="both"/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Na základ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 žádosti o poskytnutí příspěvku z majetku nadačního fondu v rámci programu NFA </w:t>
      </w:r>
      <w:r>
        <w:rPr>
          <w:b w:val="true"/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„Bertík pomáhá 2018"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byl Partnerův projekt </w:t>
      </w:r>
      <w:r>
        <w:rPr>
          <w:b w:val="true"/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„Aktivity pro děti s Bertíkem 2018"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(dále jen </w:t>
      </w:r>
      <w:r>
        <w:rPr>
          <w:b w:val="true"/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„Projekt")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vybrán k tornu, aby byl na jeho realizaci poskytnut od NFA příspěvek ve výši </w:t>
      </w:r>
      <w:r>
        <w:rPr>
          <w:b w:val="true"/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55 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000,- Kč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(dále jen 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„Příspěvek").</w:t>
      </w:r>
    </w:p>
    <w:p>
      <w:pPr>
        <w:ind w:right="0" w:left="3456" w:firstLine="0"/>
        <w:spacing w:before="648" w:after="0" w:line="240" w:lineRule="auto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ředmět smlouvy</w:t>
      </w:r>
    </w:p>
    <w:p>
      <w:pPr>
        <w:ind w:right="0" w:left="360" w:firstLine="-288"/>
        <w:spacing w:before="144" w:after="0" w:line="240" w:lineRule="auto"/>
        <w:jc w:val="left"/>
        <w:tabs>
          <w:tab w:val="clear" w:pos="288"/>
          <w:tab w:val="decimal" w:pos="360"/>
        </w:tabs>
        <w:numPr>
          <w:ilvl w:val="0"/>
          <w:numId w:val="2"/>
        </w:numP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ředmětem této smlouvy je úprava podmínek poskytnutí Příspěvku na realizaci Projektu.</w:t>
      </w:r>
    </w:p>
    <w:p>
      <w:pPr>
        <w:ind w:right="288" w:left="360" w:firstLine="-288"/>
        <w:spacing w:before="108" w:after="0" w:line="240" w:lineRule="auto"/>
        <w:jc w:val="both"/>
        <w:tabs>
          <w:tab w:val="clear" w:pos="288"/>
          <w:tab w:val="decimal" w:pos="360"/>
        </w:tabs>
        <w:numPr>
          <w:ilvl w:val="0"/>
          <w:numId w:val="2"/>
        </w:numP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Projekt bude uskute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čněn dle podrobného popisu projektu, tak jak je uveden v žádosti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Partnera, která je </w:t>
      </w:r>
      <w:r>
        <w:rPr>
          <w:b w:val="true"/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Přílohou č. 1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této smlouvy, a to v době od 31.01.2018 do 30.01.2019 ,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tedy v délce 12 měsíců (dále jen </w:t>
      </w:r>
      <w:r>
        <w:rPr>
          <w:b w:val="true"/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„Popis projektu"),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a dle finálního rozpočtu Projektu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zpracovaného Partnerem, který tvoří 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Přílohu č. 2.</w:t>
      </w:r>
    </w:p>
    <w:p>
      <w:pPr>
        <w:ind w:right="288" w:left="360" w:firstLine="-288"/>
        <w:spacing w:before="108" w:after="0" w:line="240" w:lineRule="auto"/>
        <w:jc w:val="both"/>
        <w:tabs>
          <w:tab w:val="clear" w:pos="288"/>
          <w:tab w:val="decimal" w:pos="360"/>
        </w:tabs>
        <w:numPr>
          <w:ilvl w:val="0"/>
          <w:numId w:val="2"/>
        </w:numP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NFA se zavazuje, že na konání Projektu poskytne P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říspěvek uvedený ad L, přičemž NFA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nejpozději do 28.2.2018 Partnerovi poskytne 75 % Příspěvku, tj. </w:t>
      </w:r>
      <w:r>
        <w:rPr>
          <w:b w:val="true"/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41250 Kč.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Zbylých 25 %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Příspěvku poskytne do 40 dnů od zástupcem NFA schváleného řádného vyúčtování Projektu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a doručení závěrečné zprávy o realizaci Projektu včetně všech příloh. Platby budou zaslány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na účet Partnera, který je uvedený v </w: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Příloze č. 1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této smlouvy.</w:t>
      </w:r>
    </w:p>
    <w:p>
      <w:pPr>
        <w:ind w:right="0" w:left="4104" w:firstLine="0"/>
        <w:spacing w:before="0" w:after="0" w:line="192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1/4</w:t>
      </w:r>
    </w:p>
    <w:p>
      <w:pPr>
        <w:sectPr>
          <w:pgSz w:w="11918" w:h="16854" w:orient="portrait"/>
          <w:type w:val="nextPage"/>
          <w:textDirection w:val="lrTb"/>
          <w:pgMar w:bottom="512" w:top="1751" w:right="1497" w:left="1561" w:header="720" w:footer="720"/>
          <w:titlePg w:val="false"/>
        </w:sectPr>
      </w:pPr>
    </w:p>
    <w:p>
      <w:pPr>
        <w:ind w:right="0" w:left="504" w:firstLine="-288"/>
        <w:spacing w:before="0" w:after="0" w:line="240" w:lineRule="auto"/>
        <w:jc w:val="left"/>
        <w:tabs>
          <w:tab w:val="clear" w:pos="288"/>
          <w:tab w:val="decimal" w:pos="504"/>
        </w:tabs>
        <w:numPr>
          <w:ilvl w:val="0"/>
          <w:numId w:val="3"/>
        </w:numP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440pt;height:9.75pt;z-index:-996;margin-left:0pt;margin-top:71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4" w:lineRule="auto"/>
                    <w:jc w:val="center"/>
                    <w:framePr w:hAnchor="text" w:vAnchor="text" w:y="14220" w:w="8800" w:h="195" w:hSpace="0" w:vSpace="0" w:wrap="3"/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2/4</w:t>
                  </w:r>
                </w:p>
              </w:txbxContent>
            </v:textbox>
          </v:shape>
        </w:pic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Partner se zavazuje, že zrealizuje Projekt v souladu </w:t>
      </w:r>
      <w:r>
        <w:rPr>
          <w:b w:val="true"/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s Popisem 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projektu a dle pokyn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ů</w:t>
      </w:r>
    </w:p>
    <w:p>
      <w:pPr>
        <w:ind w:right="0" w:left="432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říloze č. 3 NFA bude posílat průběžné zprávy o jeho realizaci.</w:t>
      </w:r>
    </w:p>
    <w:p>
      <w:pPr>
        <w:ind w:right="144" w:left="504" w:firstLine="-288"/>
        <w:spacing w:before="108" w:after="0" w:line="240" w:lineRule="auto"/>
        <w:jc w:val="left"/>
        <w:tabs>
          <w:tab w:val="clear" w:pos="288"/>
          <w:tab w:val="decimal" w:pos="504"/>
        </w:tabs>
        <w:numPr>
          <w:ilvl w:val="0"/>
          <w:numId w:val="3"/>
        </w:numP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řípěvek Partner nabývá v souladu s platnými právními předpisy o rozpočtových pravidlech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územních rozpočtů pro svého zřizovatele.</w:t>
      </w:r>
    </w:p>
    <w:p>
      <w:pPr>
        <w:ind w:right="0" w:left="0" w:firstLine="0"/>
        <w:spacing w:before="864" w:after="0" w:line="240" w:lineRule="auto"/>
        <w:jc w:val="center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Další ujednání</w:t>
      </w:r>
    </w:p>
    <w:p>
      <w:pPr>
        <w:ind w:right="144" w:left="504" w:firstLine="-288"/>
        <w:spacing w:before="0" w:after="0" w:line="240" w:lineRule="auto"/>
        <w:jc w:val="both"/>
        <w:tabs>
          <w:tab w:val="clear" w:pos="288"/>
          <w:tab w:val="decimal" w:pos="504"/>
        </w:tabs>
        <w:numPr>
          <w:ilvl w:val="0"/>
          <w:numId w:val="4"/>
        </w:numP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Smluvní strany jsou povinny zachovávat ml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čenlivost o skutečnostech, které jsou pro druhou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stranu důvěrnými informacemi a které zjistí při pinění této smlouvy, a to i po ukončení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spolupráce ve smyslu této smlouvy.</w:t>
      </w:r>
    </w:p>
    <w:p>
      <w:pPr>
        <w:ind w:right="144" w:left="504" w:firstLine="-288"/>
        <w:spacing w:before="72" w:after="0" w:line="240" w:lineRule="auto"/>
        <w:jc w:val="both"/>
        <w:tabs>
          <w:tab w:val="clear" w:pos="288"/>
          <w:tab w:val="decimal" w:pos="504"/>
        </w:tabs>
        <w:numPr>
          <w:ilvl w:val="0"/>
          <w:numId w:val="4"/>
        </w:numP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Veškerá sd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ělení, není-li dále stanoveno jinak, se zasílají příslušnému příjemci na adresu či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faxové číslo uvedené níže, nebo na takovou jinou adresu či faxové číslo, které může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kterákoli ze smluvních stran podle potřeby písemně sdělit druhé smluvní straně: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510"/>
        <w:gridCol w:w="6290"/>
      </w:tblGrid>
      <w:tr>
        <w:trPr>
          <w:trHeight w:val="127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51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Adresa Partnera: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800" w:type="auto"/>
            <w:textDirection w:val="lrTb"/>
            <w:vAlign w:val="top"/>
          </w:tcPr>
          <w:p>
            <w:pPr>
              <w:ind w:right="900" w:left="468" w:firstLine="0"/>
              <w:spacing w:before="0" w:after="0" w:line="240" w:lineRule="auto"/>
              <w:jc w:val="left"/>
              <w:rPr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  <w:t xml:space="preserve">D</w:t>
            </w:r>
            <w:r>
              <w:rPr>
                <w:color w:val="#000000"/>
                <w:sz w:val="22"/>
                <w:lang w:val="cs-CZ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  <w:t xml:space="preserve">ětský domov a Školní jídelna, Hranice, Purgešova 847 </w:t>
            </w: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Purgešova 847</w:t>
            </w:r>
          </w:p>
          <w:p>
            <w:pPr>
              <w:ind w:right="0" w:left="475" w:firstLine="0"/>
              <w:spacing w:before="0" w:after="0" w:line="196" w:lineRule="auto"/>
              <w:jc w:val="lef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753 01 Hranice</w:t>
            </w:r>
          </w:p>
          <w:p>
            <w:pPr>
              <w:ind w:right="0" w:left="475" w:firstLine="0"/>
              <w:spacing w:before="0" w:after="0" w:line="283" w:lineRule="auto"/>
              <w:jc w:val="lef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Česká republika</w:t>
            </w:r>
          </w:p>
          <w:p>
            <w:pPr>
              <w:ind w:right="0" w:left="475" w:firstLine="0"/>
              <w:spacing w:before="0" w:after="0" w:line="201" w:lineRule="auto"/>
              <w:jc w:val="lef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</w:pPr>
            <w:hyperlink r:id="drId5">
              <w:r>
                <w:rPr>
                  <w:color w:val="#0000FF"/>
                  <w:sz w:val="22"/>
                  <w:lang w:val="cs-CZ"/>
                  <w:spacing w:val="0"/>
                  <w:w w:val="100"/>
                  <w:strike w:val="false"/>
                  <w:u w:val="single"/>
                  <w:vertAlign w:val="baseline"/>
                  <w:rFonts w:ascii="Times New Roman" w:hAnsi="Times New Roman"/>
                </w:rPr>
                <w:t xml:space="preserve">reditelka@ddhranice.cz</w:t>
              </w:r>
            </w:hyperlink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,</w:t>
            </w: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 </w:t>
            </w:r>
            <w:hyperlink r:id="drId6">
              <w:r>
                <w:rPr>
                  <w:color w:val="#0000FF"/>
                  <w:sz w:val="22"/>
                  <w:lang w:val="cs-CZ"/>
                  <w:spacing w:val="0"/>
                  <w:w w:val="100"/>
                  <w:strike w:val="false"/>
                  <w:u w:val="single"/>
                  <w:vertAlign w:val="baseline"/>
                  <w:rFonts w:ascii="Times New Roman" w:hAnsi="Times New Roman"/>
                </w:rPr>
                <w:t xml:space="preserve">ddhranice.cz</w:t>
              </w:r>
            </w:hyperlink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</w:tr>
    </w:tbl>
    <w:p>
      <w:pPr>
        <w:spacing w:before="0" w:after="268" w:line="20" w:lineRule="exact"/>
      </w:pPr>
    </w:p>
    <w:p>
      <w:pPr>
        <w:ind w:right="0" w:left="576" w:firstLine="0"/>
        <w:spacing w:before="0" w:after="0" w:line="211" w:lineRule="auto"/>
        <w:jc w:val="left"/>
        <w:tabs>
          <w:tab w:val="right" w:leader="none" w:pos="5080"/>
        </w:tabs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Adresa NFA:	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Nada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ční fond ALBERT</w:t>
      </w:r>
    </w:p>
    <w:p>
      <w:pPr>
        <w:ind w:right="0" w:left="2952" w:firstLine="0"/>
        <w:spacing w:before="36" w:after="0" w:line="206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Radlická 117</w:t>
      </w:r>
    </w:p>
    <w:p>
      <w:pPr>
        <w:ind w:right="2952" w:left="2952" w:firstLine="0"/>
        <w:spacing w:before="36" w:after="0" w:line="240" w:lineRule="auto"/>
        <w:jc w:val="left"/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7"/>
          <w:w w:val="100"/>
          <w:strike w:val="false"/>
          <w:vertAlign w:val="baseline"/>
          <w:rFonts w:ascii="Times New Roman" w:hAnsi="Times New Roman"/>
        </w:rPr>
        <w:t xml:space="preserve">158 00 Praha 5 — Nové Butovice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česká Republika</w:t>
      </w:r>
    </w:p>
    <w:p>
      <w:pPr>
        <w:ind w:right="0" w:left="2952" w:firstLine="0"/>
        <w:spacing w:before="0" w:after="0" w:line="240" w:lineRule="auto"/>
        <w:jc w:val="left"/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hyperlink r:id="drId7">
        <w:r>
          <w:rPr>
            <w:color w:val="#0000FF"/>
            <w:sz w:val="22"/>
            <w:lang w:val="cs-CZ"/>
            <w:spacing w:val="0"/>
            <w:w w:val="100"/>
            <w:strike w:val="false"/>
            <w:u w:val="single"/>
            <w:vertAlign w:val="baseline"/>
            <w:rFonts w:ascii="Times New Roman" w:hAnsi="Times New Roman"/>
          </w:rPr>
          <w:t xml:space="preserve">info@nadacnifondalbert.cz</w:t>
        </w:r>
      </w:hyperlink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504" w:firstLine="-288"/>
        <w:spacing w:before="108" w:after="0" w:line="240" w:lineRule="auto"/>
        <w:jc w:val="left"/>
        <w:tabs>
          <w:tab w:val="clear" w:pos="288"/>
          <w:tab w:val="decimal" w:pos="504"/>
        </w:tabs>
        <w:numPr>
          <w:ilvl w:val="0"/>
          <w:numId w:val="4"/>
        </w:numP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Ob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 smluvní strany se zavazují spinit vše, k čemu se zavázaly v přílohách této smlouvy.</w:t>
      </w:r>
    </w:p>
    <w:p>
      <w:pPr>
        <w:ind w:right="144" w:left="504" w:firstLine="-288"/>
        <w:spacing w:before="108" w:after="0" w:line="240" w:lineRule="auto"/>
        <w:jc w:val="both"/>
        <w:tabs>
          <w:tab w:val="clear" w:pos="288"/>
          <w:tab w:val="decimal" w:pos="504"/>
        </w:tabs>
        <w:numPr>
          <w:ilvl w:val="0"/>
          <w:numId w:val="4"/>
        </w:numP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Každá smluvní strana odpovídá za to, že jí poskytnuté pin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ění, materiály (věci) určené pro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akci neporušují zákony České republiky. Především taková věc nesmí ohrožovat zdraví lidí 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nebo jejich majetek. Vše co bude smluvními stranami použito pro tuto akci, musí být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vyrobeno takovým způsobem a z takového materiálu, který je všestranně vhodný pro místo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svého použití. Zejména musí vyhovovat hygienickým i technickým a protipožárním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předpisům.</w:t>
      </w:r>
    </w:p>
    <w:p>
      <w:pPr>
        <w:ind w:right="144" w:left="504" w:firstLine="-288"/>
        <w:spacing w:before="108" w:after="0" w:line="240" w:lineRule="auto"/>
        <w:jc w:val="both"/>
        <w:tabs>
          <w:tab w:val="clear" w:pos="288"/>
          <w:tab w:val="decimal" w:pos="504"/>
        </w:tabs>
        <w:numPr>
          <w:ilvl w:val="0"/>
          <w:numId w:val="4"/>
        </w:numP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00000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řípadě, že proti NFA bude v důsledku vadnosti pinění Partnera a konání Projektu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(zejména pro jeho rozpor s právními předpisy, jinými závaznými požadavky nebo dobrými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mravy) nebo v důsledku jakéhokoli jiného porušení povinnosti Partnera, zahájeno správní,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soudní či arbitrážní řízení, zavazuje se Partner NFA nahradit veškeré příslušné újmy a škody,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včetně veškerých pokut, poplatků, nákladů na právní zastoupení, peněžitých trestů, újmy na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dobré pověsti apod. Dle výslovné dohody smluvních stran je NFA oprávněn k rozúčtování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vzniklé škody, a to dle svého nejlepšího vědomí a s přihlédnutím ke konkrétním okolnostem,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přičemž Partner se zavazuje takové rozúčtování akceptovat a příslušnou částku zaplatit ve 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lhůtě 30 dnů ode dne doručení faktury vystavené NFA. Rozúčtování nesmí být zjevně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nespravedlivé a nesprávné.</w:t>
      </w:r>
    </w:p>
    <w:p>
      <w:pPr>
        <w:ind w:right="144" w:left="504" w:firstLine="-288"/>
        <w:spacing w:before="144" w:after="0" w:line="240" w:lineRule="auto"/>
        <w:jc w:val="both"/>
        <w:tabs>
          <w:tab w:val="clear" w:pos="288"/>
          <w:tab w:val="decimal" w:pos="504"/>
        </w:tabs>
        <w:numPr>
          <w:ilvl w:val="0"/>
          <w:numId w:val="4"/>
        </w:numP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Projevy žádné ze smluvních stran (a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ť již hmotného či nehmotného charakteru) souvisící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s piněním této smlouvy nesmí obsahovat cokoli, co by uráželo mravní, národnostní nebo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náboženské cítění obyvatel, a to zejména vulgárností, propagací násilí, nesmí obsahovat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propagaci žádné politické strany nebo politického směru a podobně. Nesmí také poškozovat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dobré jméno nebo oprávněné zájmy druhé smluvní strany. Za poškozování oprávněných 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zájmů NFA se považuje i v průběhu realizace projektu zveřejněná reklama subjektů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provozujících jiné obchodní řetězce než jsou obchodní řetězce ze skupiny Ahold.</w:t>
      </w:r>
    </w:p>
    <w:p>
      <w:pPr>
        <w:ind w:right="144" w:left="504" w:firstLine="-288"/>
        <w:spacing w:before="72" w:after="0" w:line="240" w:lineRule="auto"/>
        <w:jc w:val="left"/>
        <w:tabs>
          <w:tab w:val="clear" w:pos="288"/>
          <w:tab w:val="decimal" w:pos="504"/>
        </w:tabs>
        <w:numPr>
          <w:ilvl w:val="0"/>
          <w:numId w:val="4"/>
        </w:numP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Poruší-li Partner p</w:t>
      </w:r>
      <w:r>
        <w:rPr>
          <w:color w:val="#000000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ředchozí ustanovení odst. IV. 4), 5) a 6), je NFA oprávněn od této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smlouvy odstoupit a byl-li již Příspěvek poskytnut, požadovat jeho vrácení v piné výši.</w:t>
      </w:r>
    </w:p>
    <w:p>
      <w:pPr>
        <w:sectPr>
          <w:pgSz w:w="11918" w:h="16854" w:orient="portrait"/>
          <w:type w:val="nextPage"/>
          <w:textDirection w:val="lrTb"/>
          <w:pgMar w:bottom="750" w:top="1554" w:right="1653" w:left="1405" w:header="720" w:footer="720"/>
          <w:titlePg w:val="false"/>
        </w:sectPr>
      </w:pPr>
    </w:p>
    <w:p>
      <w:pPr>
        <w:ind w:right="144" w:left="504" w:firstLine="-360"/>
        <w:spacing w:before="0" w:after="0" w:line="240" w:lineRule="auto"/>
        <w:jc w:val="both"/>
        <w:tabs>
          <w:tab w:val="clear" w:pos="360"/>
          <w:tab w:val="decimal" w:pos="504"/>
        </w:tabs>
        <w:numPr>
          <w:ilvl w:val="0"/>
          <w:numId w:val="5"/>
        </w:numPr>
        <w:rPr>
          <w:color w:val="#0B0C0D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440pt;height:9.95pt;z-index:-995;margin-left:0pt;margin-top:711.4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6" w:lineRule="auto"/>
                    <w:jc w:val="center"/>
                    <w:framePr w:hAnchor="text" w:vAnchor="text" w:y="14229" w:w="8800" w:h="199" w:hSpace="0" w:vSpace="0" w:wrap="3"/>
                    <w:rPr>
                      <w:color w:val="#0B0C0D"/>
                      <w:sz w:val="2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B0C0D"/>
                      <w:sz w:val="2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3/4</w:t>
                  </w:r>
                </w:p>
              </w:txbxContent>
            </v:textbox>
          </v:shape>
        </w:pict>
      </w:r>
      <w:r>
        <w:rPr>
          <w:color w:val="#0B0C0D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Partner je povinen umístit bezplatn</w:t>
      </w:r>
      <w:r>
        <w:rPr>
          <w:color w:val="#0B0C0D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ě na všech akcích nebo materiálech, které souvisí </w:t>
      </w: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 Projektem, logo NFA. „Logomanuál" je součástí </w:t>
      </w:r>
      <w:r>
        <w:rPr>
          <w:b w:val="true"/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Přílohy č. 3 </w:t>
      </w: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(Instrukce pro příjemce Příspěvku) této smlouvy.</w:t>
      </w:r>
    </w:p>
    <w:p>
      <w:pPr>
        <w:ind w:right="144" w:left="504" w:firstLine="-360"/>
        <w:spacing w:before="72" w:after="0" w:line="240" w:lineRule="auto"/>
        <w:jc w:val="both"/>
        <w:tabs>
          <w:tab w:val="clear" w:pos="360"/>
          <w:tab w:val="decimal" w:pos="504"/>
        </w:tabs>
        <w:numPr>
          <w:ilvl w:val="0"/>
          <w:numId w:val="5"/>
        </w:numPr>
        <w:rPr>
          <w:color w:val="#0B0C0D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B0C0D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Pokud Projekt nebude uskute</w:t>
      </w:r>
      <w:r>
        <w:rPr>
          <w:color w:val="#0B0C0D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čněn, nebo bude uskutečněn v rozsahu menším než 80 % rozsahu uvedeného v </w:t>
      </w:r>
      <w:r>
        <w:rPr>
          <w:b w:val="true"/>
          <w:color w:val="#0B0C0D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Příloze č. 1 </w:t>
      </w:r>
      <w:r>
        <w:rPr>
          <w:color w:val="#0B0C0D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této smlouvy, je Partner povinen celý Příspěvek na </w:t>
      </w:r>
      <w:r>
        <w:rPr>
          <w:color w:val="#0B0C0D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písemnou nebo emailovou výzvu NFA vrátit, a to do 15 dnů od data doručení takové </w:t>
      </w: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písemné nebo emailové výzvy.</w:t>
      </w:r>
    </w:p>
    <w:p>
      <w:pPr>
        <w:ind w:right="144" w:left="360" w:firstLine="-216"/>
        <w:spacing w:before="144" w:after="0" w:line="240" w:lineRule="auto"/>
        <w:jc w:val="both"/>
        <w:rPr>
          <w:color w:val="#0B0C0D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B0C0D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10)Smiuvni strany se dohodly, že v p</w:t>
      </w:r>
      <w:r>
        <w:rPr>
          <w:color w:val="#0B0C0D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řípadě porušení povinností uvedených v čl. III odst. 9 </w:t>
      </w:r>
      <w:r>
        <w:rPr>
          <w:color w:val="#0B0C0D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této smlouvy ze strany Partnera, je Partner povinen uhradit NFA smluvní pokutu ve výši </w:t>
      </w: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55 000,- Kč slovy (padesátpěttisíc korun českých).</w:t>
      </w:r>
    </w:p>
    <w:p>
      <w:pPr>
        <w:ind w:right="144" w:left="360" w:firstLine="-216"/>
        <w:spacing w:before="144" w:after="0" w:line="240" w:lineRule="auto"/>
        <w:jc w:val="both"/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11)Uhrazením sjednané smluvní pokuty není dot</w:t>
      </w: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čeno právo NFA na náhradu škody v piném </w:t>
      </w:r>
      <w:r>
        <w:rPr>
          <w:color w:val="#0B0C0D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rozsahu. Pro vyloučení všech pochybností se má za to, že NFA není odpovědný za </w:t>
      </w:r>
      <w:r>
        <w:rPr>
          <w:color w:val="#0B0C0D"/>
          <w:sz w:val="22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jakoukoliv Partnerovi neúmyslně způsobenou škodu vzniklou při pinění smluvních </w:t>
      </w: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povinností dle této smlouvy stejně jako povinností z této smlouvy vyplývajících.</w:t>
      </w:r>
    </w:p>
    <w:p>
      <w:pPr>
        <w:ind w:right="144" w:left="360" w:firstLine="-216"/>
        <w:spacing w:before="108" w:after="0" w:line="240" w:lineRule="auto"/>
        <w:jc w:val="both"/>
        <w:rPr>
          <w:color w:val="#0B0C0D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B0C0D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12)Jakákoli listina (dopis apod.) odeslaná na adresu sídla strany této smlouvy se považuje za </w:t>
      </w:r>
      <w:r>
        <w:rPr>
          <w:color w:val="#0B0C0D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doru</w:t>
      </w:r>
      <w:r>
        <w:rPr>
          <w:color w:val="#0B0C0D"/>
          <w:sz w:val="22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čenou třetím dnem po odeslání takové listiny poštou, doporučeným dopisem, pokud </w:t>
      </w:r>
      <w:r>
        <w:rPr>
          <w:color w:val="#0B0C0D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bude odesilateli takový dopis vrácen s tím, že jej nebylo možno doručit z důvodů na straně </w:t>
      </w: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adresáta. V případě doručování výzvy dle předchozího odstavce prostřednictvím e-mailové zprávy, považuje se výzva za doručenou okamžikem odeslání příslušného e-mailu.</w:t>
      </w:r>
    </w:p>
    <w:p>
      <w:pPr>
        <w:ind w:right="0" w:left="0" w:firstLine="0"/>
        <w:spacing w:before="504" w:after="0" w:line="360" w:lineRule="auto"/>
        <w:jc w:val="center"/>
        <w:rPr>
          <w:b w:val="true"/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IV.
</w:t>
        <w:br/>
      </w:r>
      <w:r>
        <w:rPr>
          <w:b w:val="true"/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Platnost smlouvy</w:t>
      </w:r>
    </w:p>
    <w:p>
      <w:pPr>
        <w:ind w:right="144" w:left="504" w:firstLine="-288"/>
        <w:spacing w:before="108" w:after="0" w:line="240" w:lineRule="auto"/>
        <w:jc w:val="both"/>
        <w:tabs>
          <w:tab w:val="clear" w:pos="288"/>
          <w:tab w:val="decimal" w:pos="504"/>
        </w:tabs>
        <w:numPr>
          <w:ilvl w:val="0"/>
          <w:numId w:val="6"/>
        </w:numPr>
        <w:rPr>
          <w:color w:val="#0B0C0D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B0C0D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Tato smlouva nabývá platnosti a ú</w:t>
      </w:r>
      <w:r>
        <w:rPr>
          <w:color w:val="#0B0C0D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činnosti dnem jejího podpisu oběma smluvními stranami. </w:t>
      </w:r>
      <w:r>
        <w:rPr>
          <w:color w:val="#0B0C0D"/>
          <w:sz w:val="22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Její zrušení je možné jen písemnou dohodou obou smluvních stran nebo okamžitým </w:t>
      </w: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odstoupením jedné ze smluvních stran.</w:t>
      </w:r>
    </w:p>
    <w:p>
      <w:pPr>
        <w:ind w:right="144" w:left="504" w:firstLine="-288"/>
        <w:spacing w:before="72" w:after="0" w:line="240" w:lineRule="auto"/>
        <w:jc w:val="both"/>
        <w:tabs>
          <w:tab w:val="clear" w:pos="288"/>
          <w:tab w:val="decimal" w:pos="504"/>
        </w:tabs>
        <w:numPr>
          <w:ilvl w:val="0"/>
          <w:numId w:val="6"/>
        </w:numPr>
        <w:rPr>
          <w:color w:val="#0B0C0D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B0C0D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B0C0D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ři zániku této smlouvy bude provedeno vyúčtování a nevyužité finanční prostředky či jiné </w:t>
      </w:r>
      <w:r>
        <w:rPr>
          <w:color w:val="#0B0C0D"/>
          <w:sz w:val="22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pinění je Partner povinen vrátit NFA do 15 dnů od zániku této smlouvy. Současně </w:t>
      </w:r>
      <w:r>
        <w:rPr>
          <w:color w:val="#0B0C0D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s odstoupením od smlouvy je NFA oprávněn zakázat Partnerovi výplatu jakýchkoli </w:t>
      </w:r>
      <w:r>
        <w:rPr>
          <w:color w:val="#0B0C0D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finančních prostředků třetím stranám, s výjimkou pinění již uzavřených smluv s třetími </w:t>
      </w: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stranami.</w:t>
      </w:r>
    </w:p>
    <w:p>
      <w:pPr>
        <w:ind w:right="0" w:left="504" w:firstLine="-288"/>
        <w:spacing w:before="144" w:after="0" w:line="240" w:lineRule="auto"/>
        <w:jc w:val="both"/>
        <w:tabs>
          <w:tab w:val="clear" w:pos="288"/>
          <w:tab w:val="decimal" w:pos="504"/>
        </w:tabs>
        <w:numPr>
          <w:ilvl w:val="0"/>
          <w:numId w:val="6"/>
        </w:numPr>
        <w:rPr>
          <w:color w:val="#0B0C0D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B0C0D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Vypov</w:t>
      </w:r>
      <w:r>
        <w:rPr>
          <w:color w:val="#0B0C0D"/>
          <w:sz w:val="22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ědět tuto smlouvu není možné.</w:t>
      </w:r>
    </w:p>
    <w:p>
      <w:pPr>
        <w:ind w:right="144" w:left="504" w:firstLine="-288"/>
        <w:spacing w:before="72" w:after="0" w:line="240" w:lineRule="auto"/>
        <w:jc w:val="both"/>
        <w:tabs>
          <w:tab w:val="clear" w:pos="288"/>
          <w:tab w:val="decimal" w:pos="504"/>
        </w:tabs>
        <w:numPr>
          <w:ilvl w:val="0"/>
          <w:numId w:val="6"/>
        </w:numP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NFA m</w:t>
      </w: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ůže od této smlouvy okamžitě odstoupit, v případě hrubého nevděku Partnera dle ust. </w:t>
      </w:r>
      <w:r>
        <w:rPr>
          <w:color w:val="#0B0C0D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§ 2072 NOZ. Tato smlouva v takovém případě od počátku zaniká a Partner je povinen </w:t>
      </w: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veškeré finanční prostředky, které dle této smlouvy od NFA obdržel, vrátit do 15 dnů od doručení oznámení NFA o odstoupení od smlouvy.</w:t>
      </w:r>
    </w:p>
    <w:p>
      <w:pPr>
        <w:ind w:right="0" w:left="0" w:firstLine="0"/>
        <w:spacing w:before="396" w:after="0" w:line="201" w:lineRule="auto"/>
        <w:jc w:val="center"/>
        <w:rPr>
          <w:b w:val="true"/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V.</w:t>
      </w:r>
    </w:p>
    <w:p>
      <w:pPr>
        <w:ind w:right="0" w:left="0" w:firstLine="0"/>
        <w:spacing w:before="144" w:after="0" w:line="211" w:lineRule="auto"/>
        <w:jc w:val="center"/>
        <w:rPr>
          <w:b w:val="true"/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Záv</w:t>
      </w:r>
      <w:r>
        <w:rPr>
          <w:b w:val="true"/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ěrečná ustanovení</w:t>
      </w:r>
    </w:p>
    <w:p>
      <w:pPr>
        <w:ind w:right="144" w:left="504" w:firstLine="-288"/>
        <w:spacing w:before="0" w:after="0" w:line="240" w:lineRule="auto"/>
        <w:jc w:val="both"/>
        <w:tabs>
          <w:tab w:val="clear" w:pos="288"/>
          <w:tab w:val="decimal" w:pos="504"/>
        </w:tabs>
        <w:numPr>
          <w:ilvl w:val="0"/>
          <w:numId w:val="7"/>
        </w:numPr>
        <w:rPr>
          <w:color w:val="#0B0C0D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B0C0D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Smluvní strany se dohodly a výslovn</w:t>
      </w:r>
      <w:r>
        <w:rPr>
          <w:color w:val="#0B0C0D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ě prohlašují, že ani jedna z nich není oprávněna </w:t>
      </w:r>
      <w:r>
        <w:rPr>
          <w:color w:val="#0B0C0D"/>
          <w:sz w:val="22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k jednostrannému postoupení smlouvy jako celku. Partner není oprávněn postoupit jakoukoli </w:t>
      </w:r>
      <w:r>
        <w:rPr>
          <w:color w:val="#0B0C0D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pohledávku (nebo její část) vyplývající z této smlouvy. Partner není oprávněn započíst jakoukoli svojí pohledávku (nebo její část) vyplývající z této smlouvy proti pohledávce, </w:t>
      </w: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kterou má NFA vůči Partnerovi.</w:t>
      </w:r>
    </w:p>
    <w:p>
      <w:pPr>
        <w:ind w:right="144" w:left="504" w:firstLine="-288"/>
        <w:spacing w:before="108" w:after="0" w:line="240" w:lineRule="auto"/>
        <w:jc w:val="left"/>
        <w:tabs>
          <w:tab w:val="clear" w:pos="288"/>
          <w:tab w:val="decimal" w:pos="504"/>
        </w:tabs>
        <w:numPr>
          <w:ilvl w:val="0"/>
          <w:numId w:val="7"/>
        </w:numPr>
        <w:rPr>
          <w:color w:val="#0B0C0D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B0C0D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Smluvní strany prohlašuji, že mají v úmyslu uzav</w:t>
      </w:r>
      <w:r>
        <w:rPr>
          <w:color w:val="#0B0C0D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řít smlouvu, jejíž ujednání budou na </w:t>
      </w:r>
      <w:r>
        <w:rPr>
          <w:color w:val="#0B0C0D"/>
          <w:sz w:val="21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jedné </w:t>
      </w: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listině.</w:t>
      </w:r>
    </w:p>
    <w:p>
      <w:pPr>
        <w:ind w:right="144" w:left="504" w:firstLine="-288"/>
        <w:spacing w:before="144" w:after="0" w:line="240" w:lineRule="auto"/>
        <w:jc w:val="left"/>
        <w:tabs>
          <w:tab w:val="clear" w:pos="288"/>
          <w:tab w:val="decimal" w:pos="504"/>
        </w:tabs>
        <w:numPr>
          <w:ilvl w:val="0"/>
          <w:numId w:val="7"/>
        </w:numP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Smluvní strany prohlašují, že v piném rozsahu odkazují na sjednaný text </w:t>
      </w:r>
      <w:r>
        <w:rPr>
          <w:color w:val="#0B0C0D"/>
          <w:sz w:val="21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smlouvy a ani </w:t>
      </w: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jedna z nich nebude uplat</w:t>
      </w:r>
      <w:r>
        <w:rPr>
          <w:color w:val="#0B0C0D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ňovat či odkazovat na vzájemné obchodní zvyklosti.</w:t>
      </w:r>
    </w:p>
    <w:p>
      <w:pPr>
        <w:sectPr>
          <w:pgSz w:w="11918" w:h="16854" w:orient="portrait"/>
          <w:type w:val="nextPage"/>
          <w:textDirection w:val="lrTb"/>
          <w:pgMar w:bottom="661" w:top="1634" w:right="1616" w:left="1442" w:header="720" w:footer="720"/>
          <w:titlePg w:val="false"/>
        </w:sectPr>
      </w:pPr>
    </w:p>
    <w:p>
      <w:pPr>
        <w:ind w:right="144" w:left="504" w:firstLine="-360"/>
        <w:spacing w:before="0" w:after="0" w:line="240" w:lineRule="auto"/>
        <w:jc w:val="both"/>
        <w:tabs>
          <w:tab w:val="clear" w:pos="360"/>
          <w:tab w:val="decimal" w:pos="504"/>
        </w:tabs>
        <w:numPr>
          <w:ilvl w:val="0"/>
          <w:numId w:val="8"/>
        </w:numP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440pt;height:9.8pt;z-index:-994;margin-left:0pt;margin-top:710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176" w:firstLine="0"/>
                    <w:spacing w:before="0" w:after="0" w:line="204" w:lineRule="auto"/>
                    <w:jc w:val="0"/>
                    <w:framePr w:hAnchor="text" w:vAnchor="text" w:y="14216" w:w="8800" w:h="196" w:hSpace="0" w:vSpace="0" w:wrap="3"/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414</w:t>
                  </w:r>
                </w:p>
              </w:txbxContent>
            </v:textbox>
          </v:shape>
        </w:pic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Všechny právní vztahy založené touto smlouvou se budou pin</w:t>
      </w:r>
      <w:r>
        <w:rPr>
          <w:color w:val="#000000"/>
          <w:sz w:val="22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ě' řídit příslušnými 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ustanoveními NOZ a předpisů souvisících, přičemž smluvní strany tímto výslovně vylučují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aplikaci následujících ustanovení NOZ: § 557, § 558 odst. </w:t>
      </w:r>
      <w:r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1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věta druhá, § 564 věta za'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středníkem (resp. smluvní strany vylučují změnu této smlouvy v jiné než písemné formě,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přičemž změna a doplňky této smlouvy musí být podepsány oběma smluvními stranami na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jedné listině), § </w:t>
      </w:r>
      <w:r>
        <w:rPr>
          <w:b w:val="true"/>
          <w:color w:val="#000000"/>
          <w:sz w:val="21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1740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odst. 2 věta druhá, § 1740 odst. 3 věta první (resp. NFA výslovně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vylučuje přijetí nabídky s dodatkem nebo odchylkou) a § 1744.</w:t>
      </w:r>
    </w:p>
    <w:p>
      <w:pPr>
        <w:ind w:right="0" w:left="504" w:firstLine="-360"/>
        <w:spacing w:before="108" w:after="0" w:line="266" w:lineRule="auto"/>
        <w:jc w:val="both"/>
        <w:tabs>
          <w:tab w:val="clear" w:pos="360"/>
          <w:tab w:val="decimal" w:pos="504"/>
        </w:tabs>
        <w:numPr>
          <w:ilvl w:val="0"/>
          <w:numId w:val="8"/>
        </w:numP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Tato smlouva je vyhotovena ve 2 stejnopisech, každá ze smluvních stran obdrží po jednom.</w:t>
      </w:r>
    </w:p>
    <w:p>
      <w:pPr>
        <w:ind w:right="144" w:left="504" w:firstLine="-360"/>
        <w:spacing w:before="72" w:after="0" w:line="240" w:lineRule="auto"/>
        <w:jc w:val="both"/>
        <w:tabs>
          <w:tab w:val="clear" w:pos="360"/>
          <w:tab w:val="decimal" w:pos="504"/>
        </w:tabs>
        <w:numPr>
          <w:ilvl w:val="0"/>
          <w:numId w:val="8"/>
        </w:numP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Je-li nebo stane-li se n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ěkteré ustanovení této smlouvy neplatné či neúčinné, nedotýká se to 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ostatních ustanovení této smlouvy, která zůstávají platná a účinná. Smluvní strany se v tomto </w:t>
      </w:r>
      <w:r>
        <w:rPr>
          <w:color w:val="#000000"/>
          <w:sz w:val="22"/>
          <w:lang w:val="cs-CZ"/>
          <w:spacing w:val="14"/>
          <w:w w:val="100"/>
          <w:strike w:val="false"/>
          <w:vertAlign w:val="baseline"/>
          <w:rFonts w:ascii="Times New Roman" w:hAnsi="Times New Roman"/>
        </w:rPr>
        <w:t xml:space="preserve">případě zavazují nahradit ustanovení neplatné/neúčinné novým ustanovením 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platnýmffičinným, které nejlépe odpovídá původně zamýšlenému účelu ustanovení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neplatného/neúčinného. Do té doby platí odpovídající úprava obecně závazných právních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předpisů České republiky.</w:t>
      </w:r>
    </w:p>
    <w:p>
      <w:pPr>
        <w:ind w:right="144" w:left="504" w:firstLine="-360"/>
        <w:spacing w:before="144" w:after="0" w:line="240" w:lineRule="auto"/>
        <w:jc w:val="left"/>
        <w:tabs>
          <w:tab w:val="clear" w:pos="360"/>
          <w:tab w:val="decimal" w:pos="504"/>
        </w:tabs>
        <w:numPr>
          <w:ilvl w:val="0"/>
          <w:numId w:val="8"/>
        </w:numP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Smluvní strany prohlašují, že se p</w:t>
      </w:r>
      <w:r>
        <w:rPr>
          <w:color w:val="#000000"/>
          <w:sz w:val="22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řed uzavřením této smlouvy seznámili s obsahem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dokumentů tvořících přílohy této smlouvy, které jsou její nedílnou součástí.</w:t>
      </w:r>
    </w:p>
    <w:p>
      <w:pPr>
        <w:ind w:right="1296" w:left="504" w:firstLine="-360"/>
        <w:spacing w:before="108" w:after="0" w:line="360" w:lineRule="auto"/>
        <w:jc w:val="left"/>
        <w:tabs>
          <w:tab w:val="clear" w:pos="360"/>
          <w:tab w:val="decimal" w:pos="504"/>
        </w:tabs>
        <w:numPr>
          <w:ilvl w:val="0"/>
          <w:numId w:val="8"/>
        </w:numP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Následující p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řílohy se v okamžiku vzniku stávají nedílnou součástí této smlouvy: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Příloha č. </w:t>
      </w:r>
      <w:r>
        <w:rPr>
          <w:color w:val="#000000"/>
          <w:sz w:val="20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1 </w:t>
      </w:r>
      <w:r>
        <w:rPr>
          <w:color w:val="#000000"/>
          <w:sz w:val="6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— </w:t>
      </w:r>
      <w:r>
        <w:rPr>
          <w:color w:val="#000000"/>
          <w:sz w:val="22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Formulář žádosti vypiněný partnerem</w:t>
      </w:r>
    </w:p>
    <w:p>
      <w:pPr>
        <w:ind w:right="0" w:left="360" w:firstLine="0"/>
        <w:spacing w:before="72" w:after="0" w:line="240" w:lineRule="auto"/>
        <w:jc w:val="left"/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2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říloha č. 2 — Finální rozpočet projektu vytvořený partnerem</w:t>
      </w:r>
    </w:p>
    <w:p>
      <w:pPr>
        <w:ind w:right="0" w:left="360" w:firstLine="0"/>
        <w:spacing w:before="108" w:after="0" w:line="240" w:lineRule="auto"/>
        <w:jc w:val="left"/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2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říloha č. 3 — Instrukce pro příjemce Příspěvku.</w:t>
      </w:r>
    </w:p>
    <w:p>
      <w:pPr>
        <w:ind w:right="0" w:left="72" w:firstLine="0"/>
        <w:spacing w:before="252" w:after="0" w:line="204" w:lineRule="auto"/>
        <w:jc w:val="left"/>
        <w:tabs>
          <w:tab w:val="right" w:leader="none" w:pos="4834"/>
        </w:tabs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NFA:	</w:t>
      </w: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Partner:</w:t>
      </w:r>
    </w:p>
    <w:p>
      <w:pPr>
        <w:ind w:right="0" w:left="4032" w:firstLine="0"/>
        <w:spacing w:before="0" w:after="0" w:line="290" w:lineRule="auto"/>
        <w:jc w:val="left"/>
        <w:rPr>
          <w:b w:val="true"/>
          <w:color w:val="#000000"/>
          <w:sz w:val="21"/>
          <w:lang w:val="cs-CZ"/>
          <w:spacing w:val="18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cs-CZ"/>
          <w:spacing w:val="18"/>
          <w:w w:val="100"/>
          <w:strike w:val="false"/>
          <w:vertAlign w:val="baseline"/>
          <w:rFonts w:ascii="Times New Roman" w:hAnsi="Times New Roman"/>
        </w:rPr>
        <w:t xml:space="preserve">D</w:t>
      </w:r>
      <w:r>
        <w:rPr>
          <w:b w:val="true"/>
          <w:color w:val="#000000"/>
          <w:sz w:val="21"/>
          <w:lang w:val="cs-CZ"/>
          <w:spacing w:val="18"/>
          <w:w w:val="100"/>
          <w:strike w:val="false"/>
          <w:vertAlign w:val="baseline"/>
          <w:rFonts w:ascii="Times New Roman" w:hAnsi="Times New Roman"/>
        </w:rPr>
        <w:t xml:space="preserve">ětský domov a Školní jídelna,</w:t>
      </w:r>
    </w:p>
    <w:p>
      <w:pPr>
        <w:ind w:right="0" w:left="72" w:firstLine="0"/>
        <w:spacing w:before="0" w:after="0" w:line="240" w:lineRule="auto"/>
        <w:jc w:val="left"/>
        <w:tabs>
          <w:tab w:val="right" w:leader="none" w:pos="6295"/>
        </w:tabs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Nada</w:t>
      </w:r>
      <w:r>
        <w:rPr>
          <w:color w:val="#000000"/>
          <w:sz w:val="22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ční </w:t>
      </w: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fond Albert	</w:t>
      </w:r>
      <w:r>
        <w:rPr>
          <w:b w:val="true"/>
          <w:color w:val="#000000"/>
          <w:sz w:val="21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Hranice, Purgešova 847</w:t>
      </w:r>
    </w:p>
    <w:sectPr>
      <w:pgSz w:w="11918" w:h="16854" w:orient="portrait"/>
      <w:type w:val="nextPage"/>
      <w:textDirection w:val="lrTb"/>
      <w:pgMar w:bottom="714" w:top="1594" w:right="1622" w:left="143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)"/>
      <w:start w:val="1"/>
      <w:lvlJc w:val="left"/>
      <w:pPr>
        <w:ind w:left="720"/>
        <w:tabs>
          <w:tab w:val="decimal" w:pos="288"/>
        </w:tabs>
      </w:pPr>
      <w:rPr>
        <w:color w:val="#000000"/>
        <w:sz w:val="22"/>
        <w:lang w:val="cs-CZ"/>
        <w:spacing w:val="2"/>
        <w:w w:val="100"/>
        <w:strike w:val="false"/>
        <w:vertAlign w:val="baseline"/>
        <w:rFonts w:ascii="Times New Roman" w:hAnsi="Times New Roman"/>
      </w:rPr>
    </w:lvl>
  </w:abstractNum>
  <w:abstractNum w:abstractNumId="2">
    <w:lvl w:ilvl="0">
      <w:numFmt w:val="decimal"/>
      <w:lvlText w:val="%1)"/>
      <w:start w:val="4"/>
      <w:lvlJc w:val="left"/>
      <w:pPr>
        <w:ind w:left="720"/>
        <w:tabs>
          <w:tab w:val="decimal" w:pos="288"/>
        </w:tabs>
      </w:pPr>
      <w:rPr>
        <w:color w:val="#000000"/>
        <w:sz w:val="22"/>
        <w:lang w:val="cs-CZ"/>
        <w:spacing w:val="8"/>
        <w:w w:val="100"/>
        <w:strike w:val="false"/>
        <w:vertAlign w:val="baseline"/>
        <w:rFonts w:ascii="Times New Roman" w:hAnsi="Times New Roman"/>
      </w:rPr>
    </w:lvl>
  </w:abstractNum>
  <w:abstractNum w:abstractNumId="3">
    <w:lvl w:ilvl="0">
      <w:numFmt w:val="decimal"/>
      <w:lvlText w:val="%1)"/>
      <w:start w:val="1"/>
      <w:lvlJc w:val="left"/>
      <w:pPr>
        <w:ind w:left="720"/>
        <w:tabs>
          <w:tab w:val="decimal" w:pos="288"/>
        </w:tabs>
      </w:pPr>
      <w:rPr>
        <w:color w:val="#000000"/>
        <w:sz w:val="22"/>
        <w:lang w:val="cs-CZ"/>
        <w:spacing w:val="-2"/>
        <w:w w:val="100"/>
        <w:strike w:val="false"/>
        <w:vertAlign w:val="baseline"/>
        <w:rFonts w:ascii="Times New Roman" w:hAnsi="Times New Roman"/>
      </w:rPr>
    </w:lvl>
  </w:abstractNum>
  <w:abstractNum w:abstractNumId="4">
    <w:lvl w:ilvl="0">
      <w:numFmt w:val="decimal"/>
      <w:lvlText w:val="%1)"/>
      <w:start w:val="8"/>
      <w:lvlJc w:val="left"/>
      <w:pPr>
        <w:ind w:left="720"/>
        <w:tabs>
          <w:tab w:val="decimal" w:pos="360"/>
        </w:tabs>
      </w:pPr>
      <w:rPr>
        <w:color w:val="#0B0C0D"/>
        <w:sz w:val="22"/>
        <w:lang w:val="cs-CZ"/>
        <w:spacing w:val="8"/>
        <w:w w:val="100"/>
        <w:strike w:val="false"/>
        <w:vertAlign w:val="baseline"/>
        <w:rFonts w:ascii="Times New Roman" w:hAnsi="Times New Roman"/>
      </w:rPr>
    </w:lvl>
  </w:abstractNum>
  <w:abstractNum w:abstractNumId="5">
    <w:lvl w:ilvl="0">
      <w:numFmt w:val="decimal"/>
      <w:lvlText w:val="%1)"/>
      <w:start w:val="1"/>
      <w:lvlJc w:val="left"/>
      <w:pPr>
        <w:ind w:left="720"/>
        <w:tabs>
          <w:tab w:val="decimal" w:pos="288"/>
        </w:tabs>
      </w:pPr>
      <w:rPr>
        <w:color w:val="#0B0C0D"/>
        <w:sz w:val="22"/>
        <w:lang w:val="cs-CZ"/>
        <w:spacing w:val="-1"/>
        <w:w w:val="100"/>
        <w:strike w:val="false"/>
        <w:vertAlign w:val="baseline"/>
        <w:rFonts w:ascii="Times New Roman" w:hAnsi="Times New Roman"/>
      </w:rPr>
    </w:lvl>
  </w:abstractNum>
  <w:abstractNum w:abstractNumId="6">
    <w:lvl w:ilvl="0">
      <w:numFmt w:val="decimal"/>
      <w:lvlText w:val="%1)"/>
      <w:start w:val="1"/>
      <w:lvlJc w:val="left"/>
      <w:pPr>
        <w:ind w:left="720"/>
        <w:tabs>
          <w:tab w:val="decimal" w:pos="288"/>
        </w:tabs>
      </w:pPr>
      <w:rPr>
        <w:color w:val="#0B0C0D"/>
        <w:sz w:val="22"/>
        <w:lang w:val="cs-CZ"/>
        <w:spacing w:val="8"/>
        <w:w w:val="100"/>
        <w:strike w:val="false"/>
        <w:vertAlign w:val="baseline"/>
        <w:rFonts w:ascii="Times New Roman" w:hAnsi="Times New Roman"/>
      </w:rPr>
    </w:lvl>
  </w:abstractNum>
  <w:abstractNum w:abstractNumId="7">
    <w:lvl w:ilvl="0">
      <w:numFmt w:val="decimal"/>
      <w:lvlText w:val="%1)"/>
      <w:start w:val="4"/>
      <w:lvlJc w:val="left"/>
      <w:pPr>
        <w:ind w:left="720"/>
        <w:tabs>
          <w:tab w:val="decimal" w:pos="360"/>
        </w:tabs>
      </w:pPr>
      <w:rPr>
        <w:color w:val="#000000"/>
        <w:sz w:val="22"/>
        <w:lang w:val="cs-CZ"/>
        <w:spacing w:val="8"/>
        <w:w w:val="100"/>
        <w:strike w:val="false"/>
        <w:vertAlign w:val="baseline"/>
        <w:rFonts w:ascii="Times New Roman" w:hAnsi="Times New Roman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numbering" Target="/word/numbering.xml" Id="drId4" /><Relationship Type="http://schemas.openxmlformats.org/officeDocument/2006/relationships/hyperlink" Target="mailto:reditelka@ddhranice.cz" TargetMode="External" Id="drId5" /><Relationship Type="http://schemas.openxmlformats.org/officeDocument/2006/relationships/hyperlink" Target="http://ddhranice.cz" TargetMode="External" Id="drId6" /><Relationship Type="http://schemas.openxmlformats.org/officeDocument/2006/relationships/hyperlink" Target="mailto:info@nadacnifondalbert.cz" TargetMode="External" Id="drId7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