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3024" w:firstLine="0"/>
        <w:spacing w:before="0" w:after="0" w:line="194" w:lineRule="auto"/>
        <w:jc w:val="0"/>
        <w:rPr>
          <w:b w:val="true"/>
          <w:color w:val="#000000"/>
          <w:sz w:val="36"/>
          <w:lang w:val="cs-CZ"/>
          <w:spacing w:val="69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40pt;height:82.85pt;z-index:-1000;margin-left:78.05pt;margin-top: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61.3pt;height:81.9pt;z-index:-999;margin-left:356.5pt;margin-top:5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048510" cy="104013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8510" cy="104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d="f" style="position:absolute;width:117.9pt;height:31.15pt;z-index:-998;margin-left:399.9pt;margin-top:5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5" w:lineRule="auto"/>
                    <w:jc w:val="left"/>
                    <w:shd w:val="solid" w:color="#FFFFFF" w:fill="#FFFFFF"/>
                    <w:framePr w:hAnchor="page" w:vAnchor="page" w:x="7998" w:y="113" w:w="2358" w:h="623" w:hSpace="0" w:vSpace="0" w:wrap="3"/>
                    <w:tabs>
                      <w:tab w:val="right" w:leader="none" w:pos="2354"/>
                    </w:tabs>
                    <w:rPr>
                      <w:i w:val="true"/>
                      <w:color w:val="#000000"/>
                      <w:sz w:val="55"/>
                      <w:lang w:val="cs-CZ"/>
                      <w:spacing w:val="-40"/>
                      <w:w w:val="9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55"/>
                      <w:lang w:val="cs-CZ"/>
                      <w:spacing w:val="-40"/>
                      <w:w w:val="95"/>
                      <w:strike w:val="false"/>
                      <w:vertAlign w:val="baseline"/>
                      <w:rFonts w:ascii="Times New Roman" w:hAnsi="Times New Roman"/>
                    </w:rPr>
                    <w:t xml:space="preserve">r</w:t>
                  </w:r>
                  <w:r>
                    <w:rPr>
                      <w:i w:val="true"/>
                      <w:color w:val="#000000"/>
                      <w:sz w:val="55"/>
                      <w:lang w:val="cs-CZ"/>
                      <w:spacing w:val="-40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-</w:t>
                  </w:r>
                  <w:r>
                    <w:rPr>
                      <w:i w:val="true"/>
                      <w:color w:val="#000000"/>
                      <w:sz w:val="55"/>
                      <w:lang w:val="cs-CZ"/>
                      <w:spacing w:val="-40"/>
                      <w:w w:val="75"/>
                      <w:strike w:val="false"/>
                      <w:vertAlign w:val="subscript"/>
                      <w:rFonts w:ascii="Times New Roman" w:hAnsi="Times New Roman"/>
                    </w:rPr>
                    <w:t xml:space="preserve">/</w:t>
                  </w:r>
                  <w:r>
                    <w:rPr>
                      <w:i w:val="true"/>
                      <w:color w:val="#000000"/>
                      <w:sz w:val="32"/>
                      <w:lang w:val="cs-CZ"/>
                      <w:spacing w:val="-4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iz </w:t>
                  </w:r>
                  <w:r>
                    <w:rPr>
                      <w:color w:val="#000000"/>
                      <w:sz w:val="50"/>
                      <w:lang w:val="cs-CZ"/>
                      <w:spacing w:val="-40"/>
                      <w:w w:val="45"/>
                      <w:strike w:val="false"/>
                      <w:vertAlign w:val="baseline"/>
                      <w:rFonts w:ascii="Arial" w:hAnsi="Arial"/>
                    </w:rPr>
                    <w:t xml:space="preserve">o</w:t>
                  </w:r>
                  <w:r>
                    <w:rPr>
                      <w:i w:val="true"/>
                      <w:color w:val="#594E89"/>
                      <w:sz w:val="36"/>
                      <w:lang w:val="cs-CZ"/>
                      <w:spacing w:val="-60"/>
                      <w:w w:val="90"/>
                      <w:strike w:val="false"/>
                      <w:u w:val="single"/>
                      <w:vertAlign w:val="baseline"/>
                      <w:rFonts w:ascii="Arial" w:hAnsi="Arial"/>
                    </w:rPr>
                    <w:tab/>
                  </w:r>
                  <w:r>
                    <w:rPr>
                      <w:i w:val="true"/>
                      <w:color w:val="#594E89"/>
                      <w:sz w:val="36"/>
                      <w:lang w:val="cs-CZ"/>
                      <w:spacing w:val="-20"/>
                      <w:w w:val="9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si270/F</w:t>
                  </w:r>
                  <w:r>
                    <w:rPr>
                      <w:i w:val="true"/>
                      <w:color w:val="#594E89"/>
                      <w:sz w:val="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FFFFF" stroked="f" style="position:absolute;width:1.3pt;height:5.75pt;z-index:-997;margin-left:375.4pt;margin-top:62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304" w:lineRule="auto"/>
                    <w:jc w:val="left"/>
                    <w:shd w:val="solid" w:color="#FFFFFF" w:fill="#FFFFFF"/>
                    <w:framePr w:hAnchor="page" w:vAnchor="page" w:x="7508" w:y="1258" w:w="26" w:h="115" w:hSpace="0" w:vSpace="0" w:wrap="3"/>
                    <w:rPr>
                      <w:color w:val="#000000"/>
                      <w:sz w:val="8"/>
                      <w:lang w:val="cs-CZ"/>
                      <w:spacing w:val="0"/>
                      <w:w w:val="12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8"/>
                      <w:lang w:val="cs-CZ"/>
                      <w:spacing w:val="0"/>
                      <w:w w:val="125"/>
                      <w:strike w:val="false"/>
                      <w:vertAlign w:val="baseline"/>
                      <w:rFonts w:ascii="Arial" w:hAnsi="Arial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line strokeweight="0.7pt" strokecolor="#000000" from="346.35pt,2.35pt" to="415.5pt,2.35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E39BA9" from="281.15pt,9pt" to="424.7pt,9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36"/>
          <w:lang w:val="cs-CZ"/>
          <w:spacing w:val="69"/>
          <w:w w:val="100"/>
          <w:strike w:val="false"/>
          <w:vertAlign w:val="baseline"/>
          <w:rFonts w:ascii="Times New Roman" w:hAnsi="Times New Roman"/>
        </w:rPr>
        <w:t xml:space="preserve">SMLOUVA</w:t>
      </w:r>
    </w:p>
    <w:p>
      <w:pPr>
        <w:ind w:right="0" w:left="0" w:firstLine="0"/>
        <w:spacing w:before="0" w:after="396" w:line="240" w:lineRule="auto"/>
        <w:jc w:val="center"/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 poskytnutí p</w:t>
        <w:br/>
      </w: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říspěvku z majetku nadačního fondu
</w:t>
        <w:br/>
      </w: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 realizaci činnosti na podporu zdravého životního stylu dětí i jejich
</w:t>
        <w:br/>
      </w:r>
      <w:r>
        <w:rPr>
          <w:b w:val="true"/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rodičů nebo na podporu vzdělávání, integrace a rozvoje
</w:t>
        <w:br/>
      </w:r>
      <w:r>
        <w:rPr>
          <w:b w:val="true"/>
          <w:color w:val="#000000"/>
          <w:sz w:val="27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dětí ze sociálně znevýhodněných skupin</w:t>
      </w:r>
    </w:p>
    <w:p>
      <w:pPr>
        <w:ind w:right="0" w:left="0" w:firstLine="0"/>
        <w:spacing w:before="0" w:after="0" w:line="276" w:lineRule="auto"/>
        <w:jc w:val="center"/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uzav</w:t>
        <w:br/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řená dle ustanovení § 1746 odst. 2 a v souladu s ustanoveními § 394 a násl. zákona
</w:t>
        <w:br/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č. 89/2012 Sb., občanský zákoník (dále jen </w:t>
      </w:r>
      <w:r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„NOZ")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mezi těmito smluvními stranami:</w:t>
      </w:r>
    </w:p>
    <w:p>
      <w:pPr>
        <w:ind w:right="0" w:left="0" w:firstLine="0"/>
        <w:spacing w:before="468" w:after="0" w:line="283" w:lineRule="auto"/>
        <w:jc w:val="left"/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</w:t>
      </w:r>
      <w:r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ětský domov a Školní jídelna, Hranice, Purgešova 847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126"/>
        </w:tabs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 registrovaným sídlem: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Purgešova 847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687"/>
        </w:tabs>
        <w:rPr>
          <w:color w:val="#000000"/>
          <w:sz w:val="22"/>
          <w:lang w:val="cs-CZ"/>
          <w:spacing w:val="-3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30"/>
          <w:w w:val="100"/>
          <w:strike w:val="false"/>
          <w:vertAlign w:val="baseline"/>
          <w:rFonts w:ascii="Times New Roman" w:hAnsi="Times New Roman"/>
        </w:rPr>
        <w:t xml:space="preserve">1</w:t>
      </w:r>
      <w:r>
        <w:rPr>
          <w:color w:val="#000000"/>
          <w:sz w:val="22"/>
          <w:lang w:val="cs-CZ"/>
          <w:spacing w:val="-30"/>
          <w:w w:val="100"/>
          <w:strike w:val="false"/>
          <w:vertAlign w:val="baseline"/>
          <w:rFonts w:ascii="Times New Roman" w:hAnsi="Times New Roman"/>
        </w:rPr>
        <w:t xml:space="preserve">Č: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62350277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041"/>
        </w:tabs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zastoupená: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Mgr. Pavlou Tvrdo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ňovou, ředitelkou</w:t>
      </w:r>
    </w:p>
    <w:p>
      <w:pPr>
        <w:ind w:right="0" w:left="0" w:firstLine="0"/>
        <w:spacing w:before="0" w:after="0" w:line="240" w:lineRule="auto"/>
        <w:jc w:val="left"/>
        <w:tabs>
          <w:tab w:val="left" w:leader="none" w:pos="3687"/>
          <w:tab w:val="right" w:leader="none" w:pos="6307"/>
        </w:tabs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zapsaná v obchodním rejst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říku u: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soudu v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, spisová značka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687"/>
        </w:tabs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Číslo účtu Partnera: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19-4287550277/0100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„Partner")</w:t>
      </w:r>
    </w:p>
    <w:p>
      <w:pPr>
        <w:ind w:right="0" w:left="0" w:firstLine="0"/>
        <w:spacing w:before="144" w:after="0" w:line="160" w:lineRule="exact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633"/>
        <w:gridCol w:w="6167"/>
      </w:tblGrid>
      <w:tr>
        <w:trPr>
          <w:trHeight w:val="174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6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obchodní spole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čnost:</w:t>
            </w:r>
          </w:p>
          <w:p>
            <w:pPr>
              <w:ind w:right="576" w:left="0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s registrovaným sídlem 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I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Č:</w:t>
            </w:r>
          </w:p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zastoupená:</w:t>
            </w:r>
          </w:p>
          <w:p>
            <w:pPr>
              <w:ind w:right="36" w:left="0" w:firstLine="0"/>
              <w:spacing w:before="180" w:after="0" w:line="240" w:lineRule="auto"/>
              <w:jc w:val="left"/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zapsaná v Nada</w:t>
            </w:r>
            <w:r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čním rejstříku </w:t>
            </w:r>
            <w:r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(dále jen </w:t>
            </w:r>
            <w:r>
              <w:rPr>
                <w:b w:val="true"/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„NFA")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800" w:type="auto"/>
            <w:textDirection w:val="lrTb"/>
            <w:vAlign w:val="top"/>
          </w:tcPr>
          <w:p>
            <w:pPr>
              <w:ind w:right="0" w:left="31" w:firstLine="0"/>
              <w:spacing w:before="0" w:after="0" w:line="211" w:lineRule="auto"/>
              <w:jc w:val="left"/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Nada</w:t>
            </w:r>
            <w:r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ční fond ALBERT</w:t>
            </w:r>
          </w:p>
          <w:p>
            <w:pPr>
              <w:ind w:right="0" w:left="31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Radlická 117, 158 OO Praha 5 — Nové Butovice</w:t>
            </w:r>
          </w:p>
          <w:p>
            <w:pPr>
              <w:ind w:right="0" w:left="31" w:firstLine="0"/>
              <w:spacing w:before="0" w:after="0" w:line="204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28967496</w:t>
            </w:r>
          </w:p>
          <w:p>
            <w:pPr>
              <w:ind w:right="0" w:left="31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Ji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řím Marečkem, předsedou správní rady</w:t>
            </w:r>
          </w:p>
          <w:p>
            <w:pPr>
              <w:ind w:right="0" w:left="31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Martinou 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Černou, členkou správní rady</w:t>
            </w:r>
          </w:p>
          <w:p>
            <w:pPr>
              <w:ind w:right="0" w:left="31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vedeném u M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ěstského soudu v Praze, spisová značka N 763</w:t>
            </w:r>
          </w:p>
        </w:tc>
      </w:tr>
    </w:tbl>
    <w:p>
      <w:pPr>
        <w:spacing w:before="0" w:after="385" w:line="20" w:lineRule="exact"/>
      </w:pPr>
    </w:p>
    <w:p>
      <w:pPr>
        <w:ind w:right="0" w:left="0" w:firstLine="0"/>
        <w:spacing w:before="0" w:after="0" w:line="480" w:lineRule="auto"/>
        <w:jc w:val="center"/>
        <w:rPr>
          <w:color w:val="#000000"/>
          <w:sz w:val="22"/>
          <w:lang w:val="cs-CZ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0"/>
          <w:w w:val="100"/>
          <w:strike w:val="false"/>
          <w:vertAlign w:val="baseline"/>
          <w:rFonts w:ascii="Times New Roman" w:hAnsi="Times New Roman"/>
        </w:rPr>
        <w:t xml:space="preserve">takto:
</w:t>
        <w:br/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I.
</w:t>
        <w:br/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Obecná ustanovení</w:t>
      </w:r>
    </w:p>
    <w:p>
      <w:pPr>
        <w:ind w:right="288" w:left="0" w:firstLine="0"/>
        <w:spacing w:before="180" w:after="0" w:line="240" w:lineRule="auto"/>
        <w:jc w:val="both"/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Na základ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 žádosti o poskytnutí příspěvku z majetku nadačního fondu v rámci programu NFA </w:t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„Bertík pomáhá 2018"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byl Partnerův projekt </w:t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„Aktivity pro děti s Bertíkem 2018"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„Projekt")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vybrán k tornu, aby byl na jeho realizaci poskytnut od NFA příspěvek ve výši </w:t>
      </w:r>
      <w:r>
        <w:rPr>
          <w:b w:val="true"/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55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000,- Kč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(dále jen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„Příspěvek").</w:t>
      </w:r>
    </w:p>
    <w:p>
      <w:pPr>
        <w:ind w:right="0" w:left="3456" w:firstLine="0"/>
        <w:spacing w:before="648" w:after="0" w:line="240" w:lineRule="auto"/>
        <w:jc w:val="left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0" w:left="360" w:firstLine="-288"/>
        <w:spacing w:before="144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ředmětem této smlouvy je úprava podmínek poskytnutí Příspěvku na realizaci Projektu.</w:t>
      </w:r>
    </w:p>
    <w:p>
      <w:pPr>
        <w:ind w:right="288" w:left="360" w:firstLine="-288"/>
        <w:spacing w:before="108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Projekt bude uskute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čněn dle podrobného popisu projektu, tak jak je uveden v žádosti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Partnera, která je </w:t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Přílohou č. 1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této smlouvy, a to v době od 31.01.2018 do 30.01.2019 ,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tedy v délce 12 měsíců (dále jen </w:t>
      </w:r>
      <w:r>
        <w:rPr>
          <w:b w:val="true"/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„Popis projektu"),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a dle finálního rozpočtu Projektu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zpracovaného Partnerem, který tvoří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Přílohu č. 2.</w:t>
      </w:r>
    </w:p>
    <w:p>
      <w:pPr>
        <w:ind w:right="288" w:left="360" w:firstLine="-288"/>
        <w:spacing w:before="108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NFA se zavazuje, že na konání Projektu poskytne P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říspěvek uvedený ad L, přičemž NFA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nejpozději do 28.2.2018 Partnerovi poskytne 75 % Příspěvku, tj. </w:t>
      </w:r>
      <w:r>
        <w:rPr>
          <w:b w:val="true"/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41250 Kč.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Zbylých 25 %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Příspěvku poskytne do 40 dnů od zástupcem NFA schváleného řádného vyúčtování Projektu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a doručení závěrečné zprávy o realizaci Projektu včetně všech příloh. Platby budou zaslány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 účet Partnera, který je uvedený v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Příloze č. 1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této smlouvy.</w:t>
      </w:r>
    </w:p>
    <w:p>
      <w:pPr>
        <w:ind w:right="0" w:left="4104" w:firstLine="0"/>
        <w:spacing w:before="0" w:after="0" w:line="192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1/4</w:t>
      </w:r>
    </w:p>
    <w:p>
      <w:pPr>
        <w:sectPr>
          <w:pgSz w:w="11918" w:h="16854" w:orient="portrait"/>
          <w:type w:val="nextPage"/>
          <w:textDirection w:val="lrTb"/>
          <w:pgMar w:bottom="512" w:top="1751" w:right="1497" w:left="1561" w:header="720" w:footer="720"/>
          <w:titlePg w:val="false"/>
        </w:sectPr>
      </w:pPr>
    </w:p>
    <w:p>
      <w:pPr>
        <w:ind w:right="0" w:left="504" w:firstLine="-288"/>
        <w:spacing w:before="0" w:after="0" w:line="240" w:lineRule="auto"/>
        <w:jc w:val="left"/>
        <w:tabs>
          <w:tab w:val="clear" w:pos="288"/>
          <w:tab w:val="decimal" w:pos="504"/>
        </w:tabs>
        <w:numPr>
          <w:ilvl w:val="0"/>
          <w:numId w:val="3"/>
        </w:numP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40pt;height:9.75pt;z-index:-996;margin-left:0pt;margin-top:71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center"/>
                    <w:framePr w:hAnchor="text" w:vAnchor="text" w:y="14220" w:w="8800" w:h="195" w:hSpace="0" w:vSpace="0" w:wrap="3"/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2/4</w:t>
                  </w:r>
                </w:p>
              </w:txbxContent>
            </v:textbox>
          </v:shape>
        </w:pic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Partner se zavazuje, že zrealizuje Projekt v souladu </w:t>
      </w:r>
      <w:r>
        <w:rPr>
          <w:b w:val="true"/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s Popisem 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projektu a dle pokyn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ů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říloze č. 3 NFA bude posílat průběžné zprávy o jeho realizaci.</w:t>
      </w:r>
    </w:p>
    <w:p>
      <w:pPr>
        <w:ind w:right="144" w:left="504" w:firstLine="-288"/>
        <w:spacing w:before="108" w:after="0" w:line="240" w:lineRule="auto"/>
        <w:jc w:val="left"/>
        <w:tabs>
          <w:tab w:val="clear" w:pos="288"/>
          <w:tab w:val="decimal" w:pos="504"/>
        </w:tabs>
        <w:numPr>
          <w:ilvl w:val="0"/>
          <w:numId w:val="3"/>
        </w:numP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řípěvek Partner nabývá v souladu s platnými právními předpisy o rozpočtových pravidlech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územních rozpočtů pro svého zřizovatele.</w:t>
      </w:r>
    </w:p>
    <w:p>
      <w:pPr>
        <w:ind w:right="0" w:left="0" w:firstLine="0"/>
        <w:spacing w:before="864" w:after="0" w:line="240" w:lineRule="auto"/>
        <w:jc w:val="center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Další ujednání</w:t>
      </w:r>
    </w:p>
    <w:p>
      <w:pPr>
        <w:ind w:right="144" w:left="504" w:firstLine="-288"/>
        <w:spacing w:before="0" w:after="0" w:line="240" w:lineRule="auto"/>
        <w:jc w:val="both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strany jsou povinny zachovávat ml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čenlivost o skutečnostech, které jsou pro druhou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stranu důvěrnými informacemi a které zjistí při pinění této smlouvy, a to i po ukončení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spolupráce ve smyslu této smlouvy.</w:t>
      </w:r>
    </w:p>
    <w:p>
      <w:pPr>
        <w:ind w:right="144" w:left="504" w:firstLine="-288"/>
        <w:spacing w:before="72" w:after="0" w:line="240" w:lineRule="auto"/>
        <w:jc w:val="both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Veškerá sd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ělení, není-li dále stanoveno jinak, se zasílají příslušnému příjemci na adresu či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faxové číslo uvedené níže, nebo na takovou jinou adresu či faxové číslo, které může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kterákoli ze smluvních stran podle potřeby písemně sdělit druhé smluvní straně: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510"/>
        <w:gridCol w:w="6290"/>
      </w:tblGrid>
      <w:tr>
        <w:trPr>
          <w:trHeight w:val="1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5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Adresa Partnera: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800" w:type="auto"/>
            <w:textDirection w:val="lrTb"/>
            <w:vAlign w:val="top"/>
          </w:tcPr>
          <w:p>
            <w:pPr>
              <w:ind w:right="900" w:left="468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D</w:t>
            </w:r>
            <w:r>
              <w:rPr>
                <w:color w:val="#000000"/>
                <w:sz w:val="22"/>
                <w:lang w:val="cs-CZ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ětský domov a Školní jídelna, Hranice, Purgešova 847 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Purgešova 847</w:t>
            </w:r>
          </w:p>
          <w:p>
            <w:pPr>
              <w:ind w:right="0" w:left="475" w:firstLine="0"/>
              <w:spacing w:before="0" w:after="0" w:line="196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753 01 Hranice</w:t>
            </w:r>
          </w:p>
          <w:p>
            <w:pPr>
              <w:ind w:right="0" w:left="475" w:firstLine="0"/>
              <w:spacing w:before="0" w:after="0" w:line="283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Česká republika</w:t>
            </w:r>
          </w:p>
          <w:p>
            <w:pPr>
              <w:ind w:right="0" w:left="475" w:firstLine="0"/>
              <w:spacing w:before="0" w:after="0" w:line="201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</w:pPr>
            <w:hyperlink r:id="drId5">
              <w:r>
                <w:rPr>
                  <w:color w:val="#0000FF"/>
                  <w:sz w:val="22"/>
                  <w:lang w:val="cs-CZ"/>
                  <w:spacing w:val="0"/>
                  <w:w w:val="100"/>
                  <w:strike w:val="false"/>
                  <w:u w:val="single"/>
                  <w:vertAlign w:val="baseline"/>
                  <w:rFonts w:ascii="Times New Roman" w:hAnsi="Times New Roman"/>
                </w:rPr>
                <w:t xml:space="preserve">reditelka@ddhranice.cz</w:t>
              </w:r>
            </w:hyperlink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Times New Roman" w:hAnsi="Times New Roman"/>
              </w:rPr>
              <w:t xml:space="preserve">,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 </w:t>
            </w:r>
            <w:hyperlink r:id="drId6">
              <w:r>
                <w:rPr>
                  <w:color w:val="#0000FF"/>
                  <w:sz w:val="22"/>
                  <w:lang w:val="cs-CZ"/>
                  <w:spacing w:val="0"/>
                  <w:w w:val="100"/>
                  <w:strike w:val="false"/>
                  <w:u w:val="single"/>
                  <w:vertAlign w:val="baseline"/>
                  <w:rFonts w:ascii="Times New Roman" w:hAnsi="Times New Roman"/>
                </w:rPr>
                <w:t xml:space="preserve">ddhranice.cz</w:t>
              </w:r>
            </w:hyperlink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p>
      <w:pPr>
        <w:spacing w:before="0" w:after="268" w:line="20" w:lineRule="exact"/>
      </w:pPr>
    </w:p>
    <w:p>
      <w:pPr>
        <w:ind w:right="0" w:left="576" w:firstLine="0"/>
        <w:spacing w:before="0" w:after="0" w:line="211" w:lineRule="auto"/>
        <w:jc w:val="left"/>
        <w:tabs>
          <w:tab w:val="right" w:leader="none" w:pos="5080"/>
        </w:tabs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Adresa NFA: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Nada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ční fond ALBERT</w:t>
      </w:r>
    </w:p>
    <w:p>
      <w:pPr>
        <w:ind w:right="0" w:left="2952" w:firstLine="0"/>
        <w:spacing w:before="36" w:after="0" w:line="206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Radlická 117</w:t>
      </w:r>
    </w:p>
    <w:p>
      <w:pPr>
        <w:ind w:right="2952" w:left="2952" w:firstLine="0"/>
        <w:spacing w:before="36" w:after="0" w:line="240" w:lineRule="auto"/>
        <w:jc w:val="left"/>
        <w:rPr>
          <w:color w:val="#000000"/>
          <w:sz w:val="22"/>
          <w:lang w:val="cs-CZ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7"/>
          <w:w w:val="100"/>
          <w:strike w:val="false"/>
          <w:vertAlign w:val="baseline"/>
          <w:rFonts w:ascii="Times New Roman" w:hAnsi="Times New Roman"/>
        </w:rPr>
        <w:t xml:space="preserve">158 00 Praha 5 — Nové Butovice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česká Republika</w:t>
      </w:r>
    </w:p>
    <w:p>
      <w:pPr>
        <w:ind w:right="0" w:left="2952" w:firstLine="0"/>
        <w:spacing w:before="0" w:after="0" w:line="240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hyperlink r:id="drId7">
        <w:r>
          <w:rPr>
            <w:color w:val="#0000FF"/>
            <w:sz w:val="22"/>
            <w:lang w:val="cs-CZ"/>
            <w:spacing w:val="0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info@nadacnifondalbert.cz</w:t>
        </w:r>
      </w:hyperlink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504" w:firstLine="-288"/>
        <w:spacing w:before="108" w:after="0" w:line="240" w:lineRule="auto"/>
        <w:jc w:val="left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Ob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 smluvní strany se zavazují spinit vše, k čemu se zavázaly v přílohách této smlouvy.</w:t>
      </w:r>
    </w:p>
    <w:p>
      <w:pPr>
        <w:ind w:right="144" w:left="504" w:firstLine="-288"/>
        <w:spacing w:before="108" w:after="0" w:line="240" w:lineRule="auto"/>
        <w:jc w:val="both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Každá smluvní strana odpovídá za to, že jí poskytnuté pin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ění, materiály (věci) určené pro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akci neporušují zákony České republiky. Především taková věc nesmí ohrožovat zdraví lidí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nebo jejich majetek. Vše co bude smluvními stranami použito pro tuto akci, musí být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vyrobeno takovým způsobem a z takového materiálu, který je všestranně vhodný pro místo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svého použití. Zejména musí vyhovovat hygienickým i technickým a protipožárním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předpisům.</w:t>
      </w:r>
    </w:p>
    <w:p>
      <w:pPr>
        <w:ind w:right="144" w:left="504" w:firstLine="-288"/>
        <w:spacing w:before="108" w:after="0" w:line="240" w:lineRule="auto"/>
        <w:jc w:val="both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řípadě, že proti NFA bude v důsledku vadnosti pinění Partnera a konání Projektu 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(zejména pro jeho rozpor s právními předpisy, jinými závaznými požadavky nebo dobrými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mravy) nebo v důsledku jakéhokoli jiného porušení povinnosti Partnera, zahájeno správní,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soudní či arbitrážní řízení, zavazuje se Partner NFA nahradit veškeré příslušné újmy a škody, 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včetně veškerých pokut, poplatků, nákladů na právní zastoupení, peněžitých trestů, újmy na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dobré pověsti apod. Dle výslovné dohody smluvních stran je NFA oprávněn k rozúčtování </w:t>
      </w: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vzniklé škody, a to dle svého nejlepšího vědomí a s přihlédnutím ke konkrétním okolnostem,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přičemž Partner se zavazuje takové rozúčtování akceptovat a příslušnou částku zaplatit ve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lhůtě 30 dnů ode dne doručení faktury vystavené NFA. Rozúčtování nesmí být zjevně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nespravedlivé a nesprávné.</w:t>
      </w:r>
    </w:p>
    <w:p>
      <w:pPr>
        <w:ind w:right="144" w:left="504" w:firstLine="-288"/>
        <w:spacing w:before="144" w:after="0" w:line="240" w:lineRule="auto"/>
        <w:jc w:val="both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Projevy žádné ze smluvních stran (a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ť již hmotného či nehmotného charakteru) souvisící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s piněním této smlouvy nesmí obsahovat cokoli, co by uráželo mravní, národnostní nebo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náboženské cítění obyvatel, a to zejména vulgárností, propagací násilí, nesmí obsahovat 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propagaci žádné politické strany nebo politického směru a podobně. Nesmí také poškozovat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dobré jméno nebo oprávněné zájmy druhé smluvní strany. Za poškozování oprávněných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zájmů NFA se považuje i v průběhu realizace projektu zveřejněná reklama subjektů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provozujících jiné obchodní řetězce než jsou obchodní řetězce ze skupiny Ahold.</w:t>
      </w:r>
    </w:p>
    <w:p>
      <w:pPr>
        <w:ind w:right="144" w:left="504" w:firstLine="-288"/>
        <w:spacing w:before="72" w:after="0" w:line="240" w:lineRule="auto"/>
        <w:jc w:val="left"/>
        <w:tabs>
          <w:tab w:val="clear" w:pos="288"/>
          <w:tab w:val="decimal" w:pos="504"/>
        </w:tabs>
        <w:numPr>
          <w:ilvl w:val="0"/>
          <w:numId w:val="4"/>
        </w:numP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Poruší-li Partner p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ředchozí ustanovení odst. IV. 4), 5) a 6), je NFA oprávněn od této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 odstoupit a byl-li již Příspěvek poskytnut, požadovat jeho vrácení v piné výši.</w:t>
      </w:r>
    </w:p>
    <w:p>
      <w:pPr>
        <w:sectPr>
          <w:pgSz w:w="11918" w:h="16854" w:orient="portrait"/>
          <w:type w:val="nextPage"/>
          <w:textDirection w:val="lrTb"/>
          <w:pgMar w:bottom="750" w:top="1554" w:right="1653" w:left="1405" w:header="720" w:footer="720"/>
          <w:titlePg w:val="false"/>
        </w:sectPr>
      </w:pPr>
    </w:p>
    <w:p>
      <w:pPr>
        <w:ind w:right="144" w:left="504" w:firstLine="-360"/>
        <w:spacing w:before="0" w:after="0" w:line="240" w:lineRule="auto"/>
        <w:jc w:val="both"/>
        <w:tabs>
          <w:tab w:val="clear" w:pos="360"/>
          <w:tab w:val="decimal" w:pos="504"/>
        </w:tabs>
        <w:numPr>
          <w:ilvl w:val="0"/>
          <w:numId w:val="5"/>
        </w:numP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40pt;height:9.95pt;z-index:-995;margin-left:0pt;margin-top:711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center"/>
                    <w:framePr w:hAnchor="text" w:vAnchor="text" w:y="14229" w:w="8800" w:h="199" w:hSpace="0" w:vSpace="0" w:wrap="3"/>
                    <w:rPr>
                      <w:color w:val="#0B0C0D"/>
                      <w:sz w:val="21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B0C0D"/>
                      <w:sz w:val="21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3/4</w:t>
                  </w:r>
                </w:p>
              </w:txbxContent>
            </v:textbox>
          </v:shape>
        </w:pict>
      </w:r>
      <w: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Partner je povinen umístit bezplatn</w:t>
      </w:r>
      <w: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 na všech akcích nebo materiálech, které souvisí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 Projektem, logo NFA. „Logomanuál" je součástí </w:t>
      </w:r>
      <w:r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Přílohy č. 3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(Instrukce pro příjemce Příspěvku) této smlouvy.</w:t>
      </w:r>
    </w:p>
    <w:p>
      <w:pPr>
        <w:ind w:right="144" w:left="504" w:firstLine="-360"/>
        <w:spacing w:before="72" w:after="0" w:line="240" w:lineRule="auto"/>
        <w:jc w:val="both"/>
        <w:tabs>
          <w:tab w:val="clear" w:pos="360"/>
          <w:tab w:val="decimal" w:pos="504"/>
        </w:tabs>
        <w:numPr>
          <w:ilvl w:val="0"/>
          <w:numId w:val="5"/>
        </w:numP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Pokud Projekt nebude uskute</w:t>
      </w: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čněn, nebo bude uskutečněn v rozsahu menším než 80 % rozsahu uvedeného v </w:t>
      </w:r>
      <w:r>
        <w:rPr>
          <w:b w:val="true"/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Příloze č. 1 </w:t>
      </w: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této smlouvy, je Partner povinen celý Příspěvek na </w:t>
      </w:r>
      <w:r>
        <w:rPr>
          <w:color w:val="#0B0C0D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písemnou nebo emailovou výzvu NFA vrátit, a to do 15 dnů od data doručení takové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písemné nebo emailové výzvy.</w:t>
      </w:r>
    </w:p>
    <w:p>
      <w:pPr>
        <w:ind w:right="144" w:left="360" w:firstLine="-216"/>
        <w:spacing w:before="144" w:after="0" w:line="240" w:lineRule="auto"/>
        <w:jc w:val="both"/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10)Smiuvni strany se dohodly, že v p</w:t>
      </w: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řípadě porušení povinností uvedených v čl. III odst. 9 </w:t>
      </w:r>
      <w:r>
        <w:rPr>
          <w:color w:val="#0B0C0D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této smlouvy ze strany Partnera, je Partner povinen uhradit NFA smluvní pokutu ve výši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55 000,- Kč slovy (padesátpěttisíc korun českých).</w:t>
      </w:r>
    </w:p>
    <w:p>
      <w:pPr>
        <w:ind w:right="144" w:left="360" w:firstLine="-216"/>
        <w:spacing w:before="144" w:after="0" w:line="240" w:lineRule="auto"/>
        <w:jc w:val="both"/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11)Uhrazením sjednané smluvní pokuty není dot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čeno právo NFA na náhradu škody v piném </w:t>
      </w:r>
      <w: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rozsahu. Pro vyloučení všech pochybností se má za to, že NFA není odpovědný za </w:t>
      </w:r>
      <w:r>
        <w:rPr>
          <w:color w:val="#0B0C0D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jakoukoliv Partnerovi neúmyslně způsobenou škodu vzniklou při pinění smluvních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povinností dle této smlouvy stejně jako povinností z této smlouvy vyplývajících.</w:t>
      </w:r>
    </w:p>
    <w:p>
      <w:pPr>
        <w:ind w:right="144" w:left="360" w:firstLine="-216"/>
        <w:spacing w:before="108" w:after="0" w:line="240" w:lineRule="auto"/>
        <w:jc w:val="both"/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12)Jakákoli listina (dopis apod.) odeslaná na adresu sídla strany této smlouvy se považuje za </w:t>
      </w: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doru</w:t>
      </w:r>
      <w:r>
        <w:rPr>
          <w:color w:val="#0B0C0D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čenou třetím dnem po odeslání takové listiny poštou, doporučeným dopisem, pokud </w:t>
      </w:r>
      <w: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bude odesilateli takový dopis vrácen s tím, že jej nebylo možno doručit z důvodů na straně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adresáta. V případě doručování výzvy dle předchozího odstavce prostřednictvím e-mailové zprávy, považuje se výzva za doručenou okamžikem odeslání příslušného e-mailu.</w:t>
      </w:r>
    </w:p>
    <w:p>
      <w:pPr>
        <w:ind w:right="0" w:left="0" w:firstLine="0"/>
        <w:spacing w:before="504" w:after="0" w:line="360" w:lineRule="auto"/>
        <w:jc w:val="center"/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IV.
</w:t>
        <w:br/>
      </w:r>
      <w:r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Platnost smlouvy</w:t>
      </w:r>
    </w:p>
    <w:p>
      <w:pPr>
        <w:ind w:right="144" w:left="504" w:firstLine="-288"/>
        <w:spacing w:before="108" w:after="0" w:line="240" w:lineRule="auto"/>
        <w:jc w:val="both"/>
        <w:tabs>
          <w:tab w:val="clear" w:pos="288"/>
          <w:tab w:val="decimal" w:pos="504"/>
        </w:tabs>
        <w:numPr>
          <w:ilvl w:val="0"/>
          <w:numId w:val="6"/>
        </w:numP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Tato smlouva nabývá platnosti a ú</w:t>
      </w:r>
      <w: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činnosti dnem jejího podpisu oběma smluvními stranami. </w:t>
      </w:r>
      <w:r>
        <w:rPr>
          <w:color w:val="#0B0C0D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Její zrušení je možné jen písemnou dohodou obou smluvních stran nebo okamžitým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odstoupením jedné ze smluvních stran.</w:t>
      </w:r>
    </w:p>
    <w:p>
      <w:pPr>
        <w:ind w:right="144" w:left="504" w:firstLine="-288"/>
        <w:spacing w:before="72" w:after="0" w:line="240" w:lineRule="auto"/>
        <w:jc w:val="both"/>
        <w:tabs>
          <w:tab w:val="clear" w:pos="288"/>
          <w:tab w:val="decimal" w:pos="504"/>
        </w:tabs>
        <w:numPr>
          <w:ilvl w:val="0"/>
          <w:numId w:val="6"/>
        </w:numP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B0C0D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ři zániku této smlouvy bude provedeno vyúčtování a nevyužité finanční prostředky či jiné </w:t>
      </w:r>
      <w:r>
        <w:rPr>
          <w:color w:val="#0B0C0D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pinění je Partner povinen vrátit NFA do 15 dnů od zániku této smlouvy. Současně </w:t>
      </w:r>
      <w:r>
        <w:rPr>
          <w:color w:val="#0B0C0D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s odstoupením od smlouvy je NFA oprávněn zakázat Partnerovi výplatu jakýchkoli </w:t>
      </w:r>
      <w:r>
        <w:rPr>
          <w:color w:val="#0B0C0D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finančních prostředků třetím stranám, s výjimkou pinění již uzavřených smluv s třetími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stranami.</w:t>
      </w:r>
    </w:p>
    <w:p>
      <w:pPr>
        <w:ind w:right="0" w:left="504" w:firstLine="-288"/>
        <w:spacing w:before="144" w:after="0" w:line="240" w:lineRule="auto"/>
        <w:jc w:val="both"/>
        <w:tabs>
          <w:tab w:val="clear" w:pos="288"/>
          <w:tab w:val="decimal" w:pos="504"/>
        </w:tabs>
        <w:numPr>
          <w:ilvl w:val="0"/>
          <w:numId w:val="6"/>
        </w:numPr>
        <w:rPr>
          <w:color w:val="#0B0C0D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Vypov</w:t>
      </w:r>
      <w:r>
        <w:rPr>
          <w:color w:val="#0B0C0D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ědět tuto smlouvu není možné.</w:t>
      </w:r>
    </w:p>
    <w:p>
      <w:pPr>
        <w:ind w:right="144" w:left="504" w:firstLine="-288"/>
        <w:spacing w:before="72" w:after="0" w:line="240" w:lineRule="auto"/>
        <w:jc w:val="both"/>
        <w:tabs>
          <w:tab w:val="clear" w:pos="288"/>
          <w:tab w:val="decimal" w:pos="504"/>
        </w:tabs>
        <w:numPr>
          <w:ilvl w:val="0"/>
          <w:numId w:val="6"/>
        </w:numP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NFA m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ůže od této smlouvy okamžitě odstoupit, v případě hrubého nevděku Partnera dle ust. </w:t>
      </w:r>
      <w:r>
        <w:rPr>
          <w:color w:val="#0B0C0D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§ 2072 NOZ. Tato smlouva v takovém případě od počátku zaniká a Partner je povinen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veškeré finanční prostředky, které dle této smlouvy od NFA obdržel, vrátit do 15 dnů od doručení oznámení NFA o odstoupení od smlouvy.</w:t>
      </w:r>
    </w:p>
    <w:p>
      <w:pPr>
        <w:ind w:right="0" w:left="0" w:firstLine="0"/>
        <w:spacing w:before="396" w:after="0" w:line="201" w:lineRule="auto"/>
        <w:jc w:val="center"/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V.</w:t>
      </w:r>
    </w:p>
    <w:p>
      <w:pPr>
        <w:ind w:right="0" w:left="0" w:firstLine="0"/>
        <w:spacing w:before="144" w:after="0" w:line="211" w:lineRule="auto"/>
        <w:jc w:val="center"/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Záv</w:t>
      </w:r>
      <w:r>
        <w:rPr>
          <w:b w:val="true"/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ěrečná ustanovení</w:t>
      </w:r>
    </w:p>
    <w:p>
      <w:pPr>
        <w:ind w:right="144" w:left="504" w:firstLine="-288"/>
        <w:spacing w:before="0" w:after="0" w:line="240" w:lineRule="auto"/>
        <w:jc w:val="both"/>
        <w:tabs>
          <w:tab w:val="clear" w:pos="288"/>
          <w:tab w:val="decimal" w:pos="504"/>
        </w:tabs>
        <w:numPr>
          <w:ilvl w:val="0"/>
          <w:numId w:val="7"/>
        </w:numP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Smluvní strany se dohodly a výslovn</w:t>
      </w:r>
      <w:r>
        <w:rPr>
          <w:color w:val="#0B0C0D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 prohlašují, že ani jedna z nich není oprávněna </w:t>
      </w:r>
      <w:r>
        <w:rPr>
          <w:color w:val="#0B0C0D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k jednostrannému postoupení smlouvy jako celku. Partner není oprávněn postoupit jakoukoli </w:t>
      </w:r>
      <w:r>
        <w:rPr>
          <w:color w:val="#0B0C0D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pohledávku (nebo její část) vyplývající z této smlouvy. Partner není oprávněn započíst jakoukoli svojí pohledávku (nebo její část) vyplývající z této smlouvy proti pohledávce,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kterou má NFA vůči Partnerovi.</w:t>
      </w:r>
    </w:p>
    <w:p>
      <w:pPr>
        <w:ind w:right="144" w:left="504" w:firstLine="-288"/>
        <w:spacing w:before="108" w:after="0" w:line="240" w:lineRule="auto"/>
        <w:jc w:val="left"/>
        <w:tabs>
          <w:tab w:val="clear" w:pos="288"/>
          <w:tab w:val="decimal" w:pos="504"/>
        </w:tabs>
        <w:numPr>
          <w:ilvl w:val="0"/>
          <w:numId w:val="7"/>
        </w:numPr>
        <w:rPr>
          <w:color w:val="#0B0C0D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strany prohlašuji, že mají v úmyslu uzav</w:t>
      </w:r>
      <w:r>
        <w:rPr>
          <w:color w:val="#0B0C0D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řít smlouvu, jejíž ujednání budou na </w:t>
      </w:r>
      <w:r>
        <w:rPr>
          <w:color w:val="#0B0C0D"/>
          <w:sz w:val="21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jedné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listině.</w:t>
      </w:r>
    </w:p>
    <w:p>
      <w:pPr>
        <w:ind w:right="144" w:left="504" w:firstLine="-288"/>
        <w:spacing w:before="144" w:after="0" w:line="240" w:lineRule="auto"/>
        <w:jc w:val="left"/>
        <w:tabs>
          <w:tab w:val="clear" w:pos="288"/>
          <w:tab w:val="decimal" w:pos="504"/>
        </w:tabs>
        <w:numPr>
          <w:ilvl w:val="0"/>
          <w:numId w:val="7"/>
        </w:numP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 strany prohlašují, že v piném rozsahu odkazují na sjednaný text </w:t>
      </w:r>
      <w:r>
        <w:rPr>
          <w:color w:val="#0B0C0D"/>
          <w:sz w:val="21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 a ani 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jedna z nich nebude uplat</w:t>
      </w:r>
      <w:r>
        <w:rPr>
          <w:color w:val="#0B0C0D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ňovat či odkazovat na vzájemné obchodní zvyklosti.</w:t>
      </w:r>
    </w:p>
    <w:p>
      <w:pPr>
        <w:sectPr>
          <w:pgSz w:w="11918" w:h="16854" w:orient="portrait"/>
          <w:type w:val="nextPage"/>
          <w:textDirection w:val="lrTb"/>
          <w:pgMar w:bottom="661" w:top="1634" w:right="1616" w:left="1442" w:header="720" w:footer="720"/>
          <w:titlePg w:val="false"/>
        </w:sectPr>
      </w:pPr>
    </w:p>
    <w:p>
      <w:pPr>
        <w:ind w:right="144" w:left="504" w:firstLine="-360"/>
        <w:spacing w:before="0" w:after="0" w:line="240" w:lineRule="auto"/>
        <w:jc w:val="both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40pt;height:9.8pt;z-index:-994;margin-left:0pt;margin-top:710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176" w:firstLine="0"/>
                    <w:spacing w:before="0" w:after="0" w:line="204" w:lineRule="auto"/>
                    <w:jc w:val="0"/>
                    <w:framePr w:hAnchor="text" w:vAnchor="text" w:y="14216" w:w="8800" w:h="196" w:hSpace="0" w:vSpace="0" w:wrap="3"/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414</w:t>
                  </w:r>
                </w:p>
              </w:txbxContent>
            </v:textbox>
          </v:shape>
        </w:pic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Všechny právní vztahy založené touto smlouvou se budou pin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ě' řídit příslušnými 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ustanoveními NOZ a předpisů souvisících, přičemž smluvní strany tímto výslovně vylučují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aplikaci následujících ustanovení NOZ: § 557, § 558 odst.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věta druhá, § 564 věta za'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středníkem (resp. smluvní strany vylučují změnu této smlouvy v jiné než písemné formě,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přičemž změna a doplňky této smlouvy musí být podepsány oběma smluvními stranami na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jedné listině), § </w:t>
      </w:r>
      <w:r>
        <w:rPr>
          <w:b w:val="true"/>
          <w:color w:val="#000000"/>
          <w:sz w:val="21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1740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odst. 2 věta druhá, § 1740 odst. 3 věta první (resp. NFA výslovně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vylučuje přijetí nabídky s dodatkem nebo odchylkou) a § 1744.</w:t>
      </w:r>
    </w:p>
    <w:p>
      <w:pPr>
        <w:ind w:right="0" w:left="504" w:firstLine="-360"/>
        <w:spacing w:before="108" w:after="0" w:line="266" w:lineRule="auto"/>
        <w:jc w:val="both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Tato smlouva je vyhotovena ve 2 stejnopisech, každá ze smluvních stran obdrží po jednom.</w:t>
      </w:r>
    </w:p>
    <w:p>
      <w:pPr>
        <w:ind w:right="144" w:left="504" w:firstLine="-360"/>
        <w:spacing w:before="72" w:after="0" w:line="240" w:lineRule="auto"/>
        <w:jc w:val="both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Je-li nebo stane-li se n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ěkteré ustanovení této smlouvy neplatné či neúčinné, nedotýká se to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ostatních ustanovení této smlouvy, která zůstávají platná a účinná. Smluvní strany se v tomto </w:t>
      </w:r>
      <w: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případě zavazují nahradit ustanovení neplatné/neúčinné novým ustanovením 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platnýmffičinným, které nejlépe odpovídá původně zamýšlenému účelu ustanovení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neplatného/neúčinného. Do té doby platí odpovídající úprava obecně závazných právních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předpisů České republiky.</w:t>
      </w:r>
    </w:p>
    <w:p>
      <w:pPr>
        <w:ind w:right="144" w:left="504" w:firstLine="-360"/>
        <w:spacing w:before="144" w:after="0" w:line="240" w:lineRule="auto"/>
        <w:jc w:val="left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Smluvní strany prohlašují, že se p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řed uzavřením této smlouvy seznámili s obsahem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dokumentů tvořících přílohy této smlouvy, které jsou její nedílnou součástí.</w:t>
      </w:r>
    </w:p>
    <w:p>
      <w:pPr>
        <w:ind w:right="1296" w:left="504" w:firstLine="-360"/>
        <w:spacing w:before="108" w:after="0" w:line="360" w:lineRule="auto"/>
        <w:jc w:val="left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Následující p</w:t>
      </w:r>
      <w: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řílohy se v okamžiku vzniku stávají nedílnou součástí této smlouvy: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Příloha č.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 </w:t>
      </w:r>
      <w:r>
        <w:rPr>
          <w:color w:val="#000000"/>
          <w:sz w:val="6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—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Formulář žádosti vypiněný partnerem</w:t>
      </w:r>
    </w:p>
    <w:p>
      <w:pPr>
        <w:ind w:right="0" w:left="360" w:firstLine="0"/>
        <w:spacing w:before="72" w:after="0" w:line="240" w:lineRule="auto"/>
        <w:jc w:val="left"/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říloha č. 2 — Finální rozpočet projektu vytvořený partnerem</w:t>
      </w:r>
    </w:p>
    <w:p>
      <w:pPr>
        <w:ind w:right="0" w:left="360" w:firstLine="0"/>
        <w:spacing w:before="108" w:after="0" w:line="240" w:lineRule="auto"/>
        <w:jc w:val="left"/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říloha č. 3 — Instrukce pro příjemce Příspěvku.</w:t>
      </w:r>
    </w:p>
    <w:p>
      <w:pPr>
        <w:ind w:right="0" w:left="72" w:firstLine="0"/>
        <w:spacing w:before="252" w:after="0" w:line="204" w:lineRule="auto"/>
        <w:jc w:val="left"/>
        <w:tabs>
          <w:tab w:val="right" w:leader="none" w:pos="4834"/>
        </w:tabs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NFA:	</w:t>
      </w: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Partner:</w:t>
      </w:r>
    </w:p>
    <w:p>
      <w:pPr>
        <w:ind w:right="0" w:left="4032" w:firstLine="0"/>
        <w:spacing w:before="0" w:after="0" w:line="290" w:lineRule="auto"/>
        <w:jc w:val="left"/>
        <w:rPr>
          <w:b w:val="true"/>
          <w:color w:val="#000000"/>
          <w:sz w:val="21"/>
          <w:lang w:val="cs-CZ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D</w:t>
      </w:r>
      <w:r>
        <w:rPr>
          <w:b w:val="true"/>
          <w:color w:val="#000000"/>
          <w:sz w:val="21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ětský domov a Školní jídelna,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6295"/>
        </w:tabs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Nada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ční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fond Albert	</w:t>
      </w:r>
      <w:r>
        <w:rPr>
          <w:b w:val="true"/>
          <w:color w:val="#000000"/>
          <w:sz w:val="21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Hranice, Purgešova 847</w:t>
      </w:r>
    </w:p>
    <w:sectPr>
      <w:pgSz w:w="11918" w:h="16854" w:orient="portrait"/>
      <w:type w:val="nextPage"/>
      <w:textDirection w:val="lrTb"/>
      <w:pgMar w:bottom="714" w:top="1594" w:right="1622" w:left="143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cs-CZ"/>
        <w:spacing w:val="2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)"/>
      <w:start w:val="4"/>
      <w:lvlJc w:val="left"/>
      <w:pPr>
        <w:ind w:left="720"/>
        <w:tabs>
          <w:tab w:val="decimal" w:pos="288"/>
        </w:tabs>
      </w:pPr>
      <w:rPr>
        <w:color w:val="#000000"/>
        <w:sz w:val="22"/>
        <w:lang w:val="cs-CZ"/>
        <w:spacing w:val="8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cs-CZ"/>
        <w:spacing w:val="-2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decimal"/>
      <w:lvlText w:val="%1)"/>
      <w:start w:val="8"/>
      <w:lvlJc w:val="left"/>
      <w:pPr>
        <w:ind w:left="720"/>
        <w:tabs>
          <w:tab w:val="decimal" w:pos="360"/>
        </w:tabs>
      </w:pPr>
      <w:rPr>
        <w:color w:val="#0B0C0D"/>
        <w:sz w:val="22"/>
        <w:lang w:val="cs-CZ"/>
        <w:spacing w:val="8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color w:val="#0B0C0D"/>
        <w:sz w:val="22"/>
        <w:lang w:val="cs-CZ"/>
        <w:spacing w:val="-1"/>
        <w:w w:val="100"/>
        <w:strike w:val="false"/>
        <w:vertAlign w:val="baseline"/>
        <w:rFonts w:ascii="Times New Roman" w:hAnsi="Times New Roman"/>
      </w:rPr>
    </w:lvl>
  </w:abstractNum>
  <w:abstractNum w:abstractNumId="6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color w:val="#0B0C0D"/>
        <w:sz w:val="22"/>
        <w:lang w:val="cs-CZ"/>
        <w:spacing w:val="8"/>
        <w:w w:val="100"/>
        <w:strike w:val="false"/>
        <w:vertAlign w:val="baseline"/>
        <w:rFonts w:ascii="Times New Roman" w:hAnsi="Times New Roman"/>
      </w:rPr>
    </w:lvl>
  </w:abstractNum>
  <w:abstractNum w:abstractNumId="7">
    <w:lvl w:ilvl="0">
      <w:numFmt w:val="decimal"/>
      <w:lvlText w:val="%1)"/>
      <w:start w:val="4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8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hyperlink" Target="mailto:reditelka@ddhranice.cz" TargetMode="External" Id="drId5" /><Relationship Type="http://schemas.openxmlformats.org/officeDocument/2006/relationships/hyperlink" Target="http://ddhranice.cz" TargetMode="External" Id="drId6" /><Relationship Type="http://schemas.openxmlformats.org/officeDocument/2006/relationships/hyperlink" Target="mailto:info@nadacnifondalbert.cz" TargetMode="Externa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