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E58" w:rsidRPr="00C36DB5" w:rsidRDefault="00D14E58">
      <w:pPr>
        <w:pStyle w:val="Nadpis1"/>
        <w:rPr>
          <w:sz w:val="32"/>
          <w:szCs w:val="32"/>
        </w:rPr>
      </w:pPr>
      <w:r w:rsidRPr="00C36DB5">
        <w:rPr>
          <w:sz w:val="32"/>
          <w:szCs w:val="32"/>
        </w:rPr>
        <w:t>KUPNÍ SMLOUVA</w:t>
      </w:r>
      <w:r w:rsidR="00F41709">
        <w:rPr>
          <w:sz w:val="32"/>
          <w:szCs w:val="32"/>
        </w:rPr>
        <w:t xml:space="preserve"> č. </w:t>
      </w:r>
      <w:r w:rsidR="004C7707">
        <w:rPr>
          <w:sz w:val="32"/>
          <w:szCs w:val="32"/>
        </w:rPr>
        <w:t xml:space="preserve"> </w:t>
      </w:r>
      <w:r w:rsidR="003E1AC3">
        <w:rPr>
          <w:sz w:val="32"/>
          <w:szCs w:val="32"/>
        </w:rPr>
        <w:t>182/EF/16</w:t>
      </w:r>
    </w:p>
    <w:p w:rsidR="00C70E6B" w:rsidRPr="00C36DB5" w:rsidRDefault="00C70E6B" w:rsidP="00C70E6B">
      <w:pPr>
        <w:jc w:val="center"/>
        <w:rPr>
          <w:sz w:val="22"/>
          <w:szCs w:val="22"/>
        </w:rPr>
      </w:pPr>
      <w:r w:rsidRPr="00C36DB5">
        <w:rPr>
          <w:sz w:val="22"/>
          <w:szCs w:val="22"/>
        </w:rPr>
        <w:t xml:space="preserve">uzavřená dle § </w:t>
      </w:r>
      <w:r>
        <w:rPr>
          <w:sz w:val="22"/>
          <w:szCs w:val="22"/>
        </w:rPr>
        <w:t>2079</w:t>
      </w:r>
      <w:r w:rsidRPr="00C36DB5">
        <w:rPr>
          <w:sz w:val="22"/>
          <w:szCs w:val="22"/>
        </w:rPr>
        <w:t xml:space="preserve"> a násl. </w:t>
      </w:r>
      <w:r>
        <w:rPr>
          <w:sz w:val="22"/>
          <w:szCs w:val="22"/>
        </w:rPr>
        <w:t>zákona č. 89/2012 Sb., občanský zákoník</w:t>
      </w:r>
      <w:r w:rsidRPr="00C36DB5">
        <w:rPr>
          <w:sz w:val="22"/>
          <w:szCs w:val="22"/>
        </w:rPr>
        <w:t>, ve znění pozdějších předpisů</w:t>
      </w:r>
    </w:p>
    <w:p w:rsidR="00D14E58" w:rsidRDefault="00D14E58">
      <w:pPr>
        <w:jc w:val="center"/>
        <w:rPr>
          <w:b/>
          <w:sz w:val="22"/>
          <w:szCs w:val="22"/>
        </w:rPr>
      </w:pPr>
    </w:p>
    <w:p w:rsidR="0019547A" w:rsidRPr="00C36DB5" w:rsidRDefault="0019547A">
      <w:pPr>
        <w:jc w:val="center"/>
        <w:rPr>
          <w:b/>
          <w:sz w:val="22"/>
          <w:szCs w:val="22"/>
        </w:rPr>
      </w:pPr>
    </w:p>
    <w:p w:rsidR="00C36DB5" w:rsidRPr="00CF0E78" w:rsidRDefault="00C36DB5">
      <w:pPr>
        <w:autoSpaceDE w:val="0"/>
        <w:autoSpaceDN w:val="0"/>
        <w:adjustRightInd w:val="0"/>
        <w:rPr>
          <w:sz w:val="22"/>
          <w:szCs w:val="22"/>
        </w:rPr>
      </w:pPr>
      <w:proofErr w:type="gramStart"/>
      <w:r>
        <w:rPr>
          <w:sz w:val="22"/>
          <w:szCs w:val="22"/>
        </w:rPr>
        <w:t>mezi:</w:t>
      </w:r>
      <w:proofErr w:type="gramEnd"/>
    </w:p>
    <w:p w:rsidR="00C36DB5" w:rsidRPr="00CF0E78" w:rsidRDefault="00C36DB5">
      <w:pPr>
        <w:autoSpaceDE w:val="0"/>
        <w:autoSpaceDN w:val="0"/>
        <w:adjustRightInd w:val="0"/>
        <w:rPr>
          <w:b/>
          <w:sz w:val="22"/>
          <w:szCs w:val="22"/>
        </w:rPr>
      </w:pPr>
      <w:proofErr w:type="spellStart"/>
      <w:r w:rsidRPr="00CF0E78">
        <w:rPr>
          <w:b/>
          <w:sz w:val="22"/>
          <w:szCs w:val="22"/>
        </w:rPr>
        <w:t>Olympus</w:t>
      </w:r>
      <w:proofErr w:type="spellEnd"/>
      <w:r w:rsidRPr="00CF0E78">
        <w:rPr>
          <w:b/>
          <w:sz w:val="22"/>
          <w:szCs w:val="22"/>
        </w:rPr>
        <w:t xml:space="preserve"> Czech Group, s.r.o., člen koncernu</w:t>
      </w:r>
    </w:p>
    <w:p w:rsidR="00C36DB5" w:rsidRPr="00CF0E78" w:rsidRDefault="00CF0E78">
      <w:pPr>
        <w:autoSpaceDE w:val="0"/>
        <w:autoSpaceDN w:val="0"/>
        <w:adjustRightInd w:val="0"/>
        <w:rPr>
          <w:b/>
          <w:sz w:val="22"/>
          <w:szCs w:val="22"/>
        </w:rPr>
      </w:pPr>
      <w:r w:rsidRPr="00CF0E78">
        <w:rPr>
          <w:sz w:val="22"/>
          <w:szCs w:val="22"/>
        </w:rPr>
        <w:t>se sídlem: Evropská 176, Praha 6, PSČ 160 41</w:t>
      </w:r>
    </w:p>
    <w:p w:rsidR="00D14E58" w:rsidRPr="00CF0E78" w:rsidRDefault="00D14E58">
      <w:pPr>
        <w:autoSpaceDE w:val="0"/>
        <w:autoSpaceDN w:val="0"/>
        <w:adjustRightInd w:val="0"/>
        <w:rPr>
          <w:b/>
          <w:sz w:val="22"/>
          <w:szCs w:val="22"/>
        </w:rPr>
      </w:pPr>
      <w:r w:rsidRPr="00CF0E78">
        <w:rPr>
          <w:sz w:val="22"/>
          <w:szCs w:val="22"/>
        </w:rPr>
        <w:t>IČ:</w:t>
      </w:r>
      <w:r w:rsidR="00CF0E78" w:rsidRPr="00CF0E78">
        <w:rPr>
          <w:sz w:val="22"/>
          <w:szCs w:val="22"/>
        </w:rPr>
        <w:t xml:space="preserve"> 27068641</w:t>
      </w:r>
      <w:r w:rsidRPr="00CF0E78">
        <w:rPr>
          <w:sz w:val="22"/>
          <w:szCs w:val="22"/>
        </w:rPr>
        <w:t xml:space="preserve">   </w:t>
      </w:r>
      <w:r w:rsidRPr="00CF0E78">
        <w:rPr>
          <w:sz w:val="22"/>
          <w:szCs w:val="22"/>
        </w:rPr>
        <w:tab/>
        <w:t xml:space="preserve">  </w:t>
      </w:r>
    </w:p>
    <w:p w:rsidR="00D14E58" w:rsidRPr="00CF0E78" w:rsidRDefault="00D14E58">
      <w:pPr>
        <w:autoSpaceDE w:val="0"/>
        <w:autoSpaceDN w:val="0"/>
        <w:adjustRightInd w:val="0"/>
        <w:rPr>
          <w:sz w:val="22"/>
          <w:szCs w:val="22"/>
        </w:rPr>
      </w:pPr>
      <w:r w:rsidRPr="00CF0E78">
        <w:rPr>
          <w:sz w:val="22"/>
          <w:szCs w:val="22"/>
        </w:rPr>
        <w:t xml:space="preserve">DIČ: </w:t>
      </w:r>
      <w:r w:rsidR="00CF0E78" w:rsidRPr="00CF0E78">
        <w:rPr>
          <w:sz w:val="22"/>
          <w:szCs w:val="22"/>
        </w:rPr>
        <w:t>CZ27068641</w:t>
      </w:r>
      <w:r w:rsidRPr="00CF0E78">
        <w:rPr>
          <w:sz w:val="22"/>
          <w:szCs w:val="22"/>
        </w:rPr>
        <w:t xml:space="preserve">  </w:t>
      </w:r>
    </w:p>
    <w:p w:rsidR="00D14E58" w:rsidRPr="00CF0E78" w:rsidRDefault="00CF0E78">
      <w:pPr>
        <w:autoSpaceDE w:val="0"/>
        <w:autoSpaceDN w:val="0"/>
        <w:adjustRightInd w:val="0"/>
        <w:rPr>
          <w:sz w:val="22"/>
          <w:szCs w:val="22"/>
        </w:rPr>
      </w:pPr>
      <w:r w:rsidRPr="00CF0E78">
        <w:rPr>
          <w:sz w:val="22"/>
          <w:szCs w:val="22"/>
        </w:rPr>
        <w:t>z</w:t>
      </w:r>
      <w:r w:rsidR="00D14E58" w:rsidRPr="00CF0E78">
        <w:rPr>
          <w:sz w:val="22"/>
          <w:szCs w:val="22"/>
        </w:rPr>
        <w:t>apsán</w:t>
      </w:r>
      <w:r w:rsidRPr="00CF0E78">
        <w:rPr>
          <w:sz w:val="22"/>
          <w:szCs w:val="22"/>
        </w:rPr>
        <w:t>a v obchodním rejstříku vedeném Městským soudem v Praze, oddíl C, vložka 93921</w:t>
      </w:r>
      <w:r w:rsidR="00D14E58" w:rsidRPr="00CF0E78">
        <w:rPr>
          <w:sz w:val="22"/>
          <w:szCs w:val="22"/>
        </w:rPr>
        <w:t xml:space="preserve">  </w:t>
      </w:r>
    </w:p>
    <w:p w:rsidR="00D14E58" w:rsidRPr="00CF0E78" w:rsidRDefault="00D14E58">
      <w:pPr>
        <w:autoSpaceDE w:val="0"/>
        <w:autoSpaceDN w:val="0"/>
        <w:adjustRightInd w:val="0"/>
        <w:rPr>
          <w:sz w:val="22"/>
          <w:szCs w:val="22"/>
        </w:rPr>
      </w:pPr>
      <w:r w:rsidRPr="00CF0E78">
        <w:rPr>
          <w:sz w:val="22"/>
          <w:szCs w:val="22"/>
        </w:rPr>
        <w:t xml:space="preserve">bankovní spojení: </w:t>
      </w:r>
      <w:proofErr w:type="spellStart"/>
      <w:r w:rsidR="00CF0E78" w:rsidRPr="00CF0E78">
        <w:rPr>
          <w:sz w:val="22"/>
          <w:szCs w:val="22"/>
        </w:rPr>
        <w:t>UniCredit</w:t>
      </w:r>
      <w:proofErr w:type="spellEnd"/>
      <w:r w:rsidR="00CF0E78" w:rsidRPr="00CF0E78">
        <w:rPr>
          <w:sz w:val="22"/>
          <w:szCs w:val="22"/>
        </w:rPr>
        <w:t xml:space="preserve"> Bank</w:t>
      </w:r>
      <w:r w:rsidR="003E1AC3">
        <w:rPr>
          <w:sz w:val="22"/>
          <w:szCs w:val="22"/>
        </w:rPr>
        <w:t xml:space="preserve"> Czech Republic and Slovakia</w:t>
      </w:r>
      <w:r w:rsidR="00F41709">
        <w:rPr>
          <w:sz w:val="22"/>
          <w:szCs w:val="22"/>
        </w:rPr>
        <w:t>, a.s.</w:t>
      </w:r>
      <w:r w:rsidR="00CF0E78" w:rsidRPr="00CF0E78">
        <w:rPr>
          <w:sz w:val="22"/>
          <w:szCs w:val="22"/>
        </w:rPr>
        <w:t>, Nám.</w:t>
      </w:r>
      <w:r w:rsidR="00F41709">
        <w:rPr>
          <w:sz w:val="22"/>
          <w:szCs w:val="22"/>
        </w:rPr>
        <w:t xml:space="preserve"> </w:t>
      </w:r>
      <w:r w:rsidR="00CF0E78" w:rsidRPr="00CF0E78">
        <w:rPr>
          <w:sz w:val="22"/>
          <w:szCs w:val="22"/>
        </w:rPr>
        <w:t>Republiky 3a, 110 00 Praha 1</w:t>
      </w:r>
      <w:r w:rsidR="00CF0E78">
        <w:rPr>
          <w:sz w:val="22"/>
          <w:szCs w:val="22"/>
        </w:rPr>
        <w:t xml:space="preserve">, </w:t>
      </w:r>
      <w:proofErr w:type="spellStart"/>
      <w:proofErr w:type="gramStart"/>
      <w:r w:rsidR="00CF0E78">
        <w:rPr>
          <w:sz w:val="22"/>
          <w:szCs w:val="22"/>
        </w:rPr>
        <w:t>č.ú</w:t>
      </w:r>
      <w:proofErr w:type="spellEnd"/>
      <w:r w:rsidR="00CF0E78">
        <w:rPr>
          <w:sz w:val="22"/>
          <w:szCs w:val="22"/>
        </w:rPr>
        <w:t>.</w:t>
      </w:r>
      <w:r w:rsidR="00CF0E78" w:rsidRPr="00CF0E78">
        <w:rPr>
          <w:sz w:val="22"/>
          <w:szCs w:val="22"/>
        </w:rPr>
        <w:t> 2105630382/2700</w:t>
      </w:r>
      <w:proofErr w:type="gramEnd"/>
      <w:r w:rsidR="00CF0E78" w:rsidRPr="00CF0E78">
        <w:rPr>
          <w:sz w:val="22"/>
          <w:szCs w:val="22"/>
        </w:rPr>
        <w:t xml:space="preserve"> </w:t>
      </w:r>
      <w:r w:rsidRPr="00CF0E78">
        <w:rPr>
          <w:sz w:val="22"/>
          <w:szCs w:val="22"/>
        </w:rPr>
        <w:t xml:space="preserve">  </w:t>
      </w:r>
      <w:r w:rsidR="00CF0E78">
        <w:rPr>
          <w:sz w:val="22"/>
          <w:szCs w:val="22"/>
        </w:rPr>
        <w:t xml:space="preserve">                      </w:t>
      </w:r>
    </w:p>
    <w:p w:rsidR="00D14E58" w:rsidRPr="00CF0E78" w:rsidRDefault="00C36DB5">
      <w:pPr>
        <w:autoSpaceDE w:val="0"/>
        <w:autoSpaceDN w:val="0"/>
        <w:adjustRightInd w:val="0"/>
        <w:rPr>
          <w:sz w:val="22"/>
          <w:szCs w:val="22"/>
        </w:rPr>
      </w:pPr>
      <w:r w:rsidRPr="00CF0E78">
        <w:rPr>
          <w:sz w:val="22"/>
          <w:szCs w:val="22"/>
        </w:rPr>
        <w:t xml:space="preserve">jednající / </w:t>
      </w:r>
      <w:r w:rsidR="00D14E58" w:rsidRPr="00CF0E78">
        <w:rPr>
          <w:sz w:val="22"/>
          <w:szCs w:val="22"/>
        </w:rPr>
        <w:t xml:space="preserve">zastoupená:  </w:t>
      </w:r>
      <w:r w:rsidR="00F41709">
        <w:rPr>
          <w:sz w:val="22"/>
          <w:szCs w:val="22"/>
        </w:rPr>
        <w:t>Ing</w:t>
      </w:r>
      <w:r w:rsidR="00D85D22">
        <w:rPr>
          <w:sz w:val="22"/>
          <w:szCs w:val="22"/>
        </w:rPr>
        <w:t xml:space="preserve">. </w:t>
      </w:r>
      <w:r w:rsidR="004C7707">
        <w:rPr>
          <w:sz w:val="22"/>
          <w:szCs w:val="22"/>
        </w:rPr>
        <w:t>Pavlem Kasalem</w:t>
      </w:r>
      <w:r w:rsidR="00B662F5">
        <w:rPr>
          <w:sz w:val="22"/>
          <w:szCs w:val="22"/>
        </w:rPr>
        <w:t>,</w:t>
      </w:r>
      <w:r w:rsidR="001C0F28">
        <w:rPr>
          <w:sz w:val="22"/>
          <w:szCs w:val="22"/>
        </w:rPr>
        <w:t xml:space="preserve"> </w:t>
      </w:r>
      <w:r w:rsidR="00F41709">
        <w:rPr>
          <w:sz w:val="22"/>
          <w:szCs w:val="22"/>
        </w:rPr>
        <w:t>prokuristou</w:t>
      </w:r>
      <w:r w:rsidR="00B662F5">
        <w:rPr>
          <w:sz w:val="22"/>
          <w:szCs w:val="22"/>
        </w:rPr>
        <w:t>,</w:t>
      </w:r>
      <w:r w:rsidR="00F41709">
        <w:rPr>
          <w:sz w:val="22"/>
          <w:szCs w:val="22"/>
        </w:rPr>
        <w:t xml:space="preserve"> a </w:t>
      </w:r>
      <w:r w:rsidR="003E1AC3">
        <w:rPr>
          <w:sz w:val="22"/>
          <w:szCs w:val="22"/>
        </w:rPr>
        <w:t>Ing. Ivem</w:t>
      </w:r>
      <w:r w:rsidR="00196622">
        <w:rPr>
          <w:sz w:val="22"/>
          <w:szCs w:val="22"/>
        </w:rPr>
        <w:t xml:space="preserve"> Lukešem</w:t>
      </w:r>
      <w:r w:rsidR="003E1AC3">
        <w:rPr>
          <w:sz w:val="22"/>
          <w:szCs w:val="22"/>
        </w:rPr>
        <w:t>, CSc.</w:t>
      </w:r>
      <w:r w:rsidR="00F41709">
        <w:rPr>
          <w:sz w:val="22"/>
          <w:szCs w:val="22"/>
        </w:rPr>
        <w:t>, prokuristou</w:t>
      </w:r>
    </w:p>
    <w:p w:rsidR="00D14E58" w:rsidRPr="00C36DB5" w:rsidRDefault="00D14E58">
      <w:pPr>
        <w:autoSpaceDE w:val="0"/>
        <w:autoSpaceDN w:val="0"/>
        <w:adjustRightInd w:val="0"/>
        <w:rPr>
          <w:sz w:val="22"/>
          <w:szCs w:val="22"/>
        </w:rPr>
      </w:pPr>
      <w:r w:rsidRPr="00C36DB5">
        <w:rPr>
          <w:sz w:val="22"/>
          <w:szCs w:val="22"/>
        </w:rPr>
        <w:t>(dále jen „</w:t>
      </w:r>
      <w:r w:rsidRPr="00C36DB5">
        <w:rPr>
          <w:b/>
          <w:sz w:val="22"/>
          <w:szCs w:val="22"/>
        </w:rPr>
        <w:t>prodávající</w:t>
      </w:r>
      <w:r w:rsidRPr="00C36DB5">
        <w:rPr>
          <w:sz w:val="22"/>
          <w:szCs w:val="22"/>
        </w:rPr>
        <w:t>“)</w:t>
      </w:r>
    </w:p>
    <w:p w:rsidR="00D14E58" w:rsidRPr="00C36DB5" w:rsidRDefault="00D14E58">
      <w:pPr>
        <w:autoSpaceDE w:val="0"/>
        <w:autoSpaceDN w:val="0"/>
        <w:adjustRightInd w:val="0"/>
        <w:rPr>
          <w:sz w:val="22"/>
          <w:szCs w:val="22"/>
        </w:rPr>
      </w:pPr>
    </w:p>
    <w:p w:rsidR="00D14E58" w:rsidRPr="00CF0E78" w:rsidRDefault="00D14E58">
      <w:pPr>
        <w:autoSpaceDE w:val="0"/>
        <w:autoSpaceDN w:val="0"/>
        <w:adjustRightInd w:val="0"/>
        <w:rPr>
          <w:sz w:val="22"/>
          <w:szCs w:val="22"/>
        </w:rPr>
      </w:pPr>
      <w:r w:rsidRPr="00C36DB5">
        <w:rPr>
          <w:sz w:val="22"/>
          <w:szCs w:val="22"/>
        </w:rPr>
        <w:tab/>
      </w:r>
      <w:r w:rsidRPr="00C36DB5">
        <w:rPr>
          <w:sz w:val="22"/>
          <w:szCs w:val="22"/>
        </w:rPr>
        <w:tab/>
      </w:r>
      <w:r w:rsidRPr="00CF0E78">
        <w:rPr>
          <w:sz w:val="22"/>
          <w:szCs w:val="22"/>
        </w:rPr>
        <w:t>a</w:t>
      </w:r>
    </w:p>
    <w:p w:rsidR="00D14E58" w:rsidRPr="00C36DB5" w:rsidRDefault="00D14E58">
      <w:pPr>
        <w:autoSpaceDE w:val="0"/>
        <w:autoSpaceDN w:val="0"/>
        <w:adjustRightInd w:val="0"/>
        <w:rPr>
          <w:sz w:val="22"/>
          <w:szCs w:val="22"/>
        </w:rPr>
      </w:pPr>
    </w:p>
    <w:p w:rsidR="00D14E58" w:rsidRPr="00F41709" w:rsidRDefault="00F41709">
      <w:pPr>
        <w:autoSpaceDE w:val="0"/>
        <w:autoSpaceDN w:val="0"/>
        <w:adjustRightInd w:val="0"/>
        <w:rPr>
          <w:b/>
          <w:sz w:val="22"/>
          <w:szCs w:val="22"/>
        </w:rPr>
      </w:pPr>
      <w:r w:rsidRPr="00F41709">
        <w:rPr>
          <w:b/>
          <w:sz w:val="22"/>
          <w:szCs w:val="22"/>
        </w:rPr>
        <w:t>Nemocnice Jablonec nad Nisou, p</w:t>
      </w:r>
      <w:r w:rsidR="00222CD9">
        <w:rPr>
          <w:b/>
          <w:sz w:val="22"/>
          <w:szCs w:val="22"/>
        </w:rPr>
        <w:t>.</w:t>
      </w:r>
      <w:r w:rsidRPr="00F41709">
        <w:rPr>
          <w:b/>
          <w:sz w:val="22"/>
          <w:szCs w:val="22"/>
        </w:rPr>
        <w:t xml:space="preserve"> </w:t>
      </w:r>
      <w:r w:rsidR="00222CD9">
        <w:rPr>
          <w:b/>
          <w:sz w:val="22"/>
          <w:szCs w:val="22"/>
        </w:rPr>
        <w:t>o.</w:t>
      </w:r>
    </w:p>
    <w:p w:rsidR="00D14E58" w:rsidRPr="00C36DB5" w:rsidRDefault="00D14E58">
      <w:pPr>
        <w:autoSpaceDE w:val="0"/>
        <w:autoSpaceDN w:val="0"/>
        <w:adjustRightInd w:val="0"/>
        <w:rPr>
          <w:sz w:val="22"/>
          <w:szCs w:val="22"/>
        </w:rPr>
      </w:pPr>
      <w:r w:rsidRPr="00C36DB5">
        <w:rPr>
          <w:sz w:val="22"/>
          <w:szCs w:val="22"/>
        </w:rPr>
        <w:t xml:space="preserve">se sídlem: </w:t>
      </w:r>
      <w:r w:rsidR="00F41709">
        <w:rPr>
          <w:sz w:val="22"/>
          <w:szCs w:val="22"/>
        </w:rPr>
        <w:t>Nemocniční 15, 466 60 Jablonec nad Nisou</w:t>
      </w:r>
    </w:p>
    <w:p w:rsidR="00D14E58" w:rsidRPr="00C36DB5" w:rsidRDefault="00D14E58">
      <w:pPr>
        <w:autoSpaceDE w:val="0"/>
        <w:autoSpaceDN w:val="0"/>
        <w:adjustRightInd w:val="0"/>
        <w:rPr>
          <w:sz w:val="22"/>
          <w:szCs w:val="22"/>
        </w:rPr>
      </w:pPr>
      <w:r w:rsidRPr="00C36DB5">
        <w:rPr>
          <w:sz w:val="22"/>
          <w:szCs w:val="22"/>
        </w:rPr>
        <w:t xml:space="preserve">IČ:  </w:t>
      </w:r>
      <w:r w:rsidR="00F41709">
        <w:rPr>
          <w:sz w:val="22"/>
          <w:szCs w:val="22"/>
        </w:rPr>
        <w:t>00829838</w:t>
      </w:r>
    </w:p>
    <w:p w:rsidR="00C36DB5" w:rsidRDefault="00D14E58" w:rsidP="00C36DB5">
      <w:pPr>
        <w:autoSpaceDE w:val="0"/>
        <w:autoSpaceDN w:val="0"/>
        <w:adjustRightInd w:val="0"/>
        <w:rPr>
          <w:sz w:val="22"/>
          <w:szCs w:val="22"/>
        </w:rPr>
      </w:pPr>
      <w:r w:rsidRPr="00C36DB5">
        <w:rPr>
          <w:sz w:val="22"/>
          <w:szCs w:val="22"/>
        </w:rPr>
        <w:t xml:space="preserve">DIČ: </w:t>
      </w:r>
      <w:r w:rsidR="00F41709">
        <w:rPr>
          <w:sz w:val="22"/>
          <w:szCs w:val="22"/>
        </w:rPr>
        <w:t>CZ00829838</w:t>
      </w:r>
    </w:p>
    <w:p w:rsidR="00D03AC9" w:rsidRPr="00D03AC9" w:rsidRDefault="00D03AC9" w:rsidP="00D03AC9">
      <w:pPr>
        <w:rPr>
          <w:sz w:val="22"/>
          <w:szCs w:val="22"/>
        </w:rPr>
      </w:pPr>
      <w:r w:rsidRPr="00D03AC9">
        <w:rPr>
          <w:sz w:val="22"/>
          <w:szCs w:val="22"/>
        </w:rPr>
        <w:t>zapsán</w:t>
      </w:r>
      <w:r w:rsidR="00222CD9">
        <w:rPr>
          <w:sz w:val="22"/>
          <w:szCs w:val="22"/>
        </w:rPr>
        <w:t>a v obchodním rejstříku vedeném</w:t>
      </w:r>
      <w:r w:rsidRPr="00D03AC9">
        <w:rPr>
          <w:sz w:val="22"/>
          <w:szCs w:val="22"/>
        </w:rPr>
        <w:t xml:space="preserve"> Krajským soudem v Ústí nad Labem, oddíl </w:t>
      </w:r>
      <w:proofErr w:type="spellStart"/>
      <w:r w:rsidRPr="00D03AC9">
        <w:rPr>
          <w:sz w:val="22"/>
          <w:szCs w:val="22"/>
        </w:rPr>
        <w:t>Pr</w:t>
      </w:r>
      <w:proofErr w:type="spellEnd"/>
      <w:r w:rsidRPr="00D03AC9">
        <w:rPr>
          <w:sz w:val="22"/>
          <w:szCs w:val="22"/>
        </w:rPr>
        <w:t>, vložka 107</w:t>
      </w:r>
    </w:p>
    <w:p w:rsidR="00571A7F" w:rsidRPr="00C36DB5" w:rsidRDefault="00571A7F" w:rsidP="00571A7F">
      <w:pPr>
        <w:autoSpaceDE w:val="0"/>
        <w:autoSpaceDN w:val="0"/>
        <w:adjustRightInd w:val="0"/>
        <w:rPr>
          <w:sz w:val="22"/>
          <w:szCs w:val="22"/>
        </w:rPr>
      </w:pPr>
      <w:r w:rsidRPr="00C36DB5">
        <w:rPr>
          <w:sz w:val="22"/>
          <w:szCs w:val="22"/>
        </w:rPr>
        <w:t>bankovní spojení:</w:t>
      </w:r>
      <w:r>
        <w:rPr>
          <w:sz w:val="22"/>
          <w:szCs w:val="22"/>
        </w:rPr>
        <w:t xml:space="preserve"> Česká spořitelna, a.s.</w:t>
      </w:r>
      <w:r w:rsidRPr="00C36DB5">
        <w:rPr>
          <w:sz w:val="22"/>
          <w:szCs w:val="22"/>
        </w:rPr>
        <w:t xml:space="preserve">, </w:t>
      </w:r>
      <w:proofErr w:type="spellStart"/>
      <w:proofErr w:type="gramStart"/>
      <w:r w:rsidRPr="00C36DB5">
        <w:rPr>
          <w:sz w:val="22"/>
          <w:szCs w:val="22"/>
        </w:rPr>
        <w:t>č.ú</w:t>
      </w:r>
      <w:proofErr w:type="spellEnd"/>
      <w:r w:rsidRPr="00C36DB5">
        <w:rPr>
          <w:sz w:val="22"/>
          <w:szCs w:val="22"/>
        </w:rPr>
        <w:t xml:space="preserve">. </w:t>
      </w:r>
      <w:r>
        <w:rPr>
          <w:sz w:val="22"/>
          <w:szCs w:val="22"/>
        </w:rPr>
        <w:t>2227711359/0800</w:t>
      </w:r>
      <w:proofErr w:type="gramEnd"/>
      <w:r w:rsidRPr="00C36DB5">
        <w:rPr>
          <w:sz w:val="22"/>
          <w:szCs w:val="22"/>
        </w:rPr>
        <w:t xml:space="preserve">  </w:t>
      </w:r>
    </w:p>
    <w:p w:rsidR="00C36DB5" w:rsidRPr="00C36DB5" w:rsidRDefault="00C36DB5" w:rsidP="00C36DB5">
      <w:pPr>
        <w:autoSpaceDE w:val="0"/>
        <w:autoSpaceDN w:val="0"/>
        <w:adjustRightInd w:val="0"/>
        <w:rPr>
          <w:sz w:val="22"/>
          <w:szCs w:val="22"/>
        </w:rPr>
      </w:pPr>
      <w:r>
        <w:rPr>
          <w:sz w:val="22"/>
          <w:szCs w:val="22"/>
        </w:rPr>
        <w:t xml:space="preserve">jednající / </w:t>
      </w:r>
      <w:r w:rsidRPr="00C36DB5">
        <w:rPr>
          <w:sz w:val="22"/>
          <w:szCs w:val="22"/>
        </w:rPr>
        <w:t xml:space="preserve">zastoupená:  </w:t>
      </w:r>
      <w:r w:rsidR="00F41709">
        <w:rPr>
          <w:sz w:val="22"/>
          <w:szCs w:val="22"/>
        </w:rPr>
        <w:t>MUDr. Vítem Němečkem,</w:t>
      </w:r>
      <w:r w:rsidR="00222CD9">
        <w:rPr>
          <w:sz w:val="22"/>
          <w:szCs w:val="22"/>
        </w:rPr>
        <w:t xml:space="preserve"> MBA, </w:t>
      </w:r>
      <w:r w:rsidR="00F41709">
        <w:rPr>
          <w:sz w:val="22"/>
          <w:szCs w:val="22"/>
        </w:rPr>
        <w:t xml:space="preserve"> ředitelem</w:t>
      </w:r>
    </w:p>
    <w:p w:rsidR="00D14E58" w:rsidRPr="00C36DB5" w:rsidRDefault="00D14E58">
      <w:pPr>
        <w:rPr>
          <w:sz w:val="22"/>
          <w:szCs w:val="22"/>
        </w:rPr>
      </w:pPr>
      <w:r w:rsidRPr="00C36DB5">
        <w:rPr>
          <w:sz w:val="22"/>
          <w:szCs w:val="22"/>
        </w:rPr>
        <w:t>(dále jen „</w:t>
      </w:r>
      <w:r w:rsidRPr="00C36DB5">
        <w:rPr>
          <w:b/>
          <w:sz w:val="22"/>
          <w:szCs w:val="22"/>
        </w:rPr>
        <w:t>kupující</w:t>
      </w:r>
      <w:r w:rsidRPr="00C36DB5">
        <w:rPr>
          <w:sz w:val="22"/>
          <w:szCs w:val="22"/>
        </w:rPr>
        <w:t>“)</w:t>
      </w:r>
    </w:p>
    <w:p w:rsidR="00D14E58" w:rsidRPr="00C36DB5" w:rsidRDefault="00D14E58">
      <w:pPr>
        <w:pStyle w:val="Zpat"/>
        <w:tabs>
          <w:tab w:val="clear" w:pos="4536"/>
          <w:tab w:val="clear" w:pos="9072"/>
        </w:tabs>
        <w:rPr>
          <w:sz w:val="22"/>
          <w:szCs w:val="22"/>
        </w:rPr>
      </w:pPr>
    </w:p>
    <w:p w:rsidR="00C36DB5" w:rsidRPr="00B662F5" w:rsidRDefault="00B662F5" w:rsidP="00B662F5">
      <w:pPr>
        <w:jc w:val="both"/>
        <w:rPr>
          <w:sz w:val="22"/>
          <w:szCs w:val="22"/>
        </w:rPr>
      </w:pPr>
      <w:r w:rsidRPr="00B662F5">
        <w:rPr>
          <w:sz w:val="22"/>
          <w:szCs w:val="22"/>
        </w:rPr>
        <w:t>Kupující a Prodávající, dále též označováni jako „</w:t>
      </w:r>
      <w:r w:rsidRPr="00B662F5">
        <w:rPr>
          <w:b/>
          <w:sz w:val="22"/>
          <w:szCs w:val="22"/>
        </w:rPr>
        <w:t>smluvní strany</w:t>
      </w:r>
      <w:r w:rsidRPr="00B662F5">
        <w:rPr>
          <w:sz w:val="22"/>
          <w:szCs w:val="22"/>
        </w:rPr>
        <w:t>“, níže uvedeného dne, měsíce a roku uzavírají tuto kupní smlouvu (dále jen „</w:t>
      </w:r>
      <w:r w:rsidRPr="00B662F5">
        <w:rPr>
          <w:b/>
          <w:sz w:val="22"/>
          <w:szCs w:val="22"/>
        </w:rPr>
        <w:t>Smlouva</w:t>
      </w:r>
      <w:r w:rsidRPr="00B662F5">
        <w:rPr>
          <w:sz w:val="22"/>
          <w:szCs w:val="22"/>
        </w:rPr>
        <w:t>“).</w:t>
      </w:r>
    </w:p>
    <w:p w:rsidR="00C36DB5" w:rsidRDefault="00C36DB5">
      <w:pPr>
        <w:jc w:val="center"/>
        <w:rPr>
          <w:b/>
          <w:sz w:val="22"/>
          <w:szCs w:val="22"/>
        </w:rPr>
      </w:pPr>
    </w:p>
    <w:p w:rsidR="0019547A" w:rsidRDefault="0019547A">
      <w:pPr>
        <w:jc w:val="center"/>
        <w:rPr>
          <w:b/>
          <w:sz w:val="22"/>
          <w:szCs w:val="22"/>
        </w:rPr>
      </w:pPr>
    </w:p>
    <w:p w:rsidR="00D14E58" w:rsidRPr="00C36DB5" w:rsidRDefault="00D14E58">
      <w:pPr>
        <w:jc w:val="center"/>
        <w:rPr>
          <w:b/>
          <w:sz w:val="22"/>
          <w:szCs w:val="22"/>
        </w:rPr>
      </w:pPr>
      <w:r w:rsidRPr="00C36DB5">
        <w:rPr>
          <w:b/>
          <w:sz w:val="22"/>
          <w:szCs w:val="22"/>
        </w:rPr>
        <w:t>I.</w:t>
      </w:r>
    </w:p>
    <w:p w:rsidR="00D14E58" w:rsidRPr="00C36DB5" w:rsidRDefault="00D14E58">
      <w:pPr>
        <w:pStyle w:val="Nadpis2"/>
        <w:jc w:val="center"/>
        <w:rPr>
          <w:sz w:val="22"/>
          <w:szCs w:val="22"/>
        </w:rPr>
      </w:pPr>
      <w:r w:rsidRPr="00C36DB5">
        <w:rPr>
          <w:sz w:val="22"/>
          <w:szCs w:val="22"/>
        </w:rPr>
        <w:t>Předmět smlouvy</w:t>
      </w:r>
    </w:p>
    <w:p w:rsidR="00D14E58" w:rsidRPr="0028217B" w:rsidRDefault="00D14E58">
      <w:pPr>
        <w:numPr>
          <w:ilvl w:val="0"/>
          <w:numId w:val="1"/>
        </w:numPr>
        <w:tabs>
          <w:tab w:val="clear" w:pos="600"/>
          <w:tab w:val="num" w:pos="426"/>
        </w:tabs>
        <w:ind w:left="426"/>
        <w:jc w:val="both"/>
        <w:rPr>
          <w:sz w:val="22"/>
          <w:szCs w:val="22"/>
        </w:rPr>
      </w:pPr>
      <w:r w:rsidRPr="00C36DB5">
        <w:rPr>
          <w:sz w:val="22"/>
          <w:szCs w:val="22"/>
        </w:rPr>
        <w:t>Na základě této smlouvy se prodávající zavazuje dodat kupujícímu</w:t>
      </w:r>
      <w:r w:rsidRPr="00C36DB5">
        <w:rPr>
          <w:b/>
          <w:bCs/>
          <w:sz w:val="22"/>
          <w:szCs w:val="22"/>
        </w:rPr>
        <w:t xml:space="preserve"> </w:t>
      </w:r>
      <w:r w:rsidR="00F60208">
        <w:rPr>
          <w:b/>
          <w:bCs/>
          <w:sz w:val="22"/>
          <w:szCs w:val="22"/>
        </w:rPr>
        <w:t xml:space="preserve">zboží dle cenové nabídky v příloze č. 1 </w:t>
      </w:r>
      <w:r w:rsidRPr="00C36DB5">
        <w:rPr>
          <w:sz w:val="22"/>
          <w:szCs w:val="22"/>
        </w:rPr>
        <w:t xml:space="preserve">(dále jen </w:t>
      </w:r>
      <w:r w:rsidRPr="007D2B6A">
        <w:rPr>
          <w:sz w:val="22"/>
          <w:szCs w:val="22"/>
        </w:rPr>
        <w:t>„</w:t>
      </w:r>
      <w:r w:rsidRPr="007D2B6A">
        <w:rPr>
          <w:b/>
          <w:sz w:val="22"/>
          <w:szCs w:val="22"/>
        </w:rPr>
        <w:t>zboží</w:t>
      </w:r>
      <w:r w:rsidRPr="007D2B6A">
        <w:rPr>
          <w:sz w:val="22"/>
          <w:szCs w:val="22"/>
        </w:rPr>
        <w:t>“)</w:t>
      </w:r>
      <w:r w:rsidRPr="00C36DB5">
        <w:rPr>
          <w:sz w:val="22"/>
          <w:szCs w:val="22"/>
        </w:rPr>
        <w:t xml:space="preserve"> a převést na kupujícího vlastnické právo ke zboží. Spolu se zbožím budou kupujícímu předány také dok</w:t>
      </w:r>
      <w:r w:rsidR="00972276">
        <w:rPr>
          <w:sz w:val="22"/>
          <w:szCs w:val="22"/>
        </w:rPr>
        <w:t>lady potřebné pro řádné užívání</w:t>
      </w:r>
      <w:r w:rsidR="00CF0E78">
        <w:rPr>
          <w:sz w:val="22"/>
          <w:szCs w:val="22"/>
        </w:rPr>
        <w:t xml:space="preserve"> zboží</w:t>
      </w:r>
      <w:r w:rsidR="00972276">
        <w:rPr>
          <w:sz w:val="22"/>
          <w:szCs w:val="22"/>
        </w:rPr>
        <w:t xml:space="preserve">, tj. </w:t>
      </w:r>
      <w:r w:rsidR="00972276" w:rsidRPr="0028217B">
        <w:rPr>
          <w:sz w:val="22"/>
          <w:szCs w:val="22"/>
        </w:rPr>
        <w:t>zejména</w:t>
      </w:r>
      <w:r w:rsidRPr="0028217B">
        <w:rPr>
          <w:sz w:val="22"/>
          <w:szCs w:val="22"/>
        </w:rPr>
        <w:t xml:space="preserve"> návod </w:t>
      </w:r>
      <w:r w:rsidR="00BC3194" w:rsidRPr="0028217B">
        <w:rPr>
          <w:sz w:val="22"/>
          <w:szCs w:val="22"/>
        </w:rPr>
        <w:t xml:space="preserve">k použití </w:t>
      </w:r>
      <w:r w:rsidRPr="0028217B">
        <w:rPr>
          <w:sz w:val="22"/>
          <w:szCs w:val="22"/>
        </w:rPr>
        <w:t>zboží v českém jazyc</w:t>
      </w:r>
      <w:r w:rsidR="004E213B">
        <w:rPr>
          <w:sz w:val="22"/>
          <w:szCs w:val="22"/>
        </w:rPr>
        <w:t>e, záruční list, apod. a daňový doklad.</w:t>
      </w:r>
    </w:p>
    <w:p w:rsidR="00D14E58" w:rsidRPr="00C36DB5" w:rsidRDefault="00D14E58">
      <w:pPr>
        <w:numPr>
          <w:ilvl w:val="0"/>
          <w:numId w:val="1"/>
        </w:numPr>
        <w:tabs>
          <w:tab w:val="clear" w:pos="600"/>
          <w:tab w:val="num" w:pos="426"/>
        </w:tabs>
        <w:ind w:left="426"/>
        <w:jc w:val="both"/>
        <w:rPr>
          <w:sz w:val="22"/>
          <w:szCs w:val="22"/>
        </w:rPr>
      </w:pPr>
      <w:r w:rsidRPr="00C36DB5">
        <w:rPr>
          <w:sz w:val="22"/>
          <w:szCs w:val="22"/>
        </w:rPr>
        <w:t xml:space="preserve">Kupující se na základě této smlouvy zavazuje zaplatit prodávajícímu </w:t>
      </w:r>
      <w:r w:rsidR="00CF0E78">
        <w:rPr>
          <w:sz w:val="22"/>
          <w:szCs w:val="22"/>
        </w:rPr>
        <w:t xml:space="preserve">za dodané zboží </w:t>
      </w:r>
      <w:r w:rsidRPr="00C36DB5">
        <w:rPr>
          <w:sz w:val="22"/>
          <w:szCs w:val="22"/>
        </w:rPr>
        <w:t>kupní cenu specifikovanou v čl. II. této smlouvy.</w:t>
      </w:r>
    </w:p>
    <w:p w:rsidR="00D14E58" w:rsidRDefault="00D14E58">
      <w:pPr>
        <w:ind w:left="240"/>
        <w:jc w:val="both"/>
        <w:rPr>
          <w:sz w:val="22"/>
          <w:szCs w:val="22"/>
        </w:rPr>
      </w:pPr>
    </w:p>
    <w:p w:rsidR="0019547A" w:rsidRPr="00C36DB5" w:rsidRDefault="0019547A">
      <w:pPr>
        <w:ind w:left="240"/>
        <w:jc w:val="both"/>
        <w:rPr>
          <w:sz w:val="22"/>
          <w:szCs w:val="22"/>
        </w:rPr>
      </w:pPr>
    </w:p>
    <w:p w:rsidR="00D14E58" w:rsidRPr="00C36DB5" w:rsidRDefault="00D14E58">
      <w:pPr>
        <w:jc w:val="center"/>
        <w:rPr>
          <w:b/>
          <w:sz w:val="22"/>
          <w:szCs w:val="22"/>
        </w:rPr>
      </w:pPr>
      <w:r w:rsidRPr="00C36DB5">
        <w:rPr>
          <w:sz w:val="22"/>
          <w:szCs w:val="22"/>
        </w:rPr>
        <w:t xml:space="preserve"> </w:t>
      </w:r>
      <w:r w:rsidRPr="00C36DB5">
        <w:rPr>
          <w:b/>
          <w:sz w:val="22"/>
          <w:szCs w:val="22"/>
        </w:rPr>
        <w:t>II.</w:t>
      </w:r>
    </w:p>
    <w:p w:rsidR="00D14E58" w:rsidRPr="00C36DB5" w:rsidRDefault="00D14E58">
      <w:pPr>
        <w:pStyle w:val="Nadpis2"/>
        <w:jc w:val="center"/>
        <w:rPr>
          <w:sz w:val="22"/>
          <w:szCs w:val="22"/>
        </w:rPr>
      </w:pPr>
      <w:r w:rsidRPr="00C36DB5">
        <w:rPr>
          <w:sz w:val="22"/>
          <w:szCs w:val="22"/>
        </w:rPr>
        <w:t>Kupní cena zboží</w:t>
      </w:r>
    </w:p>
    <w:p w:rsidR="00D14E58" w:rsidRPr="00574F9D" w:rsidRDefault="00D14E58">
      <w:pPr>
        <w:numPr>
          <w:ilvl w:val="0"/>
          <w:numId w:val="2"/>
        </w:numPr>
        <w:tabs>
          <w:tab w:val="clear" w:pos="600"/>
          <w:tab w:val="num" w:pos="426"/>
        </w:tabs>
        <w:ind w:left="426"/>
        <w:jc w:val="both"/>
        <w:rPr>
          <w:b/>
          <w:sz w:val="22"/>
          <w:szCs w:val="22"/>
        </w:rPr>
      </w:pPr>
      <w:r w:rsidRPr="006B3FB2">
        <w:rPr>
          <w:b/>
          <w:sz w:val="22"/>
          <w:szCs w:val="22"/>
        </w:rPr>
        <w:t xml:space="preserve">Kupní cena </w:t>
      </w:r>
      <w:r w:rsidR="004E213B" w:rsidRPr="004E213B">
        <w:rPr>
          <w:b/>
          <w:sz w:val="22"/>
          <w:szCs w:val="22"/>
        </w:rPr>
        <w:t>zboží je</w:t>
      </w:r>
      <w:r w:rsidR="004E213B">
        <w:rPr>
          <w:sz w:val="22"/>
          <w:szCs w:val="22"/>
        </w:rPr>
        <w:t xml:space="preserve"> </w:t>
      </w:r>
      <w:r w:rsidR="004E213B" w:rsidRPr="004E213B">
        <w:rPr>
          <w:sz w:val="22"/>
          <w:szCs w:val="22"/>
        </w:rPr>
        <w:t>smluvními stranami stanovena jako maximální a nepřekročitelná</w:t>
      </w:r>
      <w:r w:rsidR="004E213B">
        <w:rPr>
          <w:sz w:val="22"/>
          <w:szCs w:val="22"/>
        </w:rPr>
        <w:t xml:space="preserve">, a </w:t>
      </w:r>
      <w:r w:rsidR="004E213B" w:rsidRPr="004E213B">
        <w:rPr>
          <w:sz w:val="22"/>
          <w:szCs w:val="22"/>
        </w:rPr>
        <w:t xml:space="preserve"> </w:t>
      </w:r>
      <w:r w:rsidR="004E213B">
        <w:rPr>
          <w:sz w:val="22"/>
          <w:szCs w:val="22"/>
        </w:rPr>
        <w:t xml:space="preserve">činí </w:t>
      </w:r>
      <w:r w:rsidR="00F60208">
        <w:rPr>
          <w:sz w:val="22"/>
          <w:szCs w:val="22"/>
        </w:rPr>
        <w:t>1.921.100,-</w:t>
      </w:r>
      <w:r w:rsidRPr="00C36DB5">
        <w:rPr>
          <w:sz w:val="22"/>
          <w:szCs w:val="22"/>
        </w:rPr>
        <w:t xml:space="preserve"> Kč bez </w:t>
      </w:r>
      <w:r w:rsidR="00896177">
        <w:rPr>
          <w:sz w:val="22"/>
          <w:szCs w:val="22"/>
        </w:rPr>
        <w:t>21</w:t>
      </w:r>
      <w:r w:rsidRPr="00C36DB5">
        <w:rPr>
          <w:sz w:val="22"/>
          <w:szCs w:val="22"/>
        </w:rPr>
        <w:t xml:space="preserve"> % DPH, tj. </w:t>
      </w:r>
      <w:r w:rsidR="00F60208">
        <w:rPr>
          <w:b/>
          <w:sz w:val="22"/>
          <w:szCs w:val="22"/>
        </w:rPr>
        <w:t>2.324.531,-</w:t>
      </w:r>
      <w:r w:rsidRPr="00F41709">
        <w:rPr>
          <w:b/>
          <w:sz w:val="22"/>
          <w:szCs w:val="22"/>
        </w:rPr>
        <w:t xml:space="preserve"> Kč</w:t>
      </w:r>
      <w:r w:rsidRPr="00C36DB5">
        <w:rPr>
          <w:sz w:val="22"/>
          <w:szCs w:val="22"/>
        </w:rPr>
        <w:t xml:space="preserve"> včetně </w:t>
      </w:r>
      <w:r w:rsidR="00D85D22">
        <w:rPr>
          <w:sz w:val="22"/>
          <w:szCs w:val="22"/>
        </w:rPr>
        <w:t>2</w:t>
      </w:r>
      <w:r w:rsidR="00F41709">
        <w:rPr>
          <w:sz w:val="22"/>
          <w:szCs w:val="22"/>
        </w:rPr>
        <w:t>1</w:t>
      </w:r>
      <w:r w:rsidRPr="00C36DB5">
        <w:rPr>
          <w:sz w:val="22"/>
          <w:szCs w:val="22"/>
        </w:rPr>
        <w:t xml:space="preserve"> % DPH. V kupní ceně </w:t>
      </w:r>
      <w:r w:rsidR="00CF0E78">
        <w:rPr>
          <w:sz w:val="22"/>
          <w:szCs w:val="22"/>
        </w:rPr>
        <w:t xml:space="preserve">za </w:t>
      </w:r>
      <w:r w:rsidRPr="00C36DB5">
        <w:rPr>
          <w:sz w:val="22"/>
          <w:szCs w:val="22"/>
        </w:rPr>
        <w:t>zboží je zahrnuto dodání zboží kupujícímu do místa p</w:t>
      </w:r>
      <w:r w:rsidR="00336392">
        <w:rPr>
          <w:sz w:val="22"/>
          <w:szCs w:val="22"/>
        </w:rPr>
        <w:t>lnění, jeho uvedení do provozu,</w:t>
      </w:r>
      <w:r w:rsidRPr="00C36DB5">
        <w:rPr>
          <w:sz w:val="22"/>
          <w:szCs w:val="22"/>
        </w:rPr>
        <w:t xml:space="preserve"> předání všech dokladů potřebných pro jeho řádné užívání (čl. I. odst. 1 této smlouvy)</w:t>
      </w:r>
      <w:r w:rsidR="00972276">
        <w:rPr>
          <w:sz w:val="22"/>
          <w:szCs w:val="22"/>
        </w:rPr>
        <w:t xml:space="preserve"> a z</w:t>
      </w:r>
      <w:r w:rsidRPr="00C36DB5">
        <w:rPr>
          <w:sz w:val="22"/>
          <w:szCs w:val="22"/>
        </w:rPr>
        <w:t xml:space="preserve">aškolení obsluhy zboží. </w:t>
      </w:r>
    </w:p>
    <w:p w:rsidR="00972276" w:rsidRDefault="00D14E58">
      <w:pPr>
        <w:numPr>
          <w:ilvl w:val="0"/>
          <w:numId w:val="2"/>
        </w:numPr>
        <w:tabs>
          <w:tab w:val="clear" w:pos="600"/>
          <w:tab w:val="num" w:pos="426"/>
        </w:tabs>
        <w:ind w:left="426"/>
        <w:jc w:val="both"/>
        <w:rPr>
          <w:sz w:val="22"/>
          <w:szCs w:val="22"/>
        </w:rPr>
      </w:pPr>
      <w:r w:rsidRPr="00C36DB5">
        <w:rPr>
          <w:sz w:val="22"/>
          <w:szCs w:val="22"/>
        </w:rPr>
        <w:t>Kupní cena předmětu smlouvy bude kupujícím uhrazena na základě</w:t>
      </w:r>
      <w:r w:rsidR="009A707E">
        <w:rPr>
          <w:sz w:val="22"/>
          <w:szCs w:val="22"/>
        </w:rPr>
        <w:t xml:space="preserve"> daňového dokladu (</w:t>
      </w:r>
      <w:r w:rsidRPr="00C36DB5">
        <w:rPr>
          <w:sz w:val="22"/>
          <w:szCs w:val="22"/>
        </w:rPr>
        <w:t>faktury</w:t>
      </w:r>
      <w:r w:rsidR="009A707E">
        <w:rPr>
          <w:sz w:val="22"/>
          <w:szCs w:val="22"/>
        </w:rPr>
        <w:t>)</w:t>
      </w:r>
      <w:r w:rsidRPr="00C36DB5">
        <w:rPr>
          <w:sz w:val="22"/>
          <w:szCs w:val="22"/>
        </w:rPr>
        <w:t xml:space="preserve"> vystavené</w:t>
      </w:r>
      <w:r w:rsidR="009A707E">
        <w:rPr>
          <w:sz w:val="22"/>
          <w:szCs w:val="22"/>
        </w:rPr>
        <w:t>ho</w:t>
      </w:r>
      <w:r w:rsidRPr="00C36DB5">
        <w:rPr>
          <w:sz w:val="22"/>
          <w:szCs w:val="22"/>
        </w:rPr>
        <w:t xml:space="preserve"> prodávajícím.</w:t>
      </w:r>
    </w:p>
    <w:p w:rsidR="009A707E" w:rsidRDefault="00D14E58">
      <w:pPr>
        <w:numPr>
          <w:ilvl w:val="0"/>
          <w:numId w:val="2"/>
        </w:numPr>
        <w:tabs>
          <w:tab w:val="clear" w:pos="600"/>
          <w:tab w:val="num" w:pos="426"/>
        </w:tabs>
        <w:ind w:left="426"/>
        <w:jc w:val="both"/>
        <w:rPr>
          <w:sz w:val="22"/>
          <w:szCs w:val="22"/>
        </w:rPr>
      </w:pPr>
      <w:r w:rsidRPr="00C36DB5">
        <w:rPr>
          <w:sz w:val="22"/>
          <w:szCs w:val="22"/>
        </w:rPr>
        <w:t xml:space="preserve">Prodávající je oprávněn vystavit fakturu až po řádném dodání </w:t>
      </w:r>
      <w:r w:rsidR="00CF0E78">
        <w:rPr>
          <w:sz w:val="22"/>
          <w:szCs w:val="22"/>
        </w:rPr>
        <w:t>zboží</w:t>
      </w:r>
      <w:r w:rsidRPr="00C36DB5">
        <w:rPr>
          <w:sz w:val="22"/>
          <w:szCs w:val="22"/>
        </w:rPr>
        <w:t xml:space="preserve"> kupujícímu, jeho uvedení do provozu, předání všech dokladů potřebných pro jeho řádné užívání (čl. I. </w:t>
      </w:r>
      <w:r w:rsidR="00CF0E78">
        <w:rPr>
          <w:sz w:val="22"/>
          <w:szCs w:val="22"/>
        </w:rPr>
        <w:t xml:space="preserve">odst. 1 </w:t>
      </w:r>
      <w:r w:rsidRPr="00C36DB5">
        <w:rPr>
          <w:sz w:val="22"/>
          <w:szCs w:val="22"/>
        </w:rPr>
        <w:t>této smlouvy), zaškolení obsluhy předmětu smlouvy a podpisu protokolu o předání předmětu smlouvy oběma smluvními stranami.</w:t>
      </w:r>
    </w:p>
    <w:p w:rsidR="00D14E58" w:rsidRDefault="009A707E">
      <w:pPr>
        <w:numPr>
          <w:ilvl w:val="0"/>
          <w:numId w:val="2"/>
        </w:numPr>
        <w:tabs>
          <w:tab w:val="clear" w:pos="600"/>
          <w:tab w:val="num" w:pos="426"/>
        </w:tabs>
        <w:ind w:left="426"/>
        <w:jc w:val="both"/>
        <w:rPr>
          <w:sz w:val="22"/>
          <w:szCs w:val="22"/>
        </w:rPr>
      </w:pPr>
      <w:r>
        <w:rPr>
          <w:sz w:val="22"/>
          <w:szCs w:val="22"/>
        </w:rPr>
        <w:t>F</w:t>
      </w:r>
      <w:r w:rsidR="00D14E58" w:rsidRPr="00C36DB5">
        <w:rPr>
          <w:sz w:val="22"/>
          <w:szCs w:val="22"/>
        </w:rPr>
        <w:t xml:space="preserve">aktura je splatná do </w:t>
      </w:r>
      <w:r w:rsidR="00562474">
        <w:rPr>
          <w:sz w:val="22"/>
          <w:szCs w:val="22"/>
        </w:rPr>
        <w:t>6</w:t>
      </w:r>
      <w:r w:rsidRPr="0028217B">
        <w:rPr>
          <w:sz w:val="22"/>
          <w:szCs w:val="22"/>
        </w:rPr>
        <w:t>0</w:t>
      </w:r>
      <w:r w:rsidR="00D14E58" w:rsidRPr="00C36DB5">
        <w:rPr>
          <w:sz w:val="22"/>
          <w:szCs w:val="22"/>
        </w:rPr>
        <w:t xml:space="preserve"> </w:t>
      </w:r>
      <w:r w:rsidR="00B662F5">
        <w:rPr>
          <w:sz w:val="22"/>
          <w:szCs w:val="22"/>
        </w:rPr>
        <w:t xml:space="preserve">kalendářních </w:t>
      </w:r>
      <w:r w:rsidR="00D14E58" w:rsidRPr="00C36DB5">
        <w:rPr>
          <w:sz w:val="22"/>
          <w:szCs w:val="22"/>
        </w:rPr>
        <w:t xml:space="preserve">dnů </w:t>
      </w:r>
      <w:r>
        <w:rPr>
          <w:sz w:val="22"/>
          <w:szCs w:val="22"/>
        </w:rPr>
        <w:t xml:space="preserve">ode dne jejího doručení kupujícímu, a to </w:t>
      </w:r>
      <w:r w:rsidR="00D14E58" w:rsidRPr="00C36DB5">
        <w:rPr>
          <w:sz w:val="22"/>
          <w:szCs w:val="22"/>
        </w:rPr>
        <w:t xml:space="preserve">na bankovní účet prodávajícího, který je uveden v záhlaví této smlouvy.  </w:t>
      </w:r>
    </w:p>
    <w:p w:rsidR="004E213B" w:rsidRPr="004E213B" w:rsidRDefault="004E213B" w:rsidP="004E213B">
      <w:pPr>
        <w:numPr>
          <w:ilvl w:val="0"/>
          <w:numId w:val="10"/>
        </w:numPr>
        <w:tabs>
          <w:tab w:val="clear" w:pos="360"/>
          <w:tab w:val="num" w:pos="426"/>
        </w:tabs>
        <w:ind w:left="426"/>
        <w:jc w:val="both"/>
        <w:rPr>
          <w:sz w:val="22"/>
          <w:szCs w:val="22"/>
        </w:rPr>
      </w:pPr>
      <w:r w:rsidRPr="004E213B">
        <w:rPr>
          <w:sz w:val="22"/>
          <w:szCs w:val="22"/>
        </w:rPr>
        <w:lastRenderedPageBreak/>
        <w:t xml:space="preserve">V případě, že daňový doklad nebude obsahovat náležitosti dle </w:t>
      </w:r>
      <w:r>
        <w:rPr>
          <w:sz w:val="22"/>
          <w:szCs w:val="22"/>
        </w:rPr>
        <w:t xml:space="preserve">platných a účinných daňových </w:t>
      </w:r>
      <w:r w:rsidRPr="004E213B">
        <w:rPr>
          <w:sz w:val="22"/>
          <w:szCs w:val="22"/>
        </w:rPr>
        <w:t xml:space="preserve">předpisů, zejména dle ustanovení § 28 odst. 2 zákona č. 235/2004 Sb., o dani z přidané hodnoty, nebo bude mít jiné vady v obsahu, je Kupující oprávněn daňový doklad s vyznačením důvodu vrátit do doby její splatnosti způsobem, který prokazuje, že do tohoto data Prodávající vrácenou fakturu převzal. V takovém případě je Prodávající povinen daňový doklad opravit a v případě, že by oprava činila daňový doklad nepřehledným, vystavit daňový doklad nový. Opravený, případně nový daňový doklad musí být znovu zaslán Kupujícímu. Nová lhůta splatnosti začne plynout dnem vystavení opraveného, případně nového daňového dokladu. Do doby splatnosti opraveného nebo nového daňového dokladu není Kupující v prodlení s placením kupní ceny </w:t>
      </w:r>
      <w:r w:rsidR="002F5A84">
        <w:rPr>
          <w:sz w:val="22"/>
          <w:szCs w:val="22"/>
        </w:rPr>
        <w:t>zboží</w:t>
      </w:r>
      <w:r w:rsidRPr="004E213B">
        <w:rPr>
          <w:sz w:val="22"/>
          <w:szCs w:val="22"/>
        </w:rPr>
        <w:t>.</w:t>
      </w:r>
    </w:p>
    <w:p w:rsidR="000929EB" w:rsidRDefault="00D14E58" w:rsidP="004E213B">
      <w:pPr>
        <w:numPr>
          <w:ilvl w:val="0"/>
          <w:numId w:val="11"/>
        </w:numPr>
        <w:jc w:val="both"/>
        <w:rPr>
          <w:sz w:val="22"/>
          <w:szCs w:val="22"/>
        </w:rPr>
      </w:pPr>
      <w:r w:rsidRPr="00C36DB5">
        <w:rPr>
          <w:sz w:val="22"/>
          <w:szCs w:val="22"/>
        </w:rPr>
        <w:t xml:space="preserve">Nezaplatí-li kupující prodávajícímu kupní cenu zboží řádně a včas, zavazuje se kupující zaplatit prodávajícímu úrok z prodlení ve výši </w:t>
      </w:r>
      <w:r w:rsidRPr="0028217B">
        <w:rPr>
          <w:sz w:val="22"/>
          <w:szCs w:val="22"/>
        </w:rPr>
        <w:t>0,0</w:t>
      </w:r>
      <w:r w:rsidR="00972276" w:rsidRPr="0028217B">
        <w:rPr>
          <w:sz w:val="22"/>
          <w:szCs w:val="22"/>
        </w:rPr>
        <w:t>5</w:t>
      </w:r>
      <w:r w:rsidRPr="00C36DB5">
        <w:rPr>
          <w:sz w:val="22"/>
          <w:szCs w:val="22"/>
        </w:rPr>
        <w:t xml:space="preserve"> % z dlužné částky za každý den prodlení, a to až do úplného zaplacení dlužné částky.</w:t>
      </w:r>
    </w:p>
    <w:p w:rsidR="00D14E58" w:rsidRDefault="00D14E58">
      <w:pPr>
        <w:jc w:val="center"/>
        <w:rPr>
          <w:b/>
          <w:sz w:val="22"/>
          <w:szCs w:val="22"/>
        </w:rPr>
      </w:pPr>
    </w:p>
    <w:p w:rsidR="0019547A" w:rsidRPr="00C36DB5" w:rsidRDefault="0019547A">
      <w:pPr>
        <w:jc w:val="center"/>
        <w:rPr>
          <w:b/>
          <w:sz w:val="22"/>
          <w:szCs w:val="22"/>
        </w:rPr>
      </w:pPr>
    </w:p>
    <w:p w:rsidR="00D14E58" w:rsidRPr="00C36DB5" w:rsidRDefault="00D14E58">
      <w:pPr>
        <w:jc w:val="center"/>
        <w:rPr>
          <w:b/>
          <w:sz w:val="22"/>
          <w:szCs w:val="22"/>
        </w:rPr>
      </w:pPr>
      <w:r w:rsidRPr="00C36DB5">
        <w:rPr>
          <w:b/>
          <w:sz w:val="22"/>
          <w:szCs w:val="22"/>
        </w:rPr>
        <w:t>III.</w:t>
      </w:r>
    </w:p>
    <w:p w:rsidR="00D14E58" w:rsidRPr="00C36DB5" w:rsidRDefault="00D14E58">
      <w:pPr>
        <w:pStyle w:val="Nadpis2"/>
        <w:jc w:val="center"/>
        <w:rPr>
          <w:sz w:val="22"/>
          <w:szCs w:val="22"/>
        </w:rPr>
      </w:pPr>
      <w:r w:rsidRPr="00C36DB5">
        <w:rPr>
          <w:sz w:val="22"/>
          <w:szCs w:val="22"/>
        </w:rPr>
        <w:t>Doba a místo plnění</w:t>
      </w:r>
    </w:p>
    <w:p w:rsidR="00BC3194" w:rsidRDefault="00D14E58">
      <w:pPr>
        <w:numPr>
          <w:ilvl w:val="0"/>
          <w:numId w:val="3"/>
        </w:numPr>
        <w:tabs>
          <w:tab w:val="clear" w:pos="600"/>
          <w:tab w:val="num" w:pos="426"/>
        </w:tabs>
        <w:ind w:left="426"/>
        <w:jc w:val="both"/>
        <w:rPr>
          <w:sz w:val="22"/>
          <w:szCs w:val="22"/>
        </w:rPr>
      </w:pPr>
      <w:r w:rsidRPr="00C36DB5">
        <w:rPr>
          <w:sz w:val="22"/>
          <w:szCs w:val="22"/>
        </w:rPr>
        <w:t xml:space="preserve">Prodávající se zavazuje předat zboží kupujícímu nejpozději do </w:t>
      </w:r>
      <w:r w:rsidR="00DA7CFD">
        <w:rPr>
          <w:sz w:val="22"/>
          <w:szCs w:val="22"/>
        </w:rPr>
        <w:t>2</w:t>
      </w:r>
      <w:r w:rsidR="00F60208">
        <w:rPr>
          <w:sz w:val="22"/>
          <w:szCs w:val="22"/>
        </w:rPr>
        <w:t>5</w:t>
      </w:r>
      <w:r w:rsidR="008E6727">
        <w:rPr>
          <w:sz w:val="22"/>
          <w:szCs w:val="22"/>
        </w:rPr>
        <w:t>.</w:t>
      </w:r>
      <w:r w:rsidR="00336392">
        <w:rPr>
          <w:sz w:val="22"/>
          <w:szCs w:val="22"/>
        </w:rPr>
        <w:t xml:space="preserve"> </w:t>
      </w:r>
      <w:r w:rsidR="008E6727">
        <w:rPr>
          <w:sz w:val="22"/>
          <w:szCs w:val="22"/>
        </w:rPr>
        <w:t>1</w:t>
      </w:r>
      <w:r w:rsidR="00DA7CFD">
        <w:rPr>
          <w:sz w:val="22"/>
          <w:szCs w:val="22"/>
        </w:rPr>
        <w:t>1</w:t>
      </w:r>
      <w:r w:rsidR="008E6727">
        <w:rPr>
          <w:sz w:val="22"/>
          <w:szCs w:val="22"/>
        </w:rPr>
        <w:t>.</w:t>
      </w:r>
      <w:r w:rsidR="00336392">
        <w:rPr>
          <w:sz w:val="22"/>
          <w:szCs w:val="22"/>
        </w:rPr>
        <w:t xml:space="preserve"> </w:t>
      </w:r>
      <w:r w:rsidR="008E6727">
        <w:rPr>
          <w:sz w:val="22"/>
          <w:szCs w:val="22"/>
        </w:rPr>
        <w:t>201</w:t>
      </w:r>
      <w:r w:rsidR="00F60208">
        <w:rPr>
          <w:sz w:val="22"/>
          <w:szCs w:val="22"/>
        </w:rPr>
        <w:t>6</w:t>
      </w:r>
      <w:r w:rsidRPr="00C36DB5">
        <w:rPr>
          <w:sz w:val="22"/>
          <w:szCs w:val="22"/>
        </w:rPr>
        <w:t xml:space="preserve">. </w:t>
      </w:r>
      <w:r w:rsidR="00B54D20">
        <w:rPr>
          <w:sz w:val="22"/>
          <w:szCs w:val="22"/>
        </w:rPr>
        <w:t xml:space="preserve">Přesné datum předání bude provedeno na základě </w:t>
      </w:r>
      <w:r w:rsidR="00336392">
        <w:rPr>
          <w:sz w:val="22"/>
          <w:szCs w:val="22"/>
        </w:rPr>
        <w:t xml:space="preserve">písemné </w:t>
      </w:r>
      <w:r w:rsidR="00B54D20">
        <w:rPr>
          <w:sz w:val="22"/>
          <w:szCs w:val="22"/>
        </w:rPr>
        <w:t xml:space="preserve">dohody mezi prodávajícím a kupujícím. </w:t>
      </w:r>
      <w:r w:rsidRPr="00C36DB5">
        <w:rPr>
          <w:sz w:val="22"/>
          <w:szCs w:val="22"/>
        </w:rPr>
        <w:t xml:space="preserve">Za předání zboží se považuje jeho dodání na adresu sídla kupujícího, a to konkrétně na </w:t>
      </w:r>
      <w:r w:rsidR="00F41709">
        <w:rPr>
          <w:sz w:val="22"/>
          <w:szCs w:val="22"/>
        </w:rPr>
        <w:t>gastroenterologické</w:t>
      </w:r>
      <w:r w:rsidRPr="00C36DB5">
        <w:rPr>
          <w:b/>
          <w:bCs/>
          <w:sz w:val="22"/>
          <w:szCs w:val="22"/>
        </w:rPr>
        <w:t xml:space="preserve"> </w:t>
      </w:r>
      <w:r w:rsidRPr="003F3A10">
        <w:rPr>
          <w:bCs/>
          <w:sz w:val="22"/>
          <w:szCs w:val="22"/>
        </w:rPr>
        <w:t>oddělení</w:t>
      </w:r>
      <w:r w:rsidRPr="00C36DB5">
        <w:rPr>
          <w:sz w:val="22"/>
          <w:szCs w:val="22"/>
        </w:rPr>
        <w:t>, dále pak jeho uvedení do provozu, předání všech dokladů potřebných pro jeho řádné užívání (čl. I. odst. 1 této smlouvy), zaškolení obsluhy zboží a podpis protokolu o předání zboží oběma smluvními stranami.</w:t>
      </w:r>
    </w:p>
    <w:p w:rsidR="00D14E58" w:rsidRPr="0028217B" w:rsidRDefault="00BC3194">
      <w:pPr>
        <w:numPr>
          <w:ilvl w:val="0"/>
          <w:numId w:val="3"/>
        </w:numPr>
        <w:tabs>
          <w:tab w:val="clear" w:pos="600"/>
          <w:tab w:val="num" w:pos="426"/>
        </w:tabs>
        <w:ind w:left="426"/>
        <w:jc w:val="both"/>
        <w:rPr>
          <w:sz w:val="22"/>
          <w:szCs w:val="22"/>
        </w:rPr>
      </w:pPr>
      <w:r w:rsidRPr="0028217B">
        <w:rPr>
          <w:sz w:val="22"/>
          <w:szCs w:val="22"/>
        </w:rPr>
        <w:t>Protokol o předání zboží bude obsahovat potvrzení kupujícího o tom, že byl ze strany prodávajícího seznámen s návodem k použití zboží</w:t>
      </w:r>
      <w:r w:rsidR="005D1DED" w:rsidRPr="0028217B">
        <w:rPr>
          <w:sz w:val="22"/>
          <w:szCs w:val="22"/>
        </w:rPr>
        <w:t>.</w:t>
      </w:r>
    </w:p>
    <w:p w:rsidR="003F3A10" w:rsidRPr="00C36DB5" w:rsidRDefault="00C027FA">
      <w:pPr>
        <w:numPr>
          <w:ilvl w:val="0"/>
          <w:numId w:val="3"/>
        </w:numPr>
        <w:tabs>
          <w:tab w:val="clear" w:pos="600"/>
          <w:tab w:val="num" w:pos="426"/>
        </w:tabs>
        <w:ind w:left="426"/>
        <w:jc w:val="both"/>
        <w:rPr>
          <w:sz w:val="22"/>
          <w:szCs w:val="22"/>
        </w:rPr>
      </w:pPr>
      <w:r>
        <w:rPr>
          <w:sz w:val="22"/>
          <w:szCs w:val="22"/>
        </w:rPr>
        <w:t>Kupující je povinen respektovat pokyny prodávajícího týkající se uvedení zboží do provozu. V případě, že kupující nevyčká, až prodávající uvede zboží do provozu a uvede zboží do provozu sám, nebude mu ze strany prodávaného poskytnuta záruka</w:t>
      </w:r>
      <w:r w:rsidR="00B54D20">
        <w:rPr>
          <w:sz w:val="22"/>
          <w:szCs w:val="22"/>
        </w:rPr>
        <w:t xml:space="preserve"> za jakost zboží</w:t>
      </w:r>
      <w:r w:rsidR="00074032">
        <w:rPr>
          <w:sz w:val="22"/>
          <w:szCs w:val="22"/>
        </w:rPr>
        <w:t>.</w:t>
      </w:r>
    </w:p>
    <w:p w:rsidR="00336392" w:rsidRPr="00336392" w:rsidRDefault="00D14E58" w:rsidP="00336392">
      <w:pPr>
        <w:numPr>
          <w:ilvl w:val="0"/>
          <w:numId w:val="3"/>
        </w:numPr>
        <w:tabs>
          <w:tab w:val="clear" w:pos="600"/>
          <w:tab w:val="num" w:pos="426"/>
        </w:tabs>
        <w:ind w:left="426"/>
        <w:jc w:val="both"/>
        <w:rPr>
          <w:sz w:val="22"/>
          <w:szCs w:val="22"/>
        </w:rPr>
      </w:pPr>
      <w:r w:rsidRPr="0028217B">
        <w:rPr>
          <w:sz w:val="22"/>
          <w:szCs w:val="22"/>
        </w:rPr>
        <w:t>Nedodá-li prodávající kupujícímu zboží řádně a včas, zavazuje se prodávající zaplatit kupujícímu smluvní pokutu ve výši 0,0</w:t>
      </w:r>
      <w:r w:rsidR="000929EB" w:rsidRPr="0028217B">
        <w:rPr>
          <w:sz w:val="22"/>
          <w:szCs w:val="22"/>
        </w:rPr>
        <w:t>5</w:t>
      </w:r>
      <w:r w:rsidRPr="0028217B">
        <w:rPr>
          <w:sz w:val="22"/>
          <w:szCs w:val="22"/>
        </w:rPr>
        <w:t xml:space="preserve"> % z kupní ceny zboží za každý den prodlení, a to až do řádného předání zboží kupujícímu. Za kupní cenu zboží se pro účely smluvní pokuty považuje kupní cena zboží včetně DPH.</w:t>
      </w:r>
    </w:p>
    <w:p w:rsidR="00336392" w:rsidRPr="0019547A" w:rsidRDefault="00562474" w:rsidP="0019547A">
      <w:pPr>
        <w:numPr>
          <w:ilvl w:val="0"/>
          <w:numId w:val="3"/>
        </w:numPr>
        <w:tabs>
          <w:tab w:val="clear" w:pos="600"/>
          <w:tab w:val="num" w:pos="284"/>
        </w:tabs>
        <w:ind w:left="426"/>
        <w:jc w:val="both"/>
        <w:rPr>
          <w:sz w:val="22"/>
          <w:szCs w:val="22"/>
        </w:rPr>
      </w:pPr>
      <w:r>
        <w:rPr>
          <w:sz w:val="22"/>
          <w:szCs w:val="22"/>
        </w:rPr>
        <w:t xml:space="preserve">  Vlastnické právo ke zboží dle této kupní smlouvy přechází na kupujícího okamžikem předání zboží.</w:t>
      </w:r>
      <w:r w:rsidRPr="00C36DB5">
        <w:rPr>
          <w:sz w:val="22"/>
          <w:szCs w:val="22"/>
        </w:rPr>
        <w:t xml:space="preserve"> </w:t>
      </w:r>
      <w:r w:rsidR="00336392" w:rsidRPr="00336392">
        <w:rPr>
          <w:sz w:val="22"/>
          <w:szCs w:val="22"/>
        </w:rPr>
        <w:t xml:space="preserve">Smluvní strany jsou povinny vyvíjet veškeré úsilí k vytvoření potřebných podmínek pro realizaci Předmětu smlouvy, které vyplývají z jejich smluvního postavení. </w:t>
      </w:r>
    </w:p>
    <w:p w:rsidR="00D14E58" w:rsidRDefault="00D14E58">
      <w:pPr>
        <w:ind w:left="240"/>
        <w:jc w:val="both"/>
        <w:rPr>
          <w:sz w:val="22"/>
          <w:szCs w:val="22"/>
        </w:rPr>
      </w:pPr>
    </w:p>
    <w:p w:rsidR="0019547A" w:rsidRPr="00C36DB5" w:rsidRDefault="0019547A">
      <w:pPr>
        <w:ind w:left="240"/>
        <w:jc w:val="both"/>
        <w:rPr>
          <w:sz w:val="22"/>
          <w:szCs w:val="22"/>
        </w:rPr>
      </w:pPr>
    </w:p>
    <w:p w:rsidR="00D14E58" w:rsidRPr="00C36DB5" w:rsidRDefault="00D14E58">
      <w:pPr>
        <w:jc w:val="center"/>
        <w:rPr>
          <w:b/>
          <w:sz w:val="22"/>
          <w:szCs w:val="22"/>
        </w:rPr>
      </w:pPr>
      <w:r w:rsidRPr="00C36DB5">
        <w:rPr>
          <w:b/>
          <w:sz w:val="22"/>
          <w:szCs w:val="22"/>
        </w:rPr>
        <w:t>IV.</w:t>
      </w:r>
    </w:p>
    <w:p w:rsidR="00D14E58" w:rsidRPr="00C36DB5" w:rsidRDefault="00D14E58">
      <w:pPr>
        <w:pStyle w:val="Nadpis2"/>
        <w:jc w:val="center"/>
        <w:rPr>
          <w:sz w:val="22"/>
          <w:szCs w:val="22"/>
        </w:rPr>
      </w:pPr>
      <w:r w:rsidRPr="00C36DB5">
        <w:rPr>
          <w:sz w:val="22"/>
          <w:szCs w:val="22"/>
        </w:rPr>
        <w:t>Nebezpečí škody na zboží</w:t>
      </w:r>
    </w:p>
    <w:p w:rsidR="00EB3E7D" w:rsidRDefault="00EB3E7D" w:rsidP="00EB3E7D">
      <w:pPr>
        <w:pStyle w:val="Zkladntext"/>
        <w:ind w:left="426" w:hanging="426"/>
        <w:rPr>
          <w:sz w:val="22"/>
          <w:szCs w:val="22"/>
        </w:rPr>
      </w:pPr>
      <w:r>
        <w:rPr>
          <w:sz w:val="22"/>
          <w:szCs w:val="22"/>
        </w:rPr>
        <w:t xml:space="preserve">1.   </w:t>
      </w:r>
      <w:r w:rsidR="00F41709">
        <w:rPr>
          <w:sz w:val="22"/>
          <w:szCs w:val="22"/>
        </w:rPr>
        <w:t xml:space="preserve">  </w:t>
      </w:r>
      <w:r w:rsidR="00D14E58" w:rsidRPr="00C36DB5">
        <w:rPr>
          <w:sz w:val="22"/>
          <w:szCs w:val="22"/>
        </w:rPr>
        <w:t>Nebezpečí škody na zboží přechází z prodávajícího na kupujícího okamžikem předání zboží (čl. III. odst. 1 této smlouvy).</w:t>
      </w:r>
      <w:r w:rsidR="00074032">
        <w:rPr>
          <w:sz w:val="22"/>
          <w:szCs w:val="22"/>
        </w:rPr>
        <w:t xml:space="preserve"> V případě, že prodávající nemůže provést kompletní předání zboží z důvodu nepřipravenosti na straně kupujícího (tj. zejména nepřipravenost na instalaci dodávky zboží), přechází nebezpečí škody na zboží </w:t>
      </w:r>
      <w:r w:rsidR="00972981">
        <w:rPr>
          <w:sz w:val="22"/>
          <w:szCs w:val="22"/>
        </w:rPr>
        <w:t xml:space="preserve">z prodávajícího na kupujícího jeho </w:t>
      </w:r>
      <w:r w:rsidR="00074032">
        <w:rPr>
          <w:sz w:val="22"/>
          <w:szCs w:val="22"/>
        </w:rPr>
        <w:t>dodáním</w:t>
      </w:r>
      <w:r w:rsidR="00972981">
        <w:rPr>
          <w:sz w:val="22"/>
          <w:szCs w:val="22"/>
        </w:rPr>
        <w:t xml:space="preserve"> kupujícímu</w:t>
      </w:r>
      <w:r w:rsidR="00074032">
        <w:rPr>
          <w:sz w:val="22"/>
          <w:szCs w:val="22"/>
        </w:rPr>
        <w:t>.</w:t>
      </w:r>
    </w:p>
    <w:p w:rsidR="00D14E58" w:rsidRDefault="00EB3E7D" w:rsidP="0019547A">
      <w:pPr>
        <w:pStyle w:val="Zkladntext"/>
        <w:ind w:left="426" w:hanging="426"/>
        <w:rPr>
          <w:sz w:val="22"/>
          <w:szCs w:val="22"/>
        </w:rPr>
      </w:pPr>
      <w:r>
        <w:rPr>
          <w:sz w:val="22"/>
          <w:szCs w:val="22"/>
        </w:rPr>
        <w:t>2.</w:t>
      </w:r>
      <w:r>
        <w:rPr>
          <w:sz w:val="22"/>
          <w:szCs w:val="22"/>
        </w:rPr>
        <w:tab/>
        <w:t>V případě, že zboží bude kupujícímu doručené prostřednictvím přepravce, přechází nebezpečí škody na zboží na kupujícího okamžikem převzetím zboží od tohoto přepravce.</w:t>
      </w:r>
      <w:r w:rsidR="00D14E58" w:rsidRPr="00C36DB5">
        <w:rPr>
          <w:sz w:val="22"/>
          <w:szCs w:val="22"/>
        </w:rPr>
        <w:t xml:space="preserve"> </w:t>
      </w:r>
    </w:p>
    <w:p w:rsidR="00562474" w:rsidRDefault="00562474">
      <w:pPr>
        <w:ind w:left="240"/>
        <w:jc w:val="both"/>
        <w:rPr>
          <w:sz w:val="22"/>
          <w:szCs w:val="22"/>
        </w:rPr>
      </w:pPr>
    </w:p>
    <w:p w:rsidR="0019547A" w:rsidRPr="00C36DB5" w:rsidRDefault="0019547A">
      <w:pPr>
        <w:ind w:left="240"/>
        <w:jc w:val="both"/>
        <w:rPr>
          <w:sz w:val="22"/>
          <w:szCs w:val="22"/>
        </w:rPr>
      </w:pPr>
    </w:p>
    <w:p w:rsidR="00C70E6B" w:rsidRPr="00C36DB5" w:rsidRDefault="00C70E6B" w:rsidP="00C70E6B">
      <w:pPr>
        <w:jc w:val="center"/>
        <w:rPr>
          <w:b/>
          <w:sz w:val="22"/>
          <w:szCs w:val="22"/>
        </w:rPr>
      </w:pPr>
      <w:r w:rsidRPr="00C36DB5">
        <w:rPr>
          <w:b/>
          <w:sz w:val="22"/>
          <w:szCs w:val="22"/>
        </w:rPr>
        <w:t>V.</w:t>
      </w:r>
    </w:p>
    <w:p w:rsidR="00C70E6B" w:rsidRPr="00C36DB5" w:rsidRDefault="00C70E6B" w:rsidP="00C70E6B">
      <w:pPr>
        <w:pStyle w:val="Nadpis3"/>
        <w:rPr>
          <w:sz w:val="22"/>
          <w:szCs w:val="22"/>
        </w:rPr>
      </w:pPr>
      <w:r w:rsidRPr="00C36DB5">
        <w:rPr>
          <w:sz w:val="22"/>
          <w:szCs w:val="22"/>
        </w:rPr>
        <w:t>Odpovědnost za vady zboží</w:t>
      </w:r>
    </w:p>
    <w:p w:rsidR="00C70E6B" w:rsidRDefault="00C70E6B" w:rsidP="00C70E6B">
      <w:pPr>
        <w:pStyle w:val="Zkladntext"/>
        <w:numPr>
          <w:ilvl w:val="0"/>
          <w:numId w:val="6"/>
        </w:numPr>
        <w:ind w:left="357" w:hanging="357"/>
        <w:rPr>
          <w:sz w:val="22"/>
          <w:szCs w:val="22"/>
        </w:rPr>
      </w:pPr>
      <w:r w:rsidRPr="00C36DB5">
        <w:rPr>
          <w:sz w:val="22"/>
          <w:szCs w:val="22"/>
        </w:rPr>
        <w:t>Prodávající se zavazuje dodat kupujícímu zboží v kvalitě, jež bude v souladu s příslušnými platnými právními předpisy a technickými či jinými normami, a to jak v České republi</w:t>
      </w:r>
      <w:r>
        <w:rPr>
          <w:sz w:val="22"/>
          <w:szCs w:val="22"/>
        </w:rPr>
        <w:t>ce, tak i v zemi výrobce zboží.</w:t>
      </w:r>
    </w:p>
    <w:p w:rsidR="00C70E6B" w:rsidRDefault="00C70E6B" w:rsidP="00C70E6B">
      <w:pPr>
        <w:numPr>
          <w:ilvl w:val="0"/>
          <w:numId w:val="6"/>
        </w:numPr>
        <w:tabs>
          <w:tab w:val="num" w:pos="426"/>
          <w:tab w:val="left" w:pos="1701"/>
        </w:tabs>
        <w:jc w:val="both"/>
        <w:rPr>
          <w:sz w:val="22"/>
          <w:szCs w:val="22"/>
        </w:rPr>
      </w:pPr>
      <w:r w:rsidRPr="00C36DB5">
        <w:rPr>
          <w:sz w:val="22"/>
          <w:szCs w:val="22"/>
        </w:rPr>
        <w:t xml:space="preserve">Prodávající poskytuje kupujícímu záruku </w:t>
      </w:r>
      <w:r>
        <w:rPr>
          <w:sz w:val="22"/>
          <w:szCs w:val="22"/>
        </w:rPr>
        <w:t xml:space="preserve">za jakost </w:t>
      </w:r>
      <w:r w:rsidRPr="00C36DB5">
        <w:rPr>
          <w:sz w:val="22"/>
          <w:szCs w:val="22"/>
        </w:rPr>
        <w:t xml:space="preserve">zboží. Záruční doba je </w:t>
      </w:r>
      <w:r w:rsidRPr="0028217B">
        <w:rPr>
          <w:sz w:val="22"/>
          <w:szCs w:val="22"/>
        </w:rPr>
        <w:t>24 měsíců a</w:t>
      </w:r>
      <w:r w:rsidRPr="00C36DB5">
        <w:rPr>
          <w:sz w:val="22"/>
          <w:szCs w:val="22"/>
        </w:rPr>
        <w:t xml:space="preserve"> začíná běžet ode dne následujícího po předání zboží (čl. III. odst. 1 této smlouvy).</w:t>
      </w:r>
      <w:r>
        <w:rPr>
          <w:sz w:val="22"/>
          <w:szCs w:val="22"/>
        </w:rPr>
        <w:t xml:space="preserve"> </w:t>
      </w:r>
    </w:p>
    <w:p w:rsidR="00C70E6B" w:rsidRDefault="00C70E6B" w:rsidP="00C70E6B">
      <w:pPr>
        <w:numPr>
          <w:ilvl w:val="0"/>
          <w:numId w:val="6"/>
        </w:numPr>
        <w:tabs>
          <w:tab w:val="num" w:pos="426"/>
          <w:tab w:val="left" w:pos="1701"/>
        </w:tabs>
        <w:jc w:val="both"/>
        <w:rPr>
          <w:sz w:val="22"/>
          <w:szCs w:val="22"/>
        </w:rPr>
      </w:pPr>
      <w:r>
        <w:rPr>
          <w:sz w:val="22"/>
          <w:szCs w:val="22"/>
        </w:rPr>
        <w:t>Záruka se nevztahuje na vady zboží způsobené kupujícím v rozporu s návodem k použití zboží.</w:t>
      </w:r>
    </w:p>
    <w:p w:rsidR="00C70E6B" w:rsidRDefault="00C70E6B" w:rsidP="00C70E6B">
      <w:pPr>
        <w:numPr>
          <w:ilvl w:val="0"/>
          <w:numId w:val="6"/>
        </w:numPr>
        <w:tabs>
          <w:tab w:val="num" w:pos="426"/>
          <w:tab w:val="left" w:pos="1701"/>
        </w:tabs>
        <w:jc w:val="both"/>
        <w:rPr>
          <w:sz w:val="22"/>
          <w:szCs w:val="22"/>
        </w:rPr>
      </w:pPr>
      <w:r w:rsidRPr="0028217B">
        <w:rPr>
          <w:sz w:val="22"/>
          <w:szCs w:val="22"/>
        </w:rPr>
        <w:t>Záruka se dále nevztahuje na příslušenství zboží spotřebního charakteru, jako jsou baterie, žárovky.</w:t>
      </w:r>
    </w:p>
    <w:p w:rsidR="00336392" w:rsidRPr="00336392" w:rsidRDefault="00336392" w:rsidP="00336392">
      <w:pPr>
        <w:numPr>
          <w:ilvl w:val="0"/>
          <w:numId w:val="6"/>
        </w:numPr>
        <w:tabs>
          <w:tab w:val="left" w:pos="1701"/>
        </w:tabs>
        <w:jc w:val="both"/>
        <w:rPr>
          <w:sz w:val="22"/>
          <w:szCs w:val="22"/>
        </w:rPr>
      </w:pPr>
      <w:r w:rsidRPr="00336392">
        <w:rPr>
          <w:sz w:val="22"/>
          <w:szCs w:val="22"/>
        </w:rPr>
        <w:lastRenderedPageBreak/>
        <w:t>Záruční doba počíná běžet dnem následujícím po dni předání Předmětu smlouvy na základě předávacího protokolu. Vady zjištěné v průběhu záruční doby musí být reklamovány písemně (faxem, e-mailem) a Prodávající musí mít možnost oprávněnost reklamace prověřit a vadu ve sjednaných lhůtách odstranit.</w:t>
      </w:r>
    </w:p>
    <w:p w:rsidR="00336392" w:rsidRPr="00336392" w:rsidRDefault="00336392" w:rsidP="00336392">
      <w:pPr>
        <w:numPr>
          <w:ilvl w:val="0"/>
          <w:numId w:val="6"/>
        </w:numPr>
        <w:tabs>
          <w:tab w:val="left" w:pos="1701"/>
        </w:tabs>
        <w:jc w:val="both"/>
        <w:rPr>
          <w:sz w:val="22"/>
          <w:szCs w:val="22"/>
        </w:rPr>
      </w:pPr>
      <w:r w:rsidRPr="00336392">
        <w:rPr>
          <w:sz w:val="22"/>
          <w:szCs w:val="22"/>
        </w:rPr>
        <w:t xml:space="preserve">Kupující oznámí prodávajícímu vady e-mailem na e-mailovou adresu: </w:t>
      </w:r>
      <w:r w:rsidR="00DA7CFD">
        <w:rPr>
          <w:sz w:val="22"/>
          <w:szCs w:val="22"/>
        </w:rPr>
        <w:t>servis</w:t>
      </w:r>
      <w:r w:rsidR="00DA7CFD" w:rsidRPr="00DA7CFD">
        <w:rPr>
          <w:sz w:val="22"/>
          <w:szCs w:val="22"/>
        </w:rPr>
        <w:t>@</w:t>
      </w:r>
      <w:r w:rsidR="00DA7CFD">
        <w:rPr>
          <w:sz w:val="22"/>
          <w:szCs w:val="22"/>
        </w:rPr>
        <w:t>olympus.cz.</w:t>
      </w:r>
      <w:bookmarkStart w:id="0" w:name="_GoBack"/>
      <w:bookmarkEnd w:id="0"/>
      <w:r w:rsidRPr="00336392">
        <w:rPr>
          <w:sz w:val="22"/>
          <w:szCs w:val="22"/>
        </w:rPr>
        <w:t xml:space="preserve"> Počátkem běhu reakční doby a doby odstranění vady (příp. bezplatného zapůjčení náhradního přístroje) je okamžik odeslání e-mailu na uvedenou adresu.</w:t>
      </w:r>
    </w:p>
    <w:p w:rsidR="00C70E6B" w:rsidRDefault="00336392" w:rsidP="0019547A">
      <w:pPr>
        <w:pStyle w:val="Odstavecseseznamem"/>
        <w:numPr>
          <w:ilvl w:val="0"/>
          <w:numId w:val="6"/>
        </w:numPr>
        <w:rPr>
          <w:sz w:val="22"/>
          <w:szCs w:val="22"/>
        </w:rPr>
      </w:pPr>
      <w:r w:rsidRPr="00336392">
        <w:rPr>
          <w:sz w:val="22"/>
          <w:szCs w:val="22"/>
        </w:rPr>
        <w:t>Smluvní strany si ujednaly, že v případě většího množství vad (nejméně 3 odstranitelné vady) nebo vada, kterou nelze odstranit a která brání běžnému užívání Předmětu smlouvy, je Kupující oprávněn od této smlouvy odstoupit nebo požadovat výměnu Předmětu smlouvy za nový podle svého uvážení.</w:t>
      </w:r>
    </w:p>
    <w:p w:rsidR="0019547A" w:rsidRDefault="0019547A" w:rsidP="0019547A">
      <w:pPr>
        <w:pStyle w:val="Odstavecseseznamem"/>
        <w:ind w:left="360"/>
        <w:rPr>
          <w:sz w:val="22"/>
          <w:szCs w:val="22"/>
        </w:rPr>
      </w:pPr>
    </w:p>
    <w:p w:rsidR="0019547A" w:rsidRPr="0019547A" w:rsidRDefault="0019547A" w:rsidP="0019547A">
      <w:pPr>
        <w:pStyle w:val="Odstavecseseznamem"/>
        <w:ind w:left="360"/>
        <w:rPr>
          <w:sz w:val="22"/>
          <w:szCs w:val="22"/>
        </w:rPr>
      </w:pPr>
    </w:p>
    <w:p w:rsidR="00C70E6B" w:rsidRPr="00C36DB5" w:rsidRDefault="00C70E6B" w:rsidP="00C70E6B">
      <w:pPr>
        <w:jc w:val="center"/>
        <w:rPr>
          <w:b/>
          <w:sz w:val="22"/>
          <w:szCs w:val="22"/>
        </w:rPr>
      </w:pPr>
      <w:r w:rsidRPr="00C36DB5">
        <w:rPr>
          <w:b/>
          <w:sz w:val="22"/>
          <w:szCs w:val="22"/>
        </w:rPr>
        <w:t>VI.</w:t>
      </w:r>
    </w:p>
    <w:p w:rsidR="00C70E6B" w:rsidRPr="00C36DB5" w:rsidRDefault="00C70E6B" w:rsidP="00C70E6B">
      <w:pPr>
        <w:pStyle w:val="Nadpis2"/>
        <w:jc w:val="center"/>
        <w:rPr>
          <w:sz w:val="22"/>
          <w:szCs w:val="22"/>
        </w:rPr>
      </w:pPr>
      <w:proofErr w:type="spellStart"/>
      <w:r w:rsidRPr="00C36DB5">
        <w:rPr>
          <w:sz w:val="22"/>
          <w:szCs w:val="22"/>
        </w:rPr>
        <w:t>Salvatorní</w:t>
      </w:r>
      <w:proofErr w:type="spellEnd"/>
      <w:r w:rsidRPr="00C36DB5">
        <w:rPr>
          <w:sz w:val="22"/>
          <w:szCs w:val="22"/>
        </w:rPr>
        <w:t xml:space="preserve"> klauzule</w:t>
      </w:r>
    </w:p>
    <w:p w:rsidR="00C70E6B" w:rsidRPr="00C36DB5" w:rsidRDefault="00C70E6B" w:rsidP="00C70E6B">
      <w:pPr>
        <w:pStyle w:val="Zkladntext"/>
        <w:ind w:left="426" w:hanging="426"/>
        <w:rPr>
          <w:sz w:val="22"/>
          <w:szCs w:val="22"/>
        </w:rPr>
      </w:pPr>
      <w:r>
        <w:rPr>
          <w:sz w:val="22"/>
          <w:szCs w:val="22"/>
        </w:rPr>
        <w:t xml:space="preserve">1.  </w:t>
      </w:r>
      <w:r w:rsidRPr="00C36DB5">
        <w:rPr>
          <w:sz w:val="22"/>
          <w:szCs w:val="22"/>
        </w:rPr>
        <w:t>Je-li nebo stane-li se některé ustanovení této smlouvy neplatné či neúčinné, nedotýká se to</w:t>
      </w:r>
      <w:r>
        <w:rPr>
          <w:sz w:val="22"/>
          <w:szCs w:val="22"/>
        </w:rPr>
        <w:t xml:space="preserve"> </w:t>
      </w:r>
      <w:r w:rsidRPr="00C36DB5">
        <w:rPr>
          <w:sz w:val="22"/>
          <w:szCs w:val="22"/>
        </w:rPr>
        <w:t>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 Č</w:t>
      </w:r>
      <w:r>
        <w:rPr>
          <w:sz w:val="22"/>
          <w:szCs w:val="22"/>
        </w:rPr>
        <w:t>eské republiky</w:t>
      </w:r>
      <w:r w:rsidRPr="00C36DB5">
        <w:rPr>
          <w:sz w:val="22"/>
          <w:szCs w:val="22"/>
        </w:rPr>
        <w:t>.</w:t>
      </w:r>
    </w:p>
    <w:p w:rsidR="00196622" w:rsidRDefault="00196622" w:rsidP="00C70E6B">
      <w:pPr>
        <w:pStyle w:val="Zkladntext"/>
        <w:rPr>
          <w:sz w:val="22"/>
          <w:szCs w:val="22"/>
        </w:rPr>
      </w:pPr>
    </w:p>
    <w:p w:rsidR="0019547A" w:rsidRPr="00C36DB5" w:rsidRDefault="0019547A" w:rsidP="00C70E6B">
      <w:pPr>
        <w:pStyle w:val="Zkladntext"/>
        <w:rPr>
          <w:sz w:val="22"/>
          <w:szCs w:val="22"/>
        </w:rPr>
      </w:pPr>
    </w:p>
    <w:p w:rsidR="00C70E6B" w:rsidRPr="00C36DB5" w:rsidRDefault="00C70E6B" w:rsidP="00C70E6B">
      <w:pPr>
        <w:pStyle w:val="Zkladntext"/>
        <w:jc w:val="center"/>
        <w:rPr>
          <w:b/>
          <w:sz w:val="22"/>
          <w:szCs w:val="22"/>
        </w:rPr>
      </w:pPr>
      <w:r w:rsidRPr="00C36DB5">
        <w:rPr>
          <w:b/>
          <w:sz w:val="22"/>
          <w:szCs w:val="22"/>
        </w:rPr>
        <w:t>VII.</w:t>
      </w:r>
    </w:p>
    <w:p w:rsidR="00C70E6B" w:rsidRPr="00C36DB5" w:rsidRDefault="00C70E6B" w:rsidP="00C70E6B">
      <w:pPr>
        <w:pStyle w:val="Zkladntext"/>
        <w:jc w:val="center"/>
        <w:rPr>
          <w:b/>
          <w:sz w:val="22"/>
          <w:szCs w:val="22"/>
        </w:rPr>
      </w:pPr>
      <w:r>
        <w:rPr>
          <w:b/>
          <w:sz w:val="22"/>
          <w:szCs w:val="22"/>
        </w:rPr>
        <w:t>Ostatní ustanovení</w:t>
      </w:r>
    </w:p>
    <w:p w:rsidR="00C70E6B" w:rsidRDefault="00C70E6B" w:rsidP="00C70E6B">
      <w:pPr>
        <w:pStyle w:val="Zkladntext"/>
        <w:numPr>
          <w:ilvl w:val="0"/>
          <w:numId w:val="4"/>
        </w:numPr>
        <w:rPr>
          <w:sz w:val="22"/>
          <w:szCs w:val="22"/>
        </w:rPr>
      </w:pPr>
      <w:r>
        <w:rPr>
          <w:sz w:val="22"/>
          <w:szCs w:val="22"/>
        </w:rPr>
        <w:t>Obě s</w:t>
      </w:r>
      <w:r w:rsidRPr="00C36DB5">
        <w:rPr>
          <w:sz w:val="22"/>
          <w:szCs w:val="22"/>
        </w:rPr>
        <w:t xml:space="preserve">mluvní strany jsou povinny oznámit </w:t>
      </w:r>
      <w:r>
        <w:rPr>
          <w:sz w:val="22"/>
          <w:szCs w:val="22"/>
        </w:rPr>
        <w:t>druhé smluvní straně</w:t>
      </w:r>
      <w:r w:rsidRPr="00C36DB5">
        <w:rPr>
          <w:sz w:val="22"/>
          <w:szCs w:val="22"/>
        </w:rPr>
        <w:t xml:space="preserve"> jakoukoliv změnu údajů uvedených v záhlaví této smlouvy, a to písemně bez zbytečného odkladu poté, kdy se o příslušné změně doví. </w:t>
      </w:r>
    </w:p>
    <w:p w:rsidR="00C70E6B" w:rsidRDefault="00C70E6B" w:rsidP="00C70E6B">
      <w:pPr>
        <w:pStyle w:val="Zkladntext"/>
        <w:numPr>
          <w:ilvl w:val="0"/>
          <w:numId w:val="4"/>
        </w:numPr>
        <w:rPr>
          <w:sz w:val="22"/>
          <w:szCs w:val="22"/>
        </w:rPr>
      </w:pPr>
      <w:r>
        <w:rPr>
          <w:sz w:val="22"/>
          <w:szCs w:val="22"/>
        </w:rPr>
        <w:t xml:space="preserve">Kupující není oprávněn převést práva a povinnosti z této kupní smlouvy či z její části na třetí osobu bez souhlasu prodávajícího. </w:t>
      </w:r>
    </w:p>
    <w:p w:rsidR="00B662F5" w:rsidRDefault="00B662F5" w:rsidP="00B662F5">
      <w:pPr>
        <w:pStyle w:val="Zkladntext"/>
        <w:numPr>
          <w:ilvl w:val="0"/>
          <w:numId w:val="4"/>
        </w:numPr>
        <w:rPr>
          <w:sz w:val="22"/>
          <w:szCs w:val="22"/>
        </w:rPr>
      </w:pPr>
      <w:r w:rsidRPr="00B662F5">
        <w:rPr>
          <w:sz w:val="22"/>
          <w:szCs w:val="22"/>
        </w:rPr>
        <w:t>Splatnost smluvní</w:t>
      </w:r>
      <w:r>
        <w:rPr>
          <w:sz w:val="22"/>
          <w:szCs w:val="22"/>
        </w:rPr>
        <w:t>ch pokut a úroků z prodlení je 6</w:t>
      </w:r>
      <w:r w:rsidRPr="00B662F5">
        <w:rPr>
          <w:sz w:val="22"/>
          <w:szCs w:val="22"/>
        </w:rPr>
        <w:t>0 kalendářních dnů od doručení faktury.</w:t>
      </w:r>
    </w:p>
    <w:p w:rsidR="00C70E6B" w:rsidRPr="0019547A" w:rsidRDefault="00B662F5" w:rsidP="0019547A">
      <w:pPr>
        <w:pStyle w:val="Zkladntext"/>
        <w:numPr>
          <w:ilvl w:val="0"/>
          <w:numId w:val="4"/>
        </w:numPr>
        <w:rPr>
          <w:sz w:val="22"/>
          <w:szCs w:val="22"/>
        </w:rPr>
      </w:pPr>
      <w:r w:rsidRPr="00B662F5">
        <w:rPr>
          <w:sz w:val="22"/>
          <w:szCs w:val="22"/>
        </w:rPr>
        <w:t xml:space="preserve">Zaplacením smluvních pokut nezaniká </w:t>
      </w:r>
      <w:r>
        <w:rPr>
          <w:sz w:val="22"/>
          <w:szCs w:val="22"/>
        </w:rPr>
        <w:t xml:space="preserve">smluvním stranám </w:t>
      </w:r>
      <w:r w:rsidRPr="00B662F5">
        <w:rPr>
          <w:sz w:val="22"/>
          <w:szCs w:val="22"/>
        </w:rPr>
        <w:t>právo na náhradu škody.</w:t>
      </w:r>
    </w:p>
    <w:p w:rsidR="00E5379F" w:rsidRDefault="00E5379F" w:rsidP="00C70E6B">
      <w:pPr>
        <w:pStyle w:val="Zkladntext"/>
        <w:jc w:val="center"/>
        <w:rPr>
          <w:b/>
          <w:sz w:val="22"/>
          <w:szCs w:val="22"/>
        </w:rPr>
      </w:pPr>
    </w:p>
    <w:p w:rsidR="0019547A" w:rsidRDefault="0019547A" w:rsidP="00C70E6B">
      <w:pPr>
        <w:pStyle w:val="Zkladntext"/>
        <w:jc w:val="center"/>
        <w:rPr>
          <w:b/>
          <w:sz w:val="22"/>
          <w:szCs w:val="22"/>
        </w:rPr>
      </w:pPr>
    </w:p>
    <w:p w:rsidR="00C70E6B" w:rsidRPr="00C36DB5" w:rsidRDefault="00C70E6B" w:rsidP="00C70E6B">
      <w:pPr>
        <w:pStyle w:val="Zkladntext"/>
        <w:jc w:val="center"/>
        <w:rPr>
          <w:b/>
          <w:sz w:val="22"/>
          <w:szCs w:val="22"/>
        </w:rPr>
      </w:pPr>
      <w:r w:rsidRPr="00C36DB5">
        <w:rPr>
          <w:b/>
          <w:sz w:val="22"/>
          <w:szCs w:val="22"/>
        </w:rPr>
        <w:t>VI</w:t>
      </w:r>
      <w:r>
        <w:rPr>
          <w:b/>
          <w:sz w:val="22"/>
          <w:szCs w:val="22"/>
        </w:rPr>
        <w:t>I</w:t>
      </w:r>
      <w:r w:rsidRPr="00C36DB5">
        <w:rPr>
          <w:b/>
          <w:sz w:val="22"/>
          <w:szCs w:val="22"/>
        </w:rPr>
        <w:t>I.</w:t>
      </w:r>
    </w:p>
    <w:p w:rsidR="00C70E6B" w:rsidRPr="00C36DB5" w:rsidRDefault="00C70E6B" w:rsidP="00C70E6B">
      <w:pPr>
        <w:pStyle w:val="Zkladntext"/>
        <w:jc w:val="center"/>
        <w:rPr>
          <w:b/>
          <w:sz w:val="22"/>
          <w:szCs w:val="22"/>
        </w:rPr>
      </w:pPr>
      <w:r w:rsidRPr="00C36DB5">
        <w:rPr>
          <w:b/>
          <w:sz w:val="22"/>
          <w:szCs w:val="22"/>
        </w:rPr>
        <w:t>Závěrečná ustanovení</w:t>
      </w:r>
    </w:p>
    <w:p w:rsidR="00C70E6B" w:rsidRDefault="00C70E6B" w:rsidP="00C70E6B">
      <w:pPr>
        <w:pStyle w:val="Zkladntext"/>
        <w:numPr>
          <w:ilvl w:val="0"/>
          <w:numId w:val="9"/>
        </w:numPr>
        <w:rPr>
          <w:sz w:val="22"/>
          <w:szCs w:val="22"/>
        </w:rPr>
      </w:pPr>
      <w:r w:rsidRPr="00C36DB5">
        <w:rPr>
          <w:sz w:val="22"/>
          <w:szCs w:val="22"/>
        </w:rPr>
        <w:t xml:space="preserve">Právní vztahy touto smlouvou neupravené se řídí </w:t>
      </w:r>
      <w:r>
        <w:rPr>
          <w:sz w:val="22"/>
          <w:szCs w:val="22"/>
        </w:rPr>
        <w:t xml:space="preserve">platnými ustanoveními zákona č. 89/2012 Sb., občanský zákoník, zejména jeho </w:t>
      </w:r>
      <w:r w:rsidRPr="00C36DB5">
        <w:rPr>
          <w:sz w:val="22"/>
          <w:szCs w:val="22"/>
        </w:rPr>
        <w:t>§</w:t>
      </w:r>
      <w:r>
        <w:rPr>
          <w:sz w:val="22"/>
          <w:szCs w:val="22"/>
        </w:rPr>
        <w:t>§</w:t>
      </w:r>
      <w:r w:rsidRPr="00C36DB5">
        <w:rPr>
          <w:sz w:val="22"/>
          <w:szCs w:val="22"/>
        </w:rPr>
        <w:t xml:space="preserve"> </w:t>
      </w:r>
      <w:r>
        <w:rPr>
          <w:sz w:val="22"/>
          <w:szCs w:val="22"/>
        </w:rPr>
        <w:t>2079</w:t>
      </w:r>
      <w:r w:rsidRPr="00C36DB5">
        <w:rPr>
          <w:sz w:val="22"/>
          <w:szCs w:val="22"/>
        </w:rPr>
        <w:t xml:space="preserve"> a násl</w:t>
      </w:r>
      <w:r>
        <w:rPr>
          <w:sz w:val="22"/>
          <w:szCs w:val="22"/>
        </w:rPr>
        <w:t xml:space="preserve">edujícími, </w:t>
      </w:r>
      <w:r w:rsidRPr="00C36DB5">
        <w:rPr>
          <w:sz w:val="22"/>
          <w:szCs w:val="22"/>
        </w:rPr>
        <w:t xml:space="preserve">ve znění pozdějších předpisů. </w:t>
      </w:r>
    </w:p>
    <w:p w:rsidR="00C70E6B" w:rsidRPr="00C36DB5" w:rsidRDefault="00C70E6B" w:rsidP="00C70E6B">
      <w:pPr>
        <w:pStyle w:val="Zkladntext"/>
        <w:numPr>
          <w:ilvl w:val="0"/>
          <w:numId w:val="9"/>
        </w:numPr>
        <w:rPr>
          <w:sz w:val="22"/>
          <w:szCs w:val="22"/>
        </w:rPr>
      </w:pPr>
      <w:r>
        <w:rPr>
          <w:sz w:val="22"/>
          <w:szCs w:val="22"/>
        </w:rPr>
        <w:t>Při výkladu této smlouvy nemají obchodní zvyklosti přednost před právními předpisy, zejména před zákonem č. 89/2012 Sb., občanský zákoník.</w:t>
      </w:r>
    </w:p>
    <w:p w:rsidR="00C70E6B" w:rsidRDefault="00C70E6B" w:rsidP="00C70E6B">
      <w:pPr>
        <w:pStyle w:val="Zkladntext"/>
        <w:numPr>
          <w:ilvl w:val="0"/>
          <w:numId w:val="9"/>
        </w:numPr>
        <w:rPr>
          <w:sz w:val="22"/>
          <w:szCs w:val="22"/>
        </w:rPr>
      </w:pPr>
      <w:r w:rsidRPr="00C36DB5">
        <w:rPr>
          <w:sz w:val="22"/>
          <w:szCs w:val="22"/>
        </w:rPr>
        <w:t>Pro projednávání a rozhodnutí sporů vyplývajících z této smlouvy j</w:t>
      </w:r>
      <w:r>
        <w:rPr>
          <w:sz w:val="22"/>
          <w:szCs w:val="22"/>
        </w:rPr>
        <w:t>sou příslušné obecné soudy České republiky</w:t>
      </w:r>
      <w:r w:rsidRPr="00C36DB5">
        <w:rPr>
          <w:sz w:val="22"/>
          <w:szCs w:val="22"/>
        </w:rPr>
        <w:t xml:space="preserve">. </w:t>
      </w:r>
    </w:p>
    <w:p w:rsidR="00381FB6" w:rsidRPr="00381FB6" w:rsidRDefault="00381FB6" w:rsidP="00381FB6">
      <w:pPr>
        <w:pStyle w:val="Zkladntext"/>
        <w:numPr>
          <w:ilvl w:val="0"/>
          <w:numId w:val="9"/>
        </w:numPr>
        <w:rPr>
          <w:sz w:val="22"/>
          <w:szCs w:val="22"/>
        </w:rPr>
      </w:pPr>
      <w:r w:rsidRPr="00381FB6">
        <w:rPr>
          <w:sz w:val="22"/>
          <w:szCs w:val="22"/>
        </w:rPr>
        <w:t>Prod</w:t>
      </w:r>
      <w:r>
        <w:rPr>
          <w:sz w:val="22"/>
          <w:szCs w:val="22"/>
        </w:rPr>
        <w:t>ávající tímto uděluje souhlas s</w:t>
      </w:r>
      <w:r w:rsidRPr="00381FB6">
        <w:rPr>
          <w:sz w:val="22"/>
          <w:szCs w:val="22"/>
        </w:rPr>
        <w:t xml:space="preserve"> uveřejněním této kupní smlouvy, všech jejích příloh i dodatků a údajů o uzavřených objednávkách dle zákona č. 340/2015 Sb. o zvláštních podmínkách účinnosti některých smluv, uveřejňování těchto smluv a o registru smluv (dále jen „zákon o registru smluv“, a zákona č. 106/1999 Sb. o svobodném přístupu k informacím.</w:t>
      </w:r>
    </w:p>
    <w:p w:rsidR="00381FB6" w:rsidRPr="00381FB6" w:rsidRDefault="00381FB6" w:rsidP="00381FB6">
      <w:pPr>
        <w:pStyle w:val="Zkladntext"/>
        <w:numPr>
          <w:ilvl w:val="0"/>
          <w:numId w:val="9"/>
        </w:numPr>
        <w:rPr>
          <w:sz w:val="22"/>
          <w:szCs w:val="22"/>
        </w:rPr>
      </w:pPr>
      <w:r>
        <w:rPr>
          <w:sz w:val="22"/>
          <w:szCs w:val="22"/>
        </w:rPr>
        <w:t>Smluvní strany souhlasí s</w:t>
      </w:r>
      <w:r w:rsidRPr="00381FB6">
        <w:rPr>
          <w:sz w:val="22"/>
          <w:szCs w:val="22"/>
        </w:rPr>
        <w:t xml:space="preserve"> uveřejněním svých osobních údajů.</w:t>
      </w:r>
    </w:p>
    <w:p w:rsidR="00381FB6" w:rsidRPr="00381FB6" w:rsidRDefault="00381FB6" w:rsidP="00381FB6">
      <w:pPr>
        <w:pStyle w:val="Zkladntext"/>
        <w:numPr>
          <w:ilvl w:val="0"/>
          <w:numId w:val="9"/>
        </w:numPr>
        <w:rPr>
          <w:sz w:val="22"/>
          <w:szCs w:val="22"/>
        </w:rPr>
      </w:pPr>
      <w:r w:rsidRPr="00381FB6">
        <w:rPr>
          <w:sz w:val="22"/>
          <w:szCs w:val="22"/>
        </w:rPr>
        <w:t xml:space="preserve">Smluvní strany se dohodly, že Kupující uveřejní smlouvu v Registru smluv ve lhůtě dané zákonem o registru smluv, a o tomto Prodávajícího </w:t>
      </w:r>
      <w:r>
        <w:rPr>
          <w:sz w:val="22"/>
          <w:szCs w:val="22"/>
        </w:rPr>
        <w:t>ke dni</w:t>
      </w:r>
      <w:r w:rsidRPr="00381FB6">
        <w:rPr>
          <w:sz w:val="22"/>
          <w:szCs w:val="22"/>
        </w:rPr>
        <w:t xml:space="preserve"> uveřejnění informuje.</w:t>
      </w:r>
    </w:p>
    <w:p w:rsidR="00C70E6B" w:rsidRPr="00C36DB5" w:rsidRDefault="00C70E6B" w:rsidP="00C70E6B">
      <w:pPr>
        <w:pStyle w:val="Zkladntext"/>
        <w:numPr>
          <w:ilvl w:val="0"/>
          <w:numId w:val="9"/>
        </w:numPr>
        <w:rPr>
          <w:sz w:val="22"/>
          <w:szCs w:val="22"/>
        </w:rPr>
      </w:pPr>
      <w:r w:rsidRPr="00C36DB5">
        <w:rPr>
          <w:sz w:val="22"/>
          <w:szCs w:val="22"/>
        </w:rPr>
        <w:t xml:space="preserve">Tato smlouva nabývá </w:t>
      </w:r>
      <w:r w:rsidR="00381FB6">
        <w:rPr>
          <w:sz w:val="22"/>
          <w:szCs w:val="22"/>
        </w:rPr>
        <w:t>účinnosti</w:t>
      </w:r>
      <w:r w:rsidRPr="00C36DB5">
        <w:rPr>
          <w:sz w:val="22"/>
          <w:szCs w:val="22"/>
        </w:rPr>
        <w:t xml:space="preserve"> dnem jejího podpisu oběma smluvními stranami.</w:t>
      </w:r>
    </w:p>
    <w:p w:rsidR="00C70E6B" w:rsidRPr="00C36DB5" w:rsidRDefault="00C70E6B" w:rsidP="00C70E6B">
      <w:pPr>
        <w:pStyle w:val="Zkladntext"/>
        <w:numPr>
          <w:ilvl w:val="0"/>
          <w:numId w:val="9"/>
        </w:numPr>
        <w:rPr>
          <w:sz w:val="22"/>
          <w:szCs w:val="22"/>
        </w:rPr>
      </w:pPr>
      <w:r w:rsidRPr="00C36DB5">
        <w:rPr>
          <w:sz w:val="22"/>
          <w:szCs w:val="22"/>
        </w:rPr>
        <w:t>Tato smlouva se vyhotovuje ve dvou stejnopisech s platností originálu, z nichž každá smluvní strana obdrží po jednom vyhotovení.</w:t>
      </w:r>
    </w:p>
    <w:p w:rsidR="00C70E6B" w:rsidRPr="00C36DB5" w:rsidRDefault="00C70E6B" w:rsidP="00C70E6B">
      <w:pPr>
        <w:pStyle w:val="Zkladntext"/>
        <w:numPr>
          <w:ilvl w:val="0"/>
          <w:numId w:val="9"/>
        </w:numPr>
        <w:rPr>
          <w:sz w:val="22"/>
          <w:szCs w:val="22"/>
        </w:rPr>
      </w:pPr>
      <w:r w:rsidRPr="00C36DB5">
        <w:rPr>
          <w:sz w:val="22"/>
          <w:szCs w:val="22"/>
        </w:rPr>
        <w:t xml:space="preserve">Změny a doplňky této smlouvy mohou být prováděny </w:t>
      </w:r>
      <w:r>
        <w:rPr>
          <w:sz w:val="22"/>
          <w:szCs w:val="22"/>
        </w:rPr>
        <w:t xml:space="preserve">pouze </w:t>
      </w:r>
      <w:r w:rsidRPr="00C36DB5">
        <w:rPr>
          <w:sz w:val="22"/>
          <w:szCs w:val="22"/>
        </w:rPr>
        <w:t>na základě dohody obou smluvních stran a jsou platné pouze v písemné podobě</w:t>
      </w:r>
      <w:r>
        <w:rPr>
          <w:sz w:val="22"/>
          <w:szCs w:val="22"/>
        </w:rPr>
        <w:t xml:space="preserve"> formou číslovaných dodatků</w:t>
      </w:r>
      <w:r w:rsidRPr="00C36DB5">
        <w:rPr>
          <w:sz w:val="22"/>
          <w:szCs w:val="22"/>
        </w:rPr>
        <w:t>.</w:t>
      </w:r>
    </w:p>
    <w:p w:rsidR="00C70E6B" w:rsidRPr="00C36DB5" w:rsidRDefault="00C70E6B" w:rsidP="00C70E6B">
      <w:pPr>
        <w:pStyle w:val="Zkladntext"/>
        <w:numPr>
          <w:ilvl w:val="0"/>
          <w:numId w:val="9"/>
        </w:numPr>
        <w:rPr>
          <w:sz w:val="22"/>
          <w:szCs w:val="22"/>
        </w:rPr>
      </w:pPr>
      <w:r w:rsidRPr="00C36DB5">
        <w:rPr>
          <w:sz w:val="22"/>
          <w:szCs w:val="22"/>
        </w:rPr>
        <w:t>Příloha č. 1 j</w:t>
      </w:r>
      <w:r>
        <w:rPr>
          <w:sz w:val="22"/>
          <w:szCs w:val="22"/>
        </w:rPr>
        <w:t>e</w:t>
      </w:r>
      <w:r w:rsidRPr="00C36DB5">
        <w:rPr>
          <w:sz w:val="22"/>
          <w:szCs w:val="22"/>
        </w:rPr>
        <w:t xml:space="preserve"> nedílnou součástí této smlouvy.</w:t>
      </w:r>
    </w:p>
    <w:p w:rsidR="00C70E6B" w:rsidRPr="00C36DB5" w:rsidRDefault="00C70E6B" w:rsidP="00C70E6B">
      <w:pPr>
        <w:pStyle w:val="Zkladntext"/>
        <w:numPr>
          <w:ilvl w:val="0"/>
          <w:numId w:val="9"/>
        </w:numPr>
        <w:rPr>
          <w:sz w:val="22"/>
          <w:szCs w:val="22"/>
        </w:rPr>
      </w:pPr>
      <w:r w:rsidRPr="00C36DB5">
        <w:rPr>
          <w:sz w:val="22"/>
          <w:szCs w:val="22"/>
        </w:rPr>
        <w:lastRenderedPageBreak/>
        <w:t>Smluvní strany shodně prohlašují, že tato smlouva je uzavřena podle jejich pravé a svobodné vůle, nikoliv v tísni, za nápadně nevýhodných podmínek, což stvrzují svými vlastnoručními podpisy.</w:t>
      </w:r>
    </w:p>
    <w:p w:rsidR="00C70E6B" w:rsidRPr="00C36DB5" w:rsidRDefault="00C70E6B" w:rsidP="00C70E6B">
      <w:pPr>
        <w:pStyle w:val="Zkladntext"/>
        <w:rPr>
          <w:sz w:val="22"/>
          <w:szCs w:val="22"/>
        </w:rPr>
      </w:pPr>
    </w:p>
    <w:p w:rsidR="00D14E58" w:rsidRDefault="003E1AC3">
      <w:pPr>
        <w:pStyle w:val="Zkladntext"/>
        <w:rPr>
          <w:sz w:val="22"/>
          <w:szCs w:val="22"/>
        </w:rPr>
      </w:pPr>
      <w:r>
        <w:rPr>
          <w:sz w:val="22"/>
          <w:szCs w:val="22"/>
        </w:rPr>
        <w:t>Příloha č. 1 – Cenová nabídka</w:t>
      </w:r>
    </w:p>
    <w:p w:rsidR="003E1AC3" w:rsidRPr="00C36DB5" w:rsidRDefault="003E1AC3">
      <w:pPr>
        <w:pStyle w:val="Zkladntext"/>
        <w:rPr>
          <w:sz w:val="22"/>
          <w:szCs w:val="22"/>
        </w:rPr>
      </w:pPr>
    </w:p>
    <w:p w:rsidR="000E2B27" w:rsidRDefault="000E2B27">
      <w:pPr>
        <w:pStyle w:val="Zkladntext"/>
        <w:ind w:left="360"/>
        <w:rPr>
          <w:sz w:val="22"/>
          <w:szCs w:val="22"/>
        </w:rPr>
      </w:pPr>
    </w:p>
    <w:p w:rsidR="00D14E58" w:rsidRPr="00C36DB5" w:rsidRDefault="00D14E58">
      <w:pPr>
        <w:pStyle w:val="Zkladntext"/>
        <w:ind w:left="360"/>
        <w:rPr>
          <w:sz w:val="22"/>
          <w:szCs w:val="22"/>
        </w:rPr>
      </w:pPr>
      <w:r w:rsidRPr="00C36DB5">
        <w:rPr>
          <w:sz w:val="22"/>
          <w:szCs w:val="22"/>
        </w:rPr>
        <w:t xml:space="preserve">V </w:t>
      </w:r>
      <w:r w:rsidR="00F41709">
        <w:rPr>
          <w:sz w:val="22"/>
          <w:szCs w:val="22"/>
        </w:rPr>
        <w:t>Praze</w:t>
      </w:r>
      <w:r w:rsidRPr="00C36DB5">
        <w:rPr>
          <w:sz w:val="22"/>
          <w:szCs w:val="22"/>
        </w:rPr>
        <w:t xml:space="preserve"> dne </w:t>
      </w:r>
      <w:r w:rsidR="003E1AC3">
        <w:rPr>
          <w:sz w:val="22"/>
          <w:szCs w:val="22"/>
        </w:rPr>
        <w:t>………………..</w:t>
      </w:r>
      <w:r w:rsidR="003E1AC3">
        <w:rPr>
          <w:sz w:val="22"/>
          <w:szCs w:val="22"/>
        </w:rPr>
        <w:tab/>
      </w:r>
      <w:r w:rsidR="003E1AC3">
        <w:rPr>
          <w:sz w:val="22"/>
          <w:szCs w:val="22"/>
        </w:rPr>
        <w:tab/>
      </w:r>
      <w:r w:rsidR="003E1AC3">
        <w:rPr>
          <w:sz w:val="22"/>
          <w:szCs w:val="22"/>
        </w:rPr>
        <w:tab/>
      </w:r>
      <w:r w:rsidR="003E1AC3">
        <w:rPr>
          <w:sz w:val="22"/>
          <w:szCs w:val="22"/>
        </w:rPr>
        <w:tab/>
      </w:r>
      <w:r w:rsidRPr="00C36DB5">
        <w:rPr>
          <w:sz w:val="22"/>
          <w:szCs w:val="22"/>
        </w:rPr>
        <w:t>V</w:t>
      </w:r>
      <w:r w:rsidR="003E1AC3">
        <w:rPr>
          <w:sz w:val="22"/>
          <w:szCs w:val="22"/>
        </w:rPr>
        <w:t> ………………</w:t>
      </w:r>
      <w:r w:rsidRPr="00C36DB5">
        <w:rPr>
          <w:sz w:val="22"/>
          <w:szCs w:val="22"/>
        </w:rPr>
        <w:t>dne …………….</w:t>
      </w:r>
    </w:p>
    <w:p w:rsidR="00D14E58" w:rsidRPr="00C36DB5" w:rsidRDefault="00D14E58">
      <w:pPr>
        <w:pStyle w:val="Zkladntext"/>
        <w:ind w:left="360"/>
        <w:rPr>
          <w:sz w:val="22"/>
          <w:szCs w:val="22"/>
        </w:rPr>
      </w:pPr>
    </w:p>
    <w:p w:rsidR="00D14E58" w:rsidRPr="00C36DB5" w:rsidRDefault="00D14E58">
      <w:pPr>
        <w:pStyle w:val="Zkladntext"/>
        <w:ind w:left="360"/>
        <w:rPr>
          <w:sz w:val="22"/>
          <w:szCs w:val="22"/>
        </w:rPr>
      </w:pPr>
    </w:p>
    <w:p w:rsidR="00D14E58" w:rsidRPr="00C36DB5" w:rsidRDefault="00D14E58">
      <w:pPr>
        <w:pStyle w:val="Zkladntext"/>
        <w:ind w:left="360"/>
        <w:rPr>
          <w:sz w:val="22"/>
          <w:szCs w:val="22"/>
        </w:rPr>
      </w:pPr>
    </w:p>
    <w:p w:rsidR="00F41709" w:rsidRPr="00F41709" w:rsidRDefault="000E2B27">
      <w:pPr>
        <w:pStyle w:val="Zkladntext"/>
        <w:ind w:left="360"/>
        <w:rPr>
          <w:b/>
          <w:sz w:val="22"/>
          <w:szCs w:val="22"/>
        </w:rPr>
      </w:pPr>
      <w:r w:rsidRPr="000E2B27">
        <w:rPr>
          <w:b/>
          <w:sz w:val="22"/>
          <w:szCs w:val="22"/>
        </w:rPr>
        <w:t xml:space="preserve">Za </w:t>
      </w:r>
      <w:proofErr w:type="spellStart"/>
      <w:r w:rsidRPr="000E2B27">
        <w:rPr>
          <w:b/>
          <w:sz w:val="22"/>
          <w:szCs w:val="22"/>
        </w:rPr>
        <w:t>Olympus</w:t>
      </w:r>
      <w:proofErr w:type="spellEnd"/>
      <w:r w:rsidRPr="000E2B27">
        <w:rPr>
          <w:b/>
          <w:sz w:val="22"/>
          <w:szCs w:val="22"/>
        </w:rPr>
        <w:t xml:space="preserve"> Czech Group, s.r.o., </w:t>
      </w:r>
      <w:r w:rsidR="00F41709">
        <w:rPr>
          <w:b/>
          <w:sz w:val="22"/>
          <w:szCs w:val="22"/>
        </w:rPr>
        <w:tab/>
      </w:r>
      <w:r w:rsidR="00F41709">
        <w:rPr>
          <w:b/>
          <w:sz w:val="22"/>
          <w:szCs w:val="22"/>
        </w:rPr>
        <w:tab/>
        <w:t xml:space="preserve"> </w:t>
      </w:r>
      <w:r w:rsidR="00F41709">
        <w:rPr>
          <w:b/>
          <w:sz w:val="22"/>
          <w:szCs w:val="22"/>
        </w:rPr>
        <w:tab/>
      </w:r>
      <w:r w:rsidR="00F41709">
        <w:rPr>
          <w:b/>
          <w:sz w:val="22"/>
          <w:szCs w:val="22"/>
        </w:rPr>
        <w:tab/>
      </w:r>
      <w:r w:rsidR="00F41709" w:rsidRPr="00F41709">
        <w:rPr>
          <w:b/>
          <w:sz w:val="22"/>
          <w:szCs w:val="22"/>
        </w:rPr>
        <w:t>Za Nemocnici Jablonec nad Nisou,</w:t>
      </w:r>
    </w:p>
    <w:p w:rsidR="00D14E58" w:rsidRPr="00F41709" w:rsidRDefault="000E2B27">
      <w:pPr>
        <w:pStyle w:val="Zkladntext"/>
        <w:ind w:left="360"/>
        <w:rPr>
          <w:b/>
          <w:sz w:val="22"/>
          <w:szCs w:val="22"/>
        </w:rPr>
      </w:pPr>
      <w:r w:rsidRPr="00F41709">
        <w:rPr>
          <w:b/>
          <w:sz w:val="22"/>
          <w:szCs w:val="22"/>
        </w:rPr>
        <w:t>člen koncernu</w:t>
      </w:r>
      <w:r w:rsidRPr="00F41709">
        <w:rPr>
          <w:b/>
          <w:sz w:val="22"/>
          <w:szCs w:val="22"/>
        </w:rPr>
        <w:tab/>
      </w:r>
      <w:r w:rsidRPr="00F41709">
        <w:rPr>
          <w:b/>
          <w:sz w:val="22"/>
          <w:szCs w:val="22"/>
        </w:rPr>
        <w:tab/>
      </w:r>
      <w:r w:rsidR="00F41709" w:rsidRPr="00F41709">
        <w:rPr>
          <w:b/>
          <w:sz w:val="22"/>
          <w:szCs w:val="22"/>
        </w:rPr>
        <w:tab/>
      </w:r>
      <w:r w:rsidR="00F41709" w:rsidRPr="00F41709">
        <w:rPr>
          <w:b/>
          <w:sz w:val="22"/>
          <w:szCs w:val="22"/>
        </w:rPr>
        <w:tab/>
      </w:r>
      <w:r w:rsidR="00F41709" w:rsidRPr="00F41709">
        <w:rPr>
          <w:b/>
          <w:sz w:val="22"/>
          <w:szCs w:val="22"/>
        </w:rPr>
        <w:tab/>
      </w:r>
      <w:r w:rsidR="00F41709" w:rsidRPr="00F41709">
        <w:rPr>
          <w:b/>
          <w:sz w:val="22"/>
          <w:szCs w:val="22"/>
        </w:rPr>
        <w:tab/>
        <w:t>příspěvková organizace</w:t>
      </w:r>
    </w:p>
    <w:p w:rsidR="00F41709" w:rsidRDefault="00F41709">
      <w:pPr>
        <w:pStyle w:val="Zkladntext"/>
        <w:ind w:left="360"/>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0E2B27" w:rsidRDefault="000E2B27">
      <w:pPr>
        <w:pStyle w:val="Zkladntext"/>
        <w:ind w:left="360"/>
        <w:rPr>
          <w:sz w:val="22"/>
          <w:szCs w:val="22"/>
        </w:rPr>
      </w:pPr>
    </w:p>
    <w:p w:rsidR="000E2B27" w:rsidRDefault="000E2B27">
      <w:pPr>
        <w:pStyle w:val="Zkladntext"/>
        <w:ind w:left="360"/>
        <w:rPr>
          <w:sz w:val="22"/>
          <w:szCs w:val="22"/>
        </w:rPr>
      </w:pPr>
    </w:p>
    <w:p w:rsidR="000E2B27" w:rsidRDefault="000E2B27">
      <w:pPr>
        <w:pStyle w:val="Zkladntext"/>
        <w:ind w:left="360"/>
        <w:rPr>
          <w:sz w:val="22"/>
          <w:szCs w:val="22"/>
        </w:rPr>
      </w:pPr>
    </w:p>
    <w:p w:rsidR="000E2B27" w:rsidRDefault="000E2B27">
      <w:pPr>
        <w:pStyle w:val="Zkladntext"/>
        <w:ind w:left="360"/>
        <w:rPr>
          <w:sz w:val="22"/>
          <w:szCs w:val="22"/>
        </w:rPr>
      </w:pPr>
    </w:p>
    <w:p w:rsidR="000E2B27" w:rsidRDefault="000E2B27">
      <w:pPr>
        <w:pStyle w:val="Zkladntext"/>
        <w:ind w:left="360"/>
        <w:rPr>
          <w:sz w:val="22"/>
          <w:szCs w:val="22"/>
        </w:rPr>
      </w:pPr>
      <w:r>
        <w:rPr>
          <w:sz w:val="22"/>
          <w:szCs w:val="22"/>
        </w:rPr>
        <w:t>_________________________</w:t>
      </w:r>
      <w:r>
        <w:rPr>
          <w:sz w:val="22"/>
          <w:szCs w:val="22"/>
        </w:rPr>
        <w:tab/>
      </w:r>
      <w:r>
        <w:rPr>
          <w:sz w:val="22"/>
          <w:szCs w:val="22"/>
        </w:rPr>
        <w:tab/>
      </w:r>
      <w:r>
        <w:rPr>
          <w:sz w:val="22"/>
          <w:szCs w:val="22"/>
        </w:rPr>
        <w:tab/>
      </w:r>
      <w:r>
        <w:rPr>
          <w:sz w:val="22"/>
          <w:szCs w:val="22"/>
        </w:rPr>
        <w:tab/>
        <w:t xml:space="preserve">________________________ </w:t>
      </w:r>
    </w:p>
    <w:p w:rsidR="000E2B27" w:rsidRDefault="000E2B27">
      <w:pPr>
        <w:pStyle w:val="Zkladntext"/>
        <w:ind w:left="360"/>
        <w:rPr>
          <w:sz w:val="22"/>
          <w:szCs w:val="22"/>
        </w:rPr>
      </w:pPr>
      <w:r>
        <w:rPr>
          <w:sz w:val="22"/>
          <w:szCs w:val="22"/>
        </w:rPr>
        <w:t>jméno:</w:t>
      </w:r>
      <w:r w:rsidR="00F41709">
        <w:rPr>
          <w:sz w:val="22"/>
          <w:szCs w:val="22"/>
        </w:rPr>
        <w:t xml:space="preserve"> Ing. </w:t>
      </w:r>
      <w:r w:rsidR="001E3670">
        <w:rPr>
          <w:sz w:val="22"/>
          <w:szCs w:val="22"/>
        </w:rPr>
        <w:t>Pavel Kasal</w:t>
      </w:r>
      <w:r>
        <w:rPr>
          <w:sz w:val="22"/>
          <w:szCs w:val="22"/>
        </w:rPr>
        <w:tab/>
      </w:r>
      <w:r>
        <w:rPr>
          <w:sz w:val="22"/>
          <w:szCs w:val="22"/>
        </w:rPr>
        <w:tab/>
      </w:r>
      <w:r>
        <w:rPr>
          <w:sz w:val="22"/>
          <w:szCs w:val="22"/>
        </w:rPr>
        <w:tab/>
      </w:r>
      <w:r>
        <w:rPr>
          <w:sz w:val="22"/>
          <w:szCs w:val="22"/>
        </w:rPr>
        <w:tab/>
      </w:r>
      <w:r>
        <w:rPr>
          <w:sz w:val="22"/>
          <w:szCs w:val="22"/>
        </w:rPr>
        <w:tab/>
        <w:t>jméno:</w:t>
      </w:r>
      <w:r w:rsidR="00F41709">
        <w:rPr>
          <w:sz w:val="22"/>
          <w:szCs w:val="22"/>
        </w:rPr>
        <w:t xml:space="preserve"> MUDr. Vít Němeček</w:t>
      </w:r>
    </w:p>
    <w:p w:rsidR="000E2B27" w:rsidRDefault="000E2B27">
      <w:pPr>
        <w:pStyle w:val="Zkladntext"/>
        <w:ind w:left="360"/>
        <w:rPr>
          <w:sz w:val="22"/>
          <w:szCs w:val="22"/>
        </w:rPr>
      </w:pPr>
      <w:r>
        <w:rPr>
          <w:sz w:val="22"/>
          <w:szCs w:val="22"/>
        </w:rPr>
        <w:t>funkce:</w:t>
      </w:r>
      <w:r w:rsidR="00F41709">
        <w:rPr>
          <w:sz w:val="22"/>
          <w:szCs w:val="22"/>
        </w:rPr>
        <w:t xml:space="preserve"> prokurista</w:t>
      </w:r>
      <w:r>
        <w:rPr>
          <w:sz w:val="22"/>
          <w:szCs w:val="22"/>
        </w:rPr>
        <w:tab/>
      </w:r>
      <w:r>
        <w:rPr>
          <w:sz w:val="22"/>
          <w:szCs w:val="22"/>
        </w:rPr>
        <w:tab/>
      </w:r>
      <w:r>
        <w:rPr>
          <w:sz w:val="22"/>
          <w:szCs w:val="22"/>
        </w:rPr>
        <w:tab/>
      </w:r>
      <w:r>
        <w:rPr>
          <w:sz w:val="22"/>
          <w:szCs w:val="22"/>
        </w:rPr>
        <w:tab/>
      </w:r>
      <w:r>
        <w:rPr>
          <w:sz w:val="22"/>
          <w:szCs w:val="22"/>
        </w:rPr>
        <w:tab/>
      </w:r>
      <w:r>
        <w:rPr>
          <w:sz w:val="22"/>
          <w:szCs w:val="22"/>
        </w:rPr>
        <w:tab/>
        <w:t>funkce:</w:t>
      </w:r>
      <w:r w:rsidR="00F41709">
        <w:rPr>
          <w:sz w:val="22"/>
          <w:szCs w:val="22"/>
        </w:rPr>
        <w:t xml:space="preserve"> ředitel</w:t>
      </w:r>
    </w:p>
    <w:p w:rsidR="000E2B27" w:rsidRDefault="000E2B27">
      <w:pPr>
        <w:pStyle w:val="Zkladntext"/>
        <w:ind w:left="360"/>
        <w:rPr>
          <w:sz w:val="22"/>
          <w:szCs w:val="22"/>
        </w:rPr>
      </w:pPr>
    </w:p>
    <w:p w:rsidR="000E2B27" w:rsidRDefault="000E2B27">
      <w:pPr>
        <w:pStyle w:val="Zkladntext"/>
        <w:ind w:left="360"/>
        <w:rPr>
          <w:sz w:val="22"/>
          <w:szCs w:val="22"/>
        </w:rPr>
      </w:pPr>
    </w:p>
    <w:p w:rsidR="003E1AC3" w:rsidRDefault="003E1AC3">
      <w:pPr>
        <w:pStyle w:val="Zkladntext"/>
        <w:ind w:left="360"/>
        <w:rPr>
          <w:sz w:val="22"/>
          <w:szCs w:val="22"/>
        </w:rPr>
      </w:pPr>
    </w:p>
    <w:p w:rsidR="000E2B27" w:rsidRDefault="000E2B27">
      <w:pPr>
        <w:pStyle w:val="Zkladntext"/>
        <w:ind w:left="360"/>
        <w:rPr>
          <w:sz w:val="22"/>
          <w:szCs w:val="22"/>
        </w:rPr>
      </w:pPr>
    </w:p>
    <w:p w:rsidR="000E2B27" w:rsidRDefault="000E2B27">
      <w:pPr>
        <w:pStyle w:val="Zkladntext"/>
        <w:ind w:left="360"/>
        <w:rPr>
          <w:sz w:val="22"/>
          <w:szCs w:val="22"/>
        </w:rPr>
      </w:pPr>
      <w:r>
        <w:rPr>
          <w:sz w:val="22"/>
          <w:szCs w:val="22"/>
        </w:rPr>
        <w:t>__________________________</w:t>
      </w:r>
    </w:p>
    <w:p w:rsidR="000E2B27" w:rsidRDefault="000E2B27">
      <w:pPr>
        <w:pStyle w:val="Zkladntext"/>
        <w:ind w:left="360"/>
        <w:rPr>
          <w:sz w:val="22"/>
          <w:szCs w:val="22"/>
        </w:rPr>
      </w:pPr>
      <w:r>
        <w:rPr>
          <w:sz w:val="22"/>
          <w:szCs w:val="22"/>
        </w:rPr>
        <w:t>jméno:</w:t>
      </w:r>
      <w:r w:rsidR="00F41709">
        <w:rPr>
          <w:sz w:val="22"/>
          <w:szCs w:val="22"/>
        </w:rPr>
        <w:t xml:space="preserve"> </w:t>
      </w:r>
      <w:r w:rsidR="00196622">
        <w:rPr>
          <w:sz w:val="22"/>
          <w:szCs w:val="22"/>
        </w:rPr>
        <w:t>Ing. Ivo Lukeš</w:t>
      </w:r>
      <w:r w:rsidR="003E1AC3">
        <w:rPr>
          <w:sz w:val="22"/>
          <w:szCs w:val="22"/>
        </w:rPr>
        <w:t>, CSc.</w:t>
      </w:r>
    </w:p>
    <w:p w:rsidR="000E2B27" w:rsidRDefault="000E2B27" w:rsidP="00F41709">
      <w:pPr>
        <w:pStyle w:val="Zkladntext"/>
        <w:ind w:left="360"/>
        <w:rPr>
          <w:sz w:val="22"/>
          <w:szCs w:val="22"/>
        </w:rPr>
      </w:pPr>
      <w:r>
        <w:rPr>
          <w:sz w:val="22"/>
          <w:szCs w:val="22"/>
        </w:rPr>
        <w:t>funkce:</w:t>
      </w:r>
      <w:r w:rsidR="00F41709">
        <w:rPr>
          <w:sz w:val="22"/>
          <w:szCs w:val="22"/>
        </w:rPr>
        <w:t xml:space="preserve"> prokurista</w:t>
      </w:r>
    </w:p>
    <w:p w:rsidR="00212E00" w:rsidRPr="00C36DB5" w:rsidRDefault="003E1AC3" w:rsidP="00A73116">
      <w:pPr>
        <w:rPr>
          <w:sz w:val="22"/>
          <w:szCs w:val="22"/>
        </w:rPr>
      </w:pPr>
      <w:r>
        <w:rPr>
          <w:sz w:val="22"/>
          <w:szCs w:val="22"/>
        </w:rPr>
        <w:br w:type="page"/>
      </w:r>
    </w:p>
    <w:tbl>
      <w:tblPr>
        <w:tblW w:w="10150" w:type="dxa"/>
        <w:tblLayout w:type="fixed"/>
        <w:tblCellMar>
          <w:left w:w="70" w:type="dxa"/>
          <w:right w:w="70" w:type="dxa"/>
        </w:tblCellMar>
        <w:tblLook w:val="0000" w:firstRow="0" w:lastRow="0" w:firstColumn="0" w:lastColumn="0" w:noHBand="0" w:noVBand="0"/>
      </w:tblPr>
      <w:tblGrid>
        <w:gridCol w:w="5303"/>
        <w:gridCol w:w="4847"/>
      </w:tblGrid>
      <w:tr w:rsidR="00212E00" w:rsidRPr="0096095E" w:rsidTr="0030619C">
        <w:trPr>
          <w:trHeight w:val="1240"/>
        </w:trPr>
        <w:tc>
          <w:tcPr>
            <w:tcW w:w="5303" w:type="dxa"/>
            <w:tcBorders>
              <w:right w:val="single" w:sz="4" w:space="0" w:color="auto"/>
            </w:tcBorders>
          </w:tcPr>
          <w:p w:rsidR="00212E00" w:rsidRDefault="00212E00" w:rsidP="0030619C">
            <w:pPr>
              <w:ind w:right="-287"/>
              <w:rPr>
                <w:rFonts w:ascii="Arial" w:hAnsi="Arial" w:cs="Arial"/>
              </w:rPr>
            </w:pPr>
            <w:bookmarkStart w:id="1" w:name="Address"/>
            <w:bookmarkStart w:id="2" w:name="SalesExec"/>
            <w:r>
              <w:rPr>
                <w:rFonts w:ascii="Arial" w:hAnsi="Arial" w:cs="Arial"/>
              </w:rPr>
              <w:lastRenderedPageBreak/>
              <w:t xml:space="preserve">Pavel </w:t>
            </w:r>
            <w:proofErr w:type="spellStart"/>
            <w:r>
              <w:rPr>
                <w:rFonts w:ascii="Arial" w:hAnsi="Arial" w:cs="Arial"/>
              </w:rPr>
              <w:t>Šťasta</w:t>
            </w:r>
            <w:proofErr w:type="spellEnd"/>
          </w:p>
          <w:p w:rsidR="00212E00" w:rsidRDefault="00212E00" w:rsidP="0030619C">
            <w:pPr>
              <w:ind w:right="-287"/>
              <w:rPr>
                <w:rFonts w:ascii="Arial" w:hAnsi="Arial" w:cs="Arial"/>
              </w:rPr>
            </w:pPr>
            <w:r>
              <w:rPr>
                <w:rFonts w:ascii="Arial" w:hAnsi="Arial" w:cs="Arial"/>
              </w:rPr>
              <w:t>Manažer prodeje</w:t>
            </w:r>
          </w:p>
          <w:p w:rsidR="00212E00" w:rsidRDefault="00212E00" w:rsidP="0030619C">
            <w:pPr>
              <w:ind w:right="-287"/>
              <w:rPr>
                <w:rFonts w:ascii="Arial" w:hAnsi="Arial" w:cs="Arial"/>
              </w:rPr>
            </w:pPr>
            <w:r>
              <w:rPr>
                <w:rFonts w:ascii="Arial" w:hAnsi="Arial" w:cs="Arial"/>
              </w:rPr>
              <w:t>Divize endoskopů</w:t>
            </w:r>
          </w:p>
          <w:p w:rsidR="00212E00" w:rsidRDefault="00212E00" w:rsidP="0030619C">
            <w:pPr>
              <w:ind w:right="-287"/>
              <w:rPr>
                <w:rFonts w:ascii="Arial" w:hAnsi="Arial" w:cs="Arial"/>
              </w:rPr>
            </w:pPr>
            <w:proofErr w:type="spellStart"/>
            <w:r>
              <w:rPr>
                <w:rFonts w:ascii="Arial" w:hAnsi="Arial" w:cs="Arial"/>
              </w:rPr>
              <w:t>Olympus</w:t>
            </w:r>
            <w:proofErr w:type="spellEnd"/>
            <w:r>
              <w:rPr>
                <w:rFonts w:ascii="Arial" w:hAnsi="Arial" w:cs="Arial"/>
              </w:rPr>
              <w:t xml:space="preserve"> Czech Group, s.r.o., člen koncernu</w:t>
            </w:r>
          </w:p>
          <w:p w:rsidR="00212E00" w:rsidRDefault="00212E00" w:rsidP="0030619C">
            <w:pPr>
              <w:ind w:right="-287"/>
              <w:rPr>
                <w:rFonts w:ascii="Arial" w:hAnsi="Arial" w:cs="Arial"/>
              </w:rPr>
            </w:pPr>
            <w:r>
              <w:rPr>
                <w:rFonts w:ascii="Arial" w:hAnsi="Arial" w:cs="Arial"/>
              </w:rPr>
              <w:t>Evropská 176/16, 160 41 Praha 6 - Vokovice</w:t>
            </w:r>
          </w:p>
          <w:p w:rsidR="00212E00" w:rsidRDefault="00212E00" w:rsidP="0030619C">
            <w:pPr>
              <w:ind w:right="-287"/>
              <w:rPr>
                <w:rFonts w:ascii="Arial" w:hAnsi="Arial" w:cs="Arial"/>
              </w:rPr>
            </w:pPr>
            <w:r>
              <w:rPr>
                <w:rFonts w:ascii="Arial" w:hAnsi="Arial" w:cs="Arial"/>
              </w:rPr>
              <w:t>Tel.: +420 221985 211, 219</w:t>
            </w:r>
          </w:p>
          <w:p w:rsidR="00212E00" w:rsidRDefault="00212E00" w:rsidP="0030619C">
            <w:pPr>
              <w:ind w:right="-287"/>
              <w:rPr>
                <w:rFonts w:ascii="Arial" w:hAnsi="Arial" w:cs="Arial"/>
              </w:rPr>
            </w:pPr>
            <w:r>
              <w:rPr>
                <w:rFonts w:ascii="Arial" w:hAnsi="Arial" w:cs="Arial"/>
              </w:rPr>
              <w:t>Fax.: +420 221 985 505, 569</w:t>
            </w:r>
          </w:p>
          <w:p w:rsidR="00212E00" w:rsidRDefault="00212E00" w:rsidP="0030619C">
            <w:pPr>
              <w:ind w:right="-287"/>
              <w:rPr>
                <w:rFonts w:ascii="Arial" w:hAnsi="Arial" w:cs="Arial"/>
              </w:rPr>
            </w:pPr>
            <w:r>
              <w:rPr>
                <w:rFonts w:ascii="Arial" w:hAnsi="Arial" w:cs="Arial"/>
              </w:rPr>
              <w:t>GSM: +420 602 656 939</w:t>
            </w:r>
          </w:p>
          <w:p w:rsidR="00212E00" w:rsidRDefault="00212E00" w:rsidP="0030619C">
            <w:pPr>
              <w:ind w:right="-287"/>
              <w:rPr>
                <w:rFonts w:ascii="Arial" w:hAnsi="Arial" w:cs="Arial"/>
              </w:rPr>
            </w:pPr>
            <w:r>
              <w:rPr>
                <w:rFonts w:ascii="Arial" w:hAnsi="Arial" w:cs="Arial"/>
              </w:rPr>
              <w:t>E-mail: stasta@olympus-europa.com</w:t>
            </w:r>
          </w:p>
          <w:p w:rsidR="00212E00" w:rsidRPr="001B3FC3" w:rsidRDefault="00212E00" w:rsidP="0030619C">
            <w:pPr>
              <w:ind w:right="-287"/>
              <w:rPr>
                <w:rFonts w:ascii="Arial" w:hAnsi="Arial" w:cs="Arial"/>
              </w:rPr>
            </w:pPr>
            <w:r>
              <w:rPr>
                <w:rFonts w:ascii="Arial" w:hAnsi="Arial" w:cs="Arial"/>
              </w:rPr>
              <w:t>www.olympus.cz</w:t>
            </w:r>
          </w:p>
        </w:tc>
        <w:tc>
          <w:tcPr>
            <w:tcW w:w="4847" w:type="dxa"/>
            <w:tcBorders>
              <w:top w:val="single" w:sz="4" w:space="0" w:color="auto"/>
              <w:left w:val="single" w:sz="4" w:space="0" w:color="auto"/>
              <w:bottom w:val="single" w:sz="4" w:space="0" w:color="auto"/>
              <w:right w:val="single" w:sz="4" w:space="0" w:color="auto"/>
            </w:tcBorders>
          </w:tcPr>
          <w:p w:rsidR="00212E00" w:rsidRPr="0096095E" w:rsidRDefault="00212E00" w:rsidP="0030619C">
            <w:pPr>
              <w:ind w:left="720" w:right="-287"/>
              <w:rPr>
                <w:rFonts w:ascii="Arial" w:hAnsi="Arial" w:cs="Arial"/>
                <w:sz w:val="22"/>
                <w:szCs w:val="22"/>
              </w:rPr>
            </w:pPr>
            <w:bookmarkStart w:id="3" w:name="Address_Beginn"/>
            <w:bookmarkEnd w:id="3"/>
          </w:p>
          <w:p w:rsidR="00212E00" w:rsidRDefault="00212E00" w:rsidP="0030619C">
            <w:pPr>
              <w:ind w:left="720" w:right="-287"/>
              <w:rPr>
                <w:rFonts w:ascii="Arial" w:hAnsi="Arial" w:cs="Arial"/>
              </w:rPr>
            </w:pPr>
            <w:r>
              <w:rPr>
                <w:rFonts w:ascii="Arial" w:hAnsi="Arial" w:cs="Arial"/>
              </w:rPr>
              <w:t xml:space="preserve"> </w:t>
            </w:r>
          </w:p>
          <w:p w:rsidR="00212E00" w:rsidRDefault="00212E00" w:rsidP="0030619C">
            <w:pPr>
              <w:ind w:left="720" w:right="-287"/>
              <w:rPr>
                <w:rFonts w:ascii="Arial" w:hAnsi="Arial" w:cs="Arial"/>
              </w:rPr>
            </w:pPr>
            <w:r>
              <w:rPr>
                <w:rFonts w:ascii="Arial" w:hAnsi="Arial" w:cs="Arial"/>
              </w:rPr>
              <w:t>Nemocnice Jablonec nad Nisou,</w:t>
            </w:r>
          </w:p>
          <w:p w:rsidR="00212E00" w:rsidRDefault="00212E00" w:rsidP="0030619C">
            <w:pPr>
              <w:ind w:left="720" w:right="-287"/>
              <w:rPr>
                <w:rFonts w:ascii="Arial" w:hAnsi="Arial" w:cs="Arial"/>
              </w:rPr>
            </w:pPr>
            <w:r>
              <w:rPr>
                <w:rFonts w:ascii="Arial" w:hAnsi="Arial" w:cs="Arial"/>
              </w:rPr>
              <w:t>příspěvková organizace</w:t>
            </w:r>
          </w:p>
          <w:p w:rsidR="00212E00" w:rsidRDefault="00212E00" w:rsidP="0030619C">
            <w:pPr>
              <w:ind w:left="720" w:right="-287"/>
              <w:rPr>
                <w:rFonts w:ascii="Arial" w:hAnsi="Arial" w:cs="Arial"/>
              </w:rPr>
            </w:pPr>
            <w:r>
              <w:rPr>
                <w:rFonts w:ascii="Arial" w:hAnsi="Arial" w:cs="Arial"/>
              </w:rPr>
              <w:t>Nemocniční 15</w:t>
            </w:r>
          </w:p>
          <w:p w:rsidR="00212E00" w:rsidRPr="001B3FC3" w:rsidRDefault="00212E00" w:rsidP="0030619C">
            <w:pPr>
              <w:ind w:left="720" w:right="-287"/>
              <w:rPr>
                <w:rFonts w:ascii="Arial" w:hAnsi="Arial" w:cs="Arial"/>
              </w:rPr>
            </w:pPr>
            <w:r>
              <w:rPr>
                <w:rFonts w:ascii="Arial" w:hAnsi="Arial" w:cs="Arial"/>
              </w:rPr>
              <w:t>466 01 Jablonec nad Nisou</w:t>
            </w:r>
          </w:p>
          <w:p w:rsidR="00212E00" w:rsidRPr="0096095E" w:rsidRDefault="00212E00" w:rsidP="0030619C">
            <w:pPr>
              <w:ind w:right="-287"/>
              <w:rPr>
                <w:rFonts w:ascii="Arial" w:hAnsi="Arial" w:cs="Arial"/>
              </w:rPr>
            </w:pPr>
            <w:bookmarkStart w:id="4" w:name="Address_End"/>
            <w:bookmarkEnd w:id="4"/>
          </w:p>
        </w:tc>
      </w:tr>
    </w:tbl>
    <w:p w:rsidR="00212E00" w:rsidRPr="0096095E" w:rsidRDefault="00212E00" w:rsidP="00212E00">
      <w:pPr>
        <w:ind w:right="-287"/>
        <w:rPr>
          <w:rFonts w:ascii="Arial" w:hAnsi="Arial" w:cs="Arial"/>
        </w:rPr>
      </w:pPr>
    </w:p>
    <w:p w:rsidR="00212E00" w:rsidRPr="0096095E" w:rsidRDefault="00212E00" w:rsidP="00212E00">
      <w:pPr>
        <w:ind w:right="-287"/>
        <w:jc w:val="right"/>
        <w:rPr>
          <w:rFonts w:ascii="Arial" w:hAnsi="Arial" w:cs="Arial"/>
        </w:rPr>
      </w:pPr>
      <w:r w:rsidRPr="0096095E">
        <w:rPr>
          <w:rFonts w:ascii="Arial" w:hAnsi="Arial" w:cs="Arial"/>
        </w:rPr>
        <w:t>D</w:t>
      </w:r>
      <w:bookmarkEnd w:id="1"/>
      <w:r w:rsidRPr="0096095E">
        <w:rPr>
          <w:rFonts w:ascii="Arial" w:hAnsi="Arial" w:cs="Arial"/>
        </w:rPr>
        <w:t>at</w:t>
      </w:r>
      <w:bookmarkEnd w:id="2"/>
      <w:r w:rsidRPr="0096095E">
        <w:rPr>
          <w:rFonts w:ascii="Arial" w:hAnsi="Arial" w:cs="Arial"/>
        </w:rPr>
        <w:t xml:space="preserve">um:   </w:t>
      </w:r>
      <w:r>
        <w:rPr>
          <w:rFonts w:ascii="Arial" w:hAnsi="Arial" w:cs="Arial"/>
        </w:rPr>
        <w:t>29. srpna 2016</w:t>
      </w:r>
    </w:p>
    <w:p w:rsidR="00212E00" w:rsidRDefault="00212E00" w:rsidP="00212E00">
      <w:pPr>
        <w:pStyle w:val="Nadpis1"/>
        <w:ind w:right="73"/>
        <w:jc w:val="left"/>
        <w:rPr>
          <w:rFonts w:ascii="Arial" w:hAnsi="Arial" w:cs="Arial"/>
          <w:b w:val="0"/>
          <w:sz w:val="20"/>
        </w:rPr>
      </w:pPr>
    </w:p>
    <w:p w:rsidR="00212E00" w:rsidRPr="0096095E" w:rsidRDefault="00212E00" w:rsidP="00212E00">
      <w:pPr>
        <w:pStyle w:val="Nadpis1"/>
        <w:ind w:right="73"/>
        <w:jc w:val="left"/>
        <w:rPr>
          <w:rFonts w:ascii="Arial" w:hAnsi="Arial" w:cs="Arial"/>
          <w:sz w:val="20"/>
        </w:rPr>
      </w:pPr>
      <w:r w:rsidRPr="0096095E">
        <w:rPr>
          <w:rFonts w:ascii="Arial" w:hAnsi="Arial" w:cs="Arial"/>
          <w:b w:val="0"/>
          <w:sz w:val="20"/>
        </w:rPr>
        <w:t xml:space="preserve">Cenová nabídka č.:  </w:t>
      </w:r>
      <w:bookmarkStart w:id="5" w:name="offerNo"/>
      <w:r>
        <w:rPr>
          <w:rFonts w:ascii="Arial" w:hAnsi="Arial" w:cs="Arial"/>
          <w:b w:val="0"/>
          <w:sz w:val="20"/>
        </w:rPr>
        <w:t>A-PS-XCZ-0014</w:t>
      </w:r>
      <w:bookmarkEnd w:id="5"/>
      <w:r>
        <w:rPr>
          <w:rFonts w:ascii="Arial" w:hAnsi="Arial" w:cs="Arial"/>
          <w:b w:val="0"/>
          <w:sz w:val="20"/>
        </w:rPr>
        <w:t>84</w:t>
      </w:r>
      <w:r w:rsidRPr="0096095E">
        <w:rPr>
          <w:rFonts w:ascii="Arial" w:hAnsi="Arial" w:cs="Arial"/>
          <w:b w:val="0"/>
          <w:sz w:val="20"/>
        </w:rPr>
        <w:tab/>
      </w:r>
      <w:r w:rsidRPr="0096095E">
        <w:rPr>
          <w:rFonts w:ascii="Arial" w:hAnsi="Arial" w:cs="Arial"/>
          <w:b w:val="0"/>
          <w:sz w:val="20"/>
        </w:rPr>
        <w:tab/>
      </w:r>
    </w:p>
    <w:p w:rsidR="00212E00" w:rsidRDefault="00212E00" w:rsidP="00212E00">
      <w:pPr>
        <w:autoSpaceDE w:val="0"/>
        <w:autoSpaceDN w:val="0"/>
        <w:adjustRightInd w:val="0"/>
        <w:rPr>
          <w:rFonts w:ascii="Tms Rmn" w:hAnsi="Tms Rmn"/>
        </w:rPr>
      </w:pPr>
      <w:r>
        <w:rPr>
          <w:rFonts w:ascii="Arial" w:hAnsi="Arial" w:cs="Arial"/>
          <w:szCs w:val="22"/>
        </w:rPr>
        <w:t xml:space="preserve"> </w:t>
      </w:r>
      <w:bookmarkStart w:id="6" w:name="Offer_Block_1_BEGIN"/>
      <w:bookmarkEnd w:id="6"/>
    </w:p>
    <w:tbl>
      <w:tblPr>
        <w:tblW w:w="18484" w:type="dxa"/>
        <w:tblLayout w:type="fixed"/>
        <w:tblCellMar>
          <w:top w:w="28" w:type="dxa"/>
          <w:left w:w="0" w:type="dxa"/>
          <w:bottom w:w="28" w:type="dxa"/>
          <w:right w:w="0" w:type="dxa"/>
        </w:tblCellMar>
        <w:tblLook w:val="00A0" w:firstRow="1" w:lastRow="0" w:firstColumn="1" w:lastColumn="0" w:noHBand="0" w:noVBand="0"/>
      </w:tblPr>
      <w:tblGrid>
        <w:gridCol w:w="242"/>
        <w:gridCol w:w="98"/>
        <w:gridCol w:w="1247"/>
        <w:gridCol w:w="2608"/>
        <w:gridCol w:w="1247"/>
        <w:gridCol w:w="283"/>
        <w:gridCol w:w="755"/>
        <w:gridCol w:w="1134"/>
        <w:gridCol w:w="40"/>
        <w:gridCol w:w="1207"/>
        <w:gridCol w:w="1321"/>
        <w:gridCol w:w="7380"/>
        <w:gridCol w:w="922"/>
      </w:tblGrid>
      <w:tr w:rsidR="00212E00" w:rsidTr="0030619C">
        <w:trPr>
          <w:gridAfter w:val="1"/>
          <w:wAfter w:w="922" w:type="dxa"/>
        </w:trPr>
        <w:tc>
          <w:tcPr>
            <w:tcW w:w="17562" w:type="dxa"/>
            <w:gridSpan w:val="12"/>
            <w:shd w:val="clear" w:color="auto" w:fill="FFFFFF"/>
          </w:tcPr>
          <w:p w:rsidR="00212E00" w:rsidRDefault="00212E00" w:rsidP="00212E00">
            <w:pPr>
              <w:pStyle w:val="Nadpis1"/>
              <w:jc w:val="left"/>
            </w:pPr>
            <w:r>
              <w:t xml:space="preserve">Název:    </w:t>
            </w:r>
            <w:proofErr w:type="spellStart"/>
            <w:r>
              <w:t>videoendoskopy</w:t>
            </w:r>
            <w:proofErr w:type="spellEnd"/>
            <w:r>
              <w:t xml:space="preserve"> a sušící skříň</w:t>
            </w:r>
          </w:p>
          <w:p w:rsidR="00212E00" w:rsidRDefault="00212E00" w:rsidP="0030619C">
            <w:pPr>
              <w:autoSpaceDE w:val="0"/>
              <w:autoSpaceDN w:val="0"/>
              <w:adjustRightInd w:val="0"/>
              <w:ind w:right="189"/>
              <w:rPr>
                <w:rFonts w:ascii="Palatino Linotype" w:hAnsi="Palatino Linotype" w:cs="Palatino Linotype"/>
                <w:b/>
                <w:bCs/>
                <w:color w:val="000000"/>
              </w:rPr>
            </w:pPr>
          </w:p>
        </w:tc>
      </w:tr>
      <w:tr w:rsidR="00212E00" w:rsidTr="0030619C">
        <w:trPr>
          <w:gridAfter w:val="2"/>
          <w:wAfter w:w="8302" w:type="dxa"/>
        </w:trPr>
        <w:tc>
          <w:tcPr>
            <w:tcW w:w="340" w:type="dxa"/>
            <w:gridSpan w:val="2"/>
            <w:tcBorders>
              <w:top w:val="single" w:sz="9" w:space="0" w:color="808080"/>
            </w:tcBorders>
            <w:shd w:val="clear" w:color="auto" w:fill="F7F7F7"/>
          </w:tcPr>
          <w:p w:rsidR="00212E00" w:rsidRDefault="00212E00" w:rsidP="0030619C">
            <w:pPr>
              <w:autoSpaceDE w:val="0"/>
              <w:autoSpaceDN w:val="0"/>
              <w:adjustRightInd w:val="0"/>
              <w:ind w:right="7"/>
              <w:jc w:val="center"/>
              <w:rPr>
                <w:rFonts w:ascii="Palatino Linotype" w:hAnsi="Palatino Linotype" w:cs="Palatino Linotype"/>
                <w:b/>
                <w:bCs/>
                <w:color w:val="000000"/>
              </w:rPr>
            </w:pPr>
          </w:p>
        </w:tc>
        <w:tc>
          <w:tcPr>
            <w:tcW w:w="1247" w:type="dxa"/>
            <w:tcBorders>
              <w:top w:val="single" w:sz="9" w:space="0" w:color="808080"/>
            </w:tcBorders>
            <w:shd w:val="clear" w:color="auto" w:fill="F7F7F7"/>
          </w:tcPr>
          <w:p w:rsidR="00212E00" w:rsidRDefault="00212E00" w:rsidP="0030619C">
            <w:pPr>
              <w:autoSpaceDE w:val="0"/>
              <w:autoSpaceDN w:val="0"/>
              <w:adjustRightInd w:val="0"/>
              <w:ind w:right="25"/>
              <w:rPr>
                <w:rFonts w:ascii="Arial" w:hAnsi="Arial" w:cs="Arial"/>
                <w:b/>
                <w:bCs/>
                <w:color w:val="000000"/>
                <w:sz w:val="16"/>
                <w:szCs w:val="16"/>
              </w:rPr>
            </w:pPr>
            <w:proofErr w:type="spellStart"/>
            <w:r>
              <w:rPr>
                <w:rFonts w:ascii="Arial" w:hAnsi="Arial" w:cs="Arial"/>
                <w:b/>
                <w:bCs/>
                <w:color w:val="000000"/>
                <w:sz w:val="16"/>
                <w:szCs w:val="16"/>
              </w:rPr>
              <w:t>obj</w:t>
            </w:r>
            <w:proofErr w:type="spellEnd"/>
            <w:r>
              <w:rPr>
                <w:rFonts w:ascii="Arial" w:hAnsi="Arial" w:cs="Arial"/>
                <w:b/>
                <w:bCs/>
                <w:color w:val="000000"/>
                <w:sz w:val="16"/>
                <w:szCs w:val="16"/>
              </w:rPr>
              <w:t>. č.</w:t>
            </w:r>
          </w:p>
        </w:tc>
        <w:tc>
          <w:tcPr>
            <w:tcW w:w="2608" w:type="dxa"/>
            <w:tcBorders>
              <w:top w:val="single" w:sz="9" w:space="0" w:color="808080"/>
            </w:tcBorders>
            <w:shd w:val="clear" w:color="auto" w:fill="F7F7F7"/>
          </w:tcPr>
          <w:p w:rsidR="00212E00" w:rsidRDefault="00212E00" w:rsidP="0030619C">
            <w:pPr>
              <w:autoSpaceDE w:val="0"/>
              <w:autoSpaceDN w:val="0"/>
              <w:adjustRightInd w:val="0"/>
              <w:ind w:left="57" w:right="52"/>
              <w:rPr>
                <w:rFonts w:ascii="Arial" w:hAnsi="Arial" w:cs="Arial"/>
                <w:b/>
                <w:bCs/>
                <w:color w:val="000000"/>
                <w:sz w:val="16"/>
                <w:szCs w:val="16"/>
              </w:rPr>
            </w:pPr>
            <w:r>
              <w:rPr>
                <w:rFonts w:ascii="Arial" w:hAnsi="Arial" w:cs="Arial"/>
                <w:b/>
                <w:bCs/>
                <w:color w:val="000000"/>
                <w:sz w:val="16"/>
                <w:szCs w:val="16"/>
              </w:rPr>
              <w:t>položka</w:t>
            </w:r>
          </w:p>
        </w:tc>
        <w:tc>
          <w:tcPr>
            <w:tcW w:w="1247" w:type="dxa"/>
            <w:tcBorders>
              <w:top w:val="single" w:sz="9" w:space="0" w:color="808080"/>
            </w:tcBorders>
            <w:shd w:val="clear" w:color="auto" w:fill="F7F7F7"/>
          </w:tcPr>
          <w:p w:rsidR="00212E00" w:rsidRDefault="00212E00" w:rsidP="0030619C">
            <w:pPr>
              <w:autoSpaceDE w:val="0"/>
              <w:autoSpaceDN w:val="0"/>
              <w:adjustRightInd w:val="0"/>
              <w:ind w:right="25"/>
              <w:jc w:val="right"/>
              <w:rPr>
                <w:rFonts w:ascii="Arial" w:hAnsi="Arial" w:cs="Arial"/>
                <w:b/>
                <w:bCs/>
                <w:color w:val="000000"/>
                <w:sz w:val="16"/>
                <w:szCs w:val="16"/>
              </w:rPr>
            </w:pPr>
            <w:r>
              <w:rPr>
                <w:rFonts w:ascii="Arial" w:hAnsi="Arial" w:cs="Arial"/>
                <w:b/>
                <w:bCs/>
                <w:color w:val="000000"/>
                <w:sz w:val="16"/>
                <w:szCs w:val="16"/>
              </w:rPr>
              <w:t xml:space="preserve">  </w:t>
            </w:r>
            <w:proofErr w:type="spellStart"/>
            <w:r>
              <w:rPr>
                <w:rFonts w:ascii="Arial" w:hAnsi="Arial" w:cs="Arial"/>
                <w:b/>
                <w:bCs/>
                <w:color w:val="000000"/>
                <w:sz w:val="16"/>
                <w:szCs w:val="16"/>
              </w:rPr>
              <w:t>jedn</w:t>
            </w:r>
            <w:proofErr w:type="spellEnd"/>
            <w:r>
              <w:rPr>
                <w:rFonts w:ascii="Arial" w:hAnsi="Arial" w:cs="Arial"/>
                <w:b/>
                <w:bCs/>
                <w:color w:val="000000"/>
                <w:sz w:val="16"/>
                <w:szCs w:val="16"/>
              </w:rPr>
              <w:t xml:space="preserve">. </w:t>
            </w:r>
            <w:proofErr w:type="gramStart"/>
            <w:r>
              <w:rPr>
                <w:rFonts w:ascii="Arial" w:hAnsi="Arial" w:cs="Arial"/>
                <w:b/>
                <w:bCs/>
                <w:color w:val="000000"/>
                <w:sz w:val="16"/>
                <w:szCs w:val="16"/>
              </w:rPr>
              <w:t>cena</w:t>
            </w:r>
            <w:proofErr w:type="gramEnd"/>
          </w:p>
        </w:tc>
        <w:tc>
          <w:tcPr>
            <w:tcW w:w="283" w:type="dxa"/>
            <w:tcBorders>
              <w:top w:val="single" w:sz="9" w:space="0" w:color="808080"/>
            </w:tcBorders>
            <w:shd w:val="clear" w:color="auto" w:fill="F7F7F7"/>
          </w:tcPr>
          <w:p w:rsidR="00212E00" w:rsidRDefault="00212E00" w:rsidP="0030619C">
            <w:pPr>
              <w:autoSpaceDE w:val="0"/>
              <w:autoSpaceDN w:val="0"/>
              <w:adjustRightInd w:val="0"/>
              <w:ind w:right="6"/>
              <w:jc w:val="center"/>
              <w:rPr>
                <w:rFonts w:ascii="Arial" w:hAnsi="Arial" w:cs="Arial"/>
                <w:b/>
                <w:bCs/>
                <w:color w:val="000000"/>
                <w:sz w:val="16"/>
                <w:szCs w:val="16"/>
              </w:rPr>
            </w:pPr>
            <w:r>
              <w:rPr>
                <w:rFonts w:ascii="Arial" w:hAnsi="Arial" w:cs="Arial"/>
                <w:b/>
                <w:bCs/>
                <w:color w:val="000000"/>
                <w:sz w:val="16"/>
                <w:szCs w:val="16"/>
              </w:rPr>
              <w:t>ks</w:t>
            </w:r>
          </w:p>
        </w:tc>
        <w:tc>
          <w:tcPr>
            <w:tcW w:w="755" w:type="dxa"/>
            <w:tcBorders>
              <w:top w:val="single" w:sz="9" w:space="0" w:color="808080"/>
            </w:tcBorders>
            <w:shd w:val="clear" w:color="auto" w:fill="F7F7F7"/>
          </w:tcPr>
          <w:p w:rsidR="00212E00" w:rsidRDefault="00212E00" w:rsidP="0030619C">
            <w:pPr>
              <w:autoSpaceDE w:val="0"/>
              <w:autoSpaceDN w:val="0"/>
              <w:adjustRightInd w:val="0"/>
              <w:ind w:right="15"/>
              <w:jc w:val="center"/>
              <w:rPr>
                <w:rFonts w:ascii="Arial" w:hAnsi="Arial" w:cs="Arial"/>
                <w:b/>
                <w:bCs/>
                <w:color w:val="000000"/>
                <w:sz w:val="16"/>
                <w:szCs w:val="16"/>
              </w:rPr>
            </w:pPr>
            <w:r>
              <w:rPr>
                <w:rFonts w:ascii="Arial" w:hAnsi="Arial" w:cs="Arial"/>
                <w:b/>
                <w:bCs/>
                <w:color w:val="000000"/>
                <w:sz w:val="16"/>
                <w:szCs w:val="16"/>
              </w:rPr>
              <w:t>DPH</w:t>
            </w:r>
          </w:p>
        </w:tc>
        <w:tc>
          <w:tcPr>
            <w:tcW w:w="1134" w:type="dxa"/>
            <w:tcBorders>
              <w:top w:val="single" w:sz="9" w:space="0" w:color="808080"/>
            </w:tcBorders>
            <w:shd w:val="clear" w:color="auto" w:fill="F7F7F7"/>
          </w:tcPr>
          <w:p w:rsidR="00212E00" w:rsidRDefault="00212E00" w:rsidP="0030619C">
            <w:pPr>
              <w:autoSpaceDE w:val="0"/>
              <w:autoSpaceDN w:val="0"/>
              <w:adjustRightInd w:val="0"/>
              <w:ind w:right="23"/>
              <w:jc w:val="right"/>
              <w:rPr>
                <w:rFonts w:ascii="Arial" w:hAnsi="Arial" w:cs="Arial"/>
                <w:b/>
                <w:bCs/>
                <w:color w:val="000000"/>
                <w:sz w:val="16"/>
                <w:szCs w:val="16"/>
              </w:rPr>
            </w:pPr>
            <w:r>
              <w:rPr>
                <w:rFonts w:ascii="Arial" w:hAnsi="Arial" w:cs="Arial"/>
                <w:b/>
                <w:bCs/>
                <w:color w:val="000000"/>
                <w:sz w:val="16"/>
                <w:szCs w:val="16"/>
              </w:rPr>
              <w:t>DPH</w:t>
            </w:r>
          </w:p>
        </w:tc>
        <w:tc>
          <w:tcPr>
            <w:tcW w:w="1247" w:type="dxa"/>
            <w:gridSpan w:val="2"/>
            <w:tcBorders>
              <w:top w:val="single" w:sz="9" w:space="0" w:color="808080"/>
            </w:tcBorders>
            <w:shd w:val="clear" w:color="auto" w:fill="F7F7F7"/>
          </w:tcPr>
          <w:p w:rsidR="00212E00" w:rsidRDefault="00212E00" w:rsidP="0030619C">
            <w:pPr>
              <w:autoSpaceDE w:val="0"/>
              <w:autoSpaceDN w:val="0"/>
              <w:adjustRightInd w:val="0"/>
              <w:ind w:right="25"/>
              <w:jc w:val="right"/>
              <w:rPr>
                <w:rFonts w:ascii="Arial" w:hAnsi="Arial" w:cs="Arial"/>
                <w:b/>
                <w:bCs/>
                <w:color w:val="000000"/>
                <w:sz w:val="16"/>
                <w:szCs w:val="16"/>
              </w:rPr>
            </w:pPr>
            <w:r>
              <w:rPr>
                <w:rFonts w:ascii="Arial" w:hAnsi="Arial" w:cs="Arial"/>
                <w:b/>
                <w:bCs/>
                <w:color w:val="000000"/>
                <w:sz w:val="16"/>
                <w:szCs w:val="16"/>
              </w:rPr>
              <w:t>celkem bez DPH</w:t>
            </w:r>
          </w:p>
        </w:tc>
        <w:tc>
          <w:tcPr>
            <w:tcW w:w="1321" w:type="dxa"/>
            <w:tcBorders>
              <w:top w:val="single" w:sz="9" w:space="0" w:color="808080"/>
            </w:tcBorders>
            <w:shd w:val="clear" w:color="auto" w:fill="F7F7F7"/>
          </w:tcPr>
          <w:p w:rsidR="00212E00" w:rsidRDefault="00212E00" w:rsidP="0030619C">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celkem s DPH</w:t>
            </w:r>
          </w:p>
        </w:tc>
      </w:tr>
      <w:tr w:rsidR="00212E00" w:rsidTr="0030619C">
        <w:trPr>
          <w:gridAfter w:val="2"/>
          <w:wAfter w:w="8302" w:type="dxa"/>
        </w:trPr>
        <w:tc>
          <w:tcPr>
            <w:tcW w:w="340" w:type="dxa"/>
            <w:gridSpan w:val="2"/>
            <w:tcBorders>
              <w:top w:val="single" w:sz="4" w:space="0" w:color="C0C0C0"/>
            </w:tcBorders>
            <w:shd w:val="clear" w:color="auto" w:fill="FFFFFF"/>
          </w:tcPr>
          <w:p w:rsidR="00212E00" w:rsidRDefault="00212E00" w:rsidP="0030619C">
            <w:pPr>
              <w:autoSpaceDE w:val="0"/>
              <w:autoSpaceDN w:val="0"/>
              <w:adjustRightInd w:val="0"/>
              <w:ind w:right="7"/>
              <w:jc w:val="center"/>
              <w:rPr>
                <w:rFonts w:ascii="Arial" w:hAnsi="Arial" w:cs="Arial"/>
                <w:color w:val="000000"/>
                <w:sz w:val="16"/>
                <w:szCs w:val="16"/>
              </w:rPr>
            </w:pPr>
            <w:r>
              <w:rPr>
                <w:rFonts w:ascii="Arial" w:hAnsi="Arial" w:cs="Arial"/>
                <w:color w:val="000000"/>
                <w:sz w:val="16"/>
                <w:szCs w:val="16"/>
              </w:rPr>
              <w:t>1.</w:t>
            </w:r>
          </w:p>
        </w:tc>
        <w:tc>
          <w:tcPr>
            <w:tcW w:w="1247" w:type="dxa"/>
            <w:tcBorders>
              <w:top w:val="single" w:sz="4" w:space="0" w:color="C0C0C0"/>
            </w:tcBorders>
            <w:shd w:val="clear" w:color="auto" w:fill="FFFFFF"/>
          </w:tcPr>
          <w:p w:rsidR="00212E00" w:rsidRDefault="00212E00" w:rsidP="0030619C">
            <w:pPr>
              <w:autoSpaceDE w:val="0"/>
              <w:autoSpaceDN w:val="0"/>
              <w:adjustRightInd w:val="0"/>
              <w:ind w:right="25"/>
              <w:rPr>
                <w:rFonts w:ascii="Arial" w:hAnsi="Arial" w:cs="Arial"/>
                <w:color w:val="000000"/>
                <w:sz w:val="16"/>
                <w:szCs w:val="16"/>
              </w:rPr>
            </w:pPr>
            <w:r>
              <w:rPr>
                <w:rFonts w:ascii="Arial" w:hAnsi="Arial" w:cs="Arial"/>
                <w:color w:val="000000"/>
                <w:sz w:val="16"/>
                <w:szCs w:val="16"/>
              </w:rPr>
              <w:t>N3802240</w:t>
            </w:r>
          </w:p>
        </w:tc>
        <w:tc>
          <w:tcPr>
            <w:tcW w:w="2608" w:type="dxa"/>
            <w:tcBorders>
              <w:top w:val="single" w:sz="4" w:space="0" w:color="C0C0C0"/>
            </w:tcBorders>
            <w:shd w:val="clear" w:color="auto" w:fill="FFFFFF"/>
          </w:tcPr>
          <w:p w:rsidR="00212E00" w:rsidRDefault="00212E00" w:rsidP="0030619C">
            <w:pPr>
              <w:autoSpaceDE w:val="0"/>
              <w:autoSpaceDN w:val="0"/>
              <w:adjustRightInd w:val="0"/>
              <w:ind w:left="57" w:right="52"/>
              <w:rPr>
                <w:rFonts w:ascii="Arial" w:hAnsi="Arial" w:cs="Arial"/>
                <w:color w:val="000000"/>
                <w:sz w:val="16"/>
                <w:szCs w:val="16"/>
              </w:rPr>
            </w:pPr>
            <w:r>
              <w:rPr>
                <w:rFonts w:ascii="Arial" w:hAnsi="Arial" w:cs="Arial"/>
                <w:color w:val="000000"/>
                <w:sz w:val="16"/>
                <w:szCs w:val="16"/>
              </w:rPr>
              <w:t xml:space="preserve">CF-HQ190I </w:t>
            </w:r>
            <w:proofErr w:type="spellStart"/>
            <w:r>
              <w:rPr>
                <w:rFonts w:ascii="Arial" w:hAnsi="Arial" w:cs="Arial"/>
                <w:color w:val="000000"/>
                <w:sz w:val="16"/>
                <w:szCs w:val="16"/>
              </w:rPr>
              <w:t>Videokolonoskop</w:t>
            </w:r>
            <w:proofErr w:type="spellEnd"/>
          </w:p>
          <w:p w:rsidR="00212E00" w:rsidRDefault="00212E00" w:rsidP="0030619C">
            <w:pPr>
              <w:autoSpaceDE w:val="0"/>
              <w:autoSpaceDN w:val="0"/>
              <w:adjustRightInd w:val="0"/>
              <w:ind w:left="57" w:right="52"/>
              <w:rPr>
                <w:rFonts w:ascii="Arial" w:hAnsi="Arial" w:cs="Arial"/>
                <w:color w:val="000000"/>
                <w:sz w:val="16"/>
                <w:szCs w:val="16"/>
              </w:rPr>
            </w:pPr>
            <w:r>
              <w:rPr>
                <w:rFonts w:ascii="Arial" w:hAnsi="Arial" w:cs="Arial"/>
                <w:color w:val="000000"/>
                <w:sz w:val="16"/>
                <w:szCs w:val="16"/>
              </w:rPr>
              <w:t xml:space="preserve"> – sleva 30%</w:t>
            </w:r>
          </w:p>
        </w:tc>
        <w:tc>
          <w:tcPr>
            <w:tcW w:w="1247" w:type="dxa"/>
            <w:tcBorders>
              <w:top w:val="single" w:sz="4" w:space="0" w:color="C0C0C0"/>
            </w:tcBorders>
            <w:shd w:val="clear" w:color="auto" w:fill="FFFFFF"/>
          </w:tcPr>
          <w:p w:rsidR="00212E00" w:rsidRDefault="00212E00" w:rsidP="0030619C">
            <w:pPr>
              <w:autoSpaceDE w:val="0"/>
              <w:autoSpaceDN w:val="0"/>
              <w:adjustRightInd w:val="0"/>
              <w:ind w:right="25"/>
              <w:jc w:val="right"/>
              <w:rPr>
                <w:rFonts w:ascii="Arial" w:hAnsi="Arial" w:cs="Arial"/>
                <w:color w:val="000000"/>
                <w:sz w:val="16"/>
                <w:szCs w:val="16"/>
              </w:rPr>
            </w:pPr>
            <w:r>
              <w:rPr>
                <w:rFonts w:ascii="Arial" w:hAnsi="Arial" w:cs="Arial"/>
                <w:color w:val="000000"/>
                <w:sz w:val="16"/>
                <w:szCs w:val="16"/>
              </w:rPr>
              <w:t>1 029 000,00 Kč</w:t>
            </w:r>
          </w:p>
        </w:tc>
        <w:tc>
          <w:tcPr>
            <w:tcW w:w="283" w:type="dxa"/>
            <w:tcBorders>
              <w:top w:val="single" w:sz="4" w:space="0" w:color="C0C0C0"/>
            </w:tcBorders>
            <w:shd w:val="clear" w:color="auto" w:fill="FFFFFF"/>
          </w:tcPr>
          <w:p w:rsidR="00212E00" w:rsidRDefault="00212E00" w:rsidP="0030619C">
            <w:pPr>
              <w:autoSpaceDE w:val="0"/>
              <w:autoSpaceDN w:val="0"/>
              <w:adjustRightInd w:val="0"/>
              <w:ind w:right="6"/>
              <w:jc w:val="center"/>
              <w:rPr>
                <w:rFonts w:ascii="Arial" w:hAnsi="Arial" w:cs="Arial"/>
                <w:color w:val="000000"/>
                <w:sz w:val="16"/>
                <w:szCs w:val="16"/>
              </w:rPr>
            </w:pPr>
            <w:r>
              <w:rPr>
                <w:rFonts w:ascii="Arial" w:hAnsi="Arial" w:cs="Arial"/>
                <w:color w:val="000000"/>
                <w:sz w:val="16"/>
                <w:szCs w:val="16"/>
              </w:rPr>
              <w:t>1</w:t>
            </w:r>
          </w:p>
        </w:tc>
        <w:tc>
          <w:tcPr>
            <w:tcW w:w="755" w:type="dxa"/>
            <w:tcBorders>
              <w:top w:val="single" w:sz="4" w:space="0" w:color="C0C0C0"/>
            </w:tcBorders>
            <w:shd w:val="clear" w:color="auto" w:fill="FFFFFF"/>
          </w:tcPr>
          <w:p w:rsidR="00212E00" w:rsidRDefault="00212E00" w:rsidP="0030619C">
            <w:pPr>
              <w:autoSpaceDE w:val="0"/>
              <w:autoSpaceDN w:val="0"/>
              <w:adjustRightInd w:val="0"/>
              <w:ind w:right="15"/>
              <w:jc w:val="center"/>
              <w:rPr>
                <w:rFonts w:ascii="Arial" w:hAnsi="Arial" w:cs="Arial"/>
                <w:color w:val="000000"/>
                <w:sz w:val="16"/>
                <w:szCs w:val="16"/>
              </w:rPr>
            </w:pPr>
            <w:r>
              <w:rPr>
                <w:rFonts w:ascii="Arial" w:hAnsi="Arial" w:cs="Arial"/>
                <w:color w:val="000000"/>
                <w:sz w:val="16"/>
                <w:szCs w:val="16"/>
              </w:rPr>
              <w:t>21 %</w:t>
            </w:r>
          </w:p>
        </w:tc>
        <w:tc>
          <w:tcPr>
            <w:tcW w:w="1134" w:type="dxa"/>
            <w:tcBorders>
              <w:top w:val="single" w:sz="4" w:space="0" w:color="C0C0C0"/>
            </w:tcBorders>
            <w:shd w:val="clear" w:color="auto" w:fill="FFFFFF"/>
          </w:tcPr>
          <w:p w:rsidR="00212E00" w:rsidRDefault="00212E00" w:rsidP="0030619C">
            <w:pPr>
              <w:autoSpaceDE w:val="0"/>
              <w:autoSpaceDN w:val="0"/>
              <w:adjustRightInd w:val="0"/>
              <w:ind w:right="23"/>
              <w:jc w:val="right"/>
              <w:rPr>
                <w:rFonts w:ascii="Arial" w:hAnsi="Arial" w:cs="Arial"/>
                <w:color w:val="000000"/>
                <w:sz w:val="16"/>
                <w:szCs w:val="16"/>
              </w:rPr>
            </w:pPr>
            <w:r>
              <w:rPr>
                <w:rFonts w:ascii="Arial" w:hAnsi="Arial" w:cs="Arial"/>
                <w:color w:val="000000"/>
                <w:sz w:val="16"/>
                <w:szCs w:val="16"/>
              </w:rPr>
              <w:t>151 263,00 Kč</w:t>
            </w:r>
          </w:p>
        </w:tc>
        <w:tc>
          <w:tcPr>
            <w:tcW w:w="1247" w:type="dxa"/>
            <w:gridSpan w:val="2"/>
            <w:tcBorders>
              <w:top w:val="single" w:sz="4" w:space="0" w:color="C0C0C0"/>
            </w:tcBorders>
            <w:shd w:val="clear" w:color="auto" w:fill="FFFFFF"/>
          </w:tcPr>
          <w:p w:rsidR="00212E00" w:rsidRDefault="00212E00" w:rsidP="0030619C">
            <w:pPr>
              <w:autoSpaceDE w:val="0"/>
              <w:autoSpaceDN w:val="0"/>
              <w:adjustRightInd w:val="0"/>
              <w:ind w:right="25"/>
              <w:jc w:val="right"/>
              <w:rPr>
                <w:rFonts w:ascii="Arial" w:hAnsi="Arial" w:cs="Arial"/>
                <w:color w:val="000000"/>
                <w:sz w:val="16"/>
                <w:szCs w:val="16"/>
              </w:rPr>
            </w:pPr>
            <w:r>
              <w:rPr>
                <w:rFonts w:ascii="Arial" w:hAnsi="Arial" w:cs="Arial"/>
                <w:color w:val="000000"/>
                <w:sz w:val="16"/>
                <w:szCs w:val="16"/>
              </w:rPr>
              <w:t>720 300,00 Kč</w:t>
            </w:r>
          </w:p>
        </w:tc>
        <w:tc>
          <w:tcPr>
            <w:tcW w:w="1321" w:type="dxa"/>
            <w:tcBorders>
              <w:top w:val="single" w:sz="4" w:space="0" w:color="C0C0C0"/>
            </w:tcBorders>
            <w:shd w:val="clear" w:color="auto" w:fill="FFFFFF"/>
          </w:tcPr>
          <w:p w:rsidR="00212E00" w:rsidRDefault="00212E00" w:rsidP="0030619C">
            <w:pPr>
              <w:autoSpaceDE w:val="0"/>
              <w:autoSpaceDN w:val="0"/>
              <w:adjustRightInd w:val="0"/>
              <w:jc w:val="right"/>
              <w:rPr>
                <w:rFonts w:ascii="Arial" w:hAnsi="Arial" w:cs="Arial"/>
                <w:color w:val="000000"/>
                <w:sz w:val="16"/>
                <w:szCs w:val="16"/>
              </w:rPr>
            </w:pPr>
            <w:r>
              <w:rPr>
                <w:rFonts w:ascii="Arial" w:hAnsi="Arial" w:cs="Arial"/>
                <w:color w:val="000000"/>
                <w:sz w:val="16"/>
                <w:szCs w:val="16"/>
              </w:rPr>
              <w:t>871 563,00 Kč</w:t>
            </w:r>
          </w:p>
        </w:tc>
      </w:tr>
      <w:tr w:rsidR="00212E00" w:rsidTr="0030619C">
        <w:trPr>
          <w:gridAfter w:val="2"/>
          <w:wAfter w:w="8302" w:type="dxa"/>
        </w:trPr>
        <w:tc>
          <w:tcPr>
            <w:tcW w:w="340" w:type="dxa"/>
            <w:gridSpan w:val="2"/>
            <w:tcBorders>
              <w:top w:val="single" w:sz="4" w:space="0" w:color="C0C0C0"/>
            </w:tcBorders>
            <w:shd w:val="clear" w:color="auto" w:fill="FFFFFF"/>
          </w:tcPr>
          <w:p w:rsidR="00212E00" w:rsidRDefault="00212E00" w:rsidP="0030619C">
            <w:pPr>
              <w:autoSpaceDE w:val="0"/>
              <w:autoSpaceDN w:val="0"/>
              <w:adjustRightInd w:val="0"/>
              <w:ind w:right="7"/>
              <w:jc w:val="center"/>
              <w:rPr>
                <w:rFonts w:ascii="Arial" w:hAnsi="Arial" w:cs="Arial"/>
                <w:color w:val="000000"/>
                <w:sz w:val="16"/>
                <w:szCs w:val="16"/>
              </w:rPr>
            </w:pPr>
            <w:r>
              <w:rPr>
                <w:rFonts w:ascii="Arial" w:hAnsi="Arial" w:cs="Arial"/>
                <w:color w:val="000000"/>
                <w:sz w:val="16"/>
                <w:szCs w:val="16"/>
              </w:rPr>
              <w:t>2.</w:t>
            </w:r>
          </w:p>
        </w:tc>
        <w:tc>
          <w:tcPr>
            <w:tcW w:w="1247" w:type="dxa"/>
            <w:tcBorders>
              <w:top w:val="single" w:sz="4" w:space="0" w:color="C0C0C0"/>
            </w:tcBorders>
            <w:shd w:val="clear" w:color="auto" w:fill="FFFFFF"/>
          </w:tcPr>
          <w:p w:rsidR="00212E00" w:rsidRDefault="00212E00" w:rsidP="0030619C">
            <w:pPr>
              <w:autoSpaceDE w:val="0"/>
              <w:autoSpaceDN w:val="0"/>
              <w:adjustRightInd w:val="0"/>
              <w:ind w:right="25"/>
              <w:rPr>
                <w:rFonts w:ascii="Arial" w:hAnsi="Arial" w:cs="Arial"/>
                <w:color w:val="000000"/>
                <w:sz w:val="16"/>
                <w:szCs w:val="16"/>
              </w:rPr>
            </w:pPr>
            <w:r>
              <w:rPr>
                <w:rFonts w:ascii="Arial" w:hAnsi="Arial" w:cs="Arial"/>
                <w:color w:val="000000"/>
                <w:sz w:val="16"/>
                <w:szCs w:val="16"/>
              </w:rPr>
              <w:t>N5383430</w:t>
            </w:r>
          </w:p>
        </w:tc>
        <w:tc>
          <w:tcPr>
            <w:tcW w:w="2608" w:type="dxa"/>
            <w:tcBorders>
              <w:top w:val="single" w:sz="4" w:space="0" w:color="C0C0C0"/>
            </w:tcBorders>
            <w:shd w:val="clear" w:color="auto" w:fill="FFFFFF"/>
          </w:tcPr>
          <w:p w:rsidR="00212E00" w:rsidRDefault="00212E00" w:rsidP="0030619C">
            <w:pPr>
              <w:autoSpaceDE w:val="0"/>
              <w:autoSpaceDN w:val="0"/>
              <w:adjustRightInd w:val="0"/>
              <w:ind w:left="57" w:right="52"/>
              <w:rPr>
                <w:rFonts w:ascii="Arial" w:hAnsi="Arial" w:cs="Arial"/>
                <w:color w:val="000000"/>
                <w:sz w:val="16"/>
                <w:szCs w:val="16"/>
              </w:rPr>
            </w:pPr>
            <w:r>
              <w:rPr>
                <w:rFonts w:ascii="Arial" w:hAnsi="Arial" w:cs="Arial"/>
                <w:color w:val="000000"/>
                <w:sz w:val="16"/>
                <w:szCs w:val="16"/>
              </w:rPr>
              <w:t xml:space="preserve">TJF-Q180V </w:t>
            </w:r>
            <w:proofErr w:type="spellStart"/>
            <w:r>
              <w:rPr>
                <w:rFonts w:ascii="Arial" w:hAnsi="Arial" w:cs="Arial"/>
                <w:color w:val="000000"/>
                <w:sz w:val="16"/>
                <w:szCs w:val="16"/>
              </w:rPr>
              <w:t>Videoduodenoskop</w:t>
            </w:r>
            <w:proofErr w:type="spellEnd"/>
          </w:p>
          <w:p w:rsidR="00212E00" w:rsidRDefault="00212E00" w:rsidP="0030619C">
            <w:pPr>
              <w:autoSpaceDE w:val="0"/>
              <w:autoSpaceDN w:val="0"/>
              <w:adjustRightInd w:val="0"/>
              <w:ind w:left="57" w:right="52"/>
              <w:rPr>
                <w:rFonts w:ascii="Arial" w:hAnsi="Arial" w:cs="Arial"/>
                <w:color w:val="000000"/>
                <w:sz w:val="16"/>
                <w:szCs w:val="16"/>
              </w:rPr>
            </w:pPr>
            <w:r>
              <w:rPr>
                <w:rFonts w:ascii="Arial" w:hAnsi="Arial" w:cs="Arial"/>
                <w:color w:val="000000"/>
                <w:sz w:val="16"/>
                <w:szCs w:val="16"/>
              </w:rPr>
              <w:t xml:space="preserve"> – sleva 30%</w:t>
            </w:r>
          </w:p>
        </w:tc>
        <w:tc>
          <w:tcPr>
            <w:tcW w:w="1247" w:type="dxa"/>
            <w:tcBorders>
              <w:top w:val="single" w:sz="4" w:space="0" w:color="C0C0C0"/>
            </w:tcBorders>
            <w:shd w:val="clear" w:color="auto" w:fill="FFFFFF"/>
          </w:tcPr>
          <w:p w:rsidR="00212E00" w:rsidRDefault="00212E00" w:rsidP="0030619C">
            <w:pPr>
              <w:autoSpaceDE w:val="0"/>
              <w:autoSpaceDN w:val="0"/>
              <w:adjustRightInd w:val="0"/>
              <w:ind w:right="25"/>
              <w:jc w:val="right"/>
              <w:rPr>
                <w:rFonts w:ascii="Arial" w:hAnsi="Arial" w:cs="Arial"/>
                <w:color w:val="000000"/>
                <w:sz w:val="16"/>
                <w:szCs w:val="16"/>
              </w:rPr>
            </w:pPr>
            <w:r>
              <w:rPr>
                <w:rFonts w:ascii="Arial" w:hAnsi="Arial" w:cs="Arial"/>
                <w:color w:val="000000"/>
                <w:sz w:val="16"/>
                <w:szCs w:val="16"/>
              </w:rPr>
              <w:t>980 000,00 Kč</w:t>
            </w:r>
          </w:p>
        </w:tc>
        <w:tc>
          <w:tcPr>
            <w:tcW w:w="283" w:type="dxa"/>
            <w:tcBorders>
              <w:top w:val="single" w:sz="4" w:space="0" w:color="C0C0C0"/>
            </w:tcBorders>
            <w:shd w:val="clear" w:color="auto" w:fill="FFFFFF"/>
          </w:tcPr>
          <w:p w:rsidR="00212E00" w:rsidRDefault="00212E00" w:rsidP="0030619C">
            <w:pPr>
              <w:autoSpaceDE w:val="0"/>
              <w:autoSpaceDN w:val="0"/>
              <w:adjustRightInd w:val="0"/>
              <w:ind w:right="6"/>
              <w:jc w:val="center"/>
              <w:rPr>
                <w:rFonts w:ascii="Arial" w:hAnsi="Arial" w:cs="Arial"/>
                <w:color w:val="000000"/>
                <w:sz w:val="16"/>
                <w:szCs w:val="16"/>
              </w:rPr>
            </w:pPr>
            <w:r>
              <w:rPr>
                <w:rFonts w:ascii="Arial" w:hAnsi="Arial" w:cs="Arial"/>
                <w:color w:val="000000"/>
                <w:sz w:val="16"/>
                <w:szCs w:val="16"/>
              </w:rPr>
              <w:t>1</w:t>
            </w:r>
          </w:p>
        </w:tc>
        <w:tc>
          <w:tcPr>
            <w:tcW w:w="755" w:type="dxa"/>
            <w:tcBorders>
              <w:top w:val="single" w:sz="4" w:space="0" w:color="C0C0C0"/>
            </w:tcBorders>
            <w:shd w:val="clear" w:color="auto" w:fill="FFFFFF"/>
          </w:tcPr>
          <w:p w:rsidR="00212E00" w:rsidRDefault="00212E00" w:rsidP="0030619C">
            <w:pPr>
              <w:autoSpaceDE w:val="0"/>
              <w:autoSpaceDN w:val="0"/>
              <w:adjustRightInd w:val="0"/>
              <w:ind w:right="15"/>
              <w:jc w:val="center"/>
              <w:rPr>
                <w:rFonts w:ascii="Arial" w:hAnsi="Arial" w:cs="Arial"/>
                <w:color w:val="000000"/>
                <w:sz w:val="16"/>
                <w:szCs w:val="16"/>
              </w:rPr>
            </w:pPr>
            <w:r>
              <w:rPr>
                <w:rFonts w:ascii="Arial" w:hAnsi="Arial" w:cs="Arial"/>
                <w:color w:val="000000"/>
                <w:sz w:val="16"/>
                <w:szCs w:val="16"/>
              </w:rPr>
              <w:t>21 %</w:t>
            </w:r>
          </w:p>
        </w:tc>
        <w:tc>
          <w:tcPr>
            <w:tcW w:w="1134" w:type="dxa"/>
            <w:tcBorders>
              <w:top w:val="single" w:sz="4" w:space="0" w:color="C0C0C0"/>
            </w:tcBorders>
            <w:shd w:val="clear" w:color="auto" w:fill="FFFFFF"/>
          </w:tcPr>
          <w:p w:rsidR="00212E00" w:rsidRDefault="00212E00" w:rsidP="0030619C">
            <w:pPr>
              <w:autoSpaceDE w:val="0"/>
              <w:autoSpaceDN w:val="0"/>
              <w:adjustRightInd w:val="0"/>
              <w:ind w:right="23"/>
              <w:jc w:val="right"/>
              <w:rPr>
                <w:rFonts w:ascii="Arial" w:hAnsi="Arial" w:cs="Arial"/>
                <w:color w:val="000000"/>
                <w:sz w:val="16"/>
                <w:szCs w:val="16"/>
              </w:rPr>
            </w:pPr>
            <w:r>
              <w:rPr>
                <w:rFonts w:ascii="Arial" w:hAnsi="Arial" w:cs="Arial"/>
                <w:color w:val="000000"/>
                <w:sz w:val="16"/>
                <w:szCs w:val="16"/>
              </w:rPr>
              <w:t>144 060,00 Kč</w:t>
            </w:r>
          </w:p>
        </w:tc>
        <w:tc>
          <w:tcPr>
            <w:tcW w:w="1247" w:type="dxa"/>
            <w:gridSpan w:val="2"/>
            <w:tcBorders>
              <w:top w:val="single" w:sz="4" w:space="0" w:color="C0C0C0"/>
            </w:tcBorders>
            <w:shd w:val="clear" w:color="auto" w:fill="FFFFFF"/>
          </w:tcPr>
          <w:p w:rsidR="00212E00" w:rsidRDefault="00212E00" w:rsidP="0030619C">
            <w:pPr>
              <w:autoSpaceDE w:val="0"/>
              <w:autoSpaceDN w:val="0"/>
              <w:adjustRightInd w:val="0"/>
              <w:ind w:right="25"/>
              <w:jc w:val="right"/>
              <w:rPr>
                <w:rFonts w:ascii="Arial" w:hAnsi="Arial" w:cs="Arial"/>
                <w:color w:val="000000"/>
                <w:sz w:val="16"/>
                <w:szCs w:val="16"/>
              </w:rPr>
            </w:pPr>
            <w:r>
              <w:rPr>
                <w:rFonts w:ascii="Arial" w:hAnsi="Arial" w:cs="Arial"/>
                <w:color w:val="000000"/>
                <w:sz w:val="16"/>
                <w:szCs w:val="16"/>
              </w:rPr>
              <w:t>686 000,00 Kč</w:t>
            </w:r>
          </w:p>
        </w:tc>
        <w:tc>
          <w:tcPr>
            <w:tcW w:w="1321" w:type="dxa"/>
            <w:tcBorders>
              <w:top w:val="single" w:sz="4" w:space="0" w:color="C0C0C0"/>
            </w:tcBorders>
            <w:shd w:val="clear" w:color="auto" w:fill="FFFFFF"/>
          </w:tcPr>
          <w:p w:rsidR="00212E00" w:rsidRDefault="00212E00" w:rsidP="0030619C">
            <w:pPr>
              <w:autoSpaceDE w:val="0"/>
              <w:autoSpaceDN w:val="0"/>
              <w:adjustRightInd w:val="0"/>
              <w:jc w:val="right"/>
              <w:rPr>
                <w:rFonts w:ascii="Arial" w:hAnsi="Arial" w:cs="Arial"/>
                <w:color w:val="000000"/>
                <w:sz w:val="16"/>
                <w:szCs w:val="16"/>
              </w:rPr>
            </w:pPr>
            <w:r>
              <w:rPr>
                <w:rFonts w:ascii="Arial" w:hAnsi="Arial" w:cs="Arial"/>
                <w:color w:val="000000"/>
                <w:sz w:val="16"/>
                <w:szCs w:val="16"/>
              </w:rPr>
              <w:t>830 060,00 Kč</w:t>
            </w:r>
          </w:p>
        </w:tc>
      </w:tr>
      <w:tr w:rsidR="00212E00" w:rsidTr="0030619C">
        <w:trPr>
          <w:gridAfter w:val="2"/>
          <w:wAfter w:w="8302" w:type="dxa"/>
        </w:trPr>
        <w:tc>
          <w:tcPr>
            <w:tcW w:w="340" w:type="dxa"/>
            <w:gridSpan w:val="2"/>
            <w:tcBorders>
              <w:top w:val="single" w:sz="4" w:space="0" w:color="C0C0C0"/>
            </w:tcBorders>
            <w:shd w:val="clear" w:color="auto" w:fill="FFFFFF"/>
          </w:tcPr>
          <w:p w:rsidR="00212E00" w:rsidRDefault="00212E00" w:rsidP="0030619C">
            <w:pPr>
              <w:autoSpaceDE w:val="0"/>
              <w:autoSpaceDN w:val="0"/>
              <w:adjustRightInd w:val="0"/>
              <w:ind w:right="7"/>
              <w:jc w:val="center"/>
              <w:rPr>
                <w:rFonts w:ascii="Arial" w:hAnsi="Arial" w:cs="Arial"/>
                <w:color w:val="000000"/>
                <w:sz w:val="16"/>
                <w:szCs w:val="16"/>
              </w:rPr>
            </w:pPr>
            <w:r>
              <w:rPr>
                <w:rFonts w:ascii="Arial" w:hAnsi="Arial" w:cs="Arial"/>
                <w:color w:val="000000"/>
                <w:sz w:val="16"/>
                <w:szCs w:val="16"/>
              </w:rPr>
              <w:t>3.</w:t>
            </w:r>
          </w:p>
        </w:tc>
        <w:tc>
          <w:tcPr>
            <w:tcW w:w="1247" w:type="dxa"/>
            <w:tcBorders>
              <w:top w:val="single" w:sz="4" w:space="0" w:color="C0C0C0"/>
            </w:tcBorders>
            <w:shd w:val="clear" w:color="auto" w:fill="FFFFFF"/>
          </w:tcPr>
          <w:p w:rsidR="00212E00" w:rsidRDefault="00212E00" w:rsidP="0030619C">
            <w:pPr>
              <w:autoSpaceDE w:val="0"/>
              <w:autoSpaceDN w:val="0"/>
              <w:adjustRightInd w:val="0"/>
              <w:ind w:right="25"/>
              <w:rPr>
                <w:rFonts w:ascii="Arial" w:hAnsi="Arial" w:cs="Arial"/>
                <w:color w:val="000000"/>
                <w:sz w:val="16"/>
                <w:szCs w:val="16"/>
              </w:rPr>
            </w:pPr>
            <w:r>
              <w:rPr>
                <w:rFonts w:ascii="Arial" w:hAnsi="Arial" w:cs="Arial"/>
                <w:color w:val="000000"/>
                <w:sz w:val="16"/>
                <w:szCs w:val="16"/>
              </w:rPr>
              <w:t>E0425642</w:t>
            </w:r>
          </w:p>
        </w:tc>
        <w:tc>
          <w:tcPr>
            <w:tcW w:w="2608" w:type="dxa"/>
            <w:tcBorders>
              <w:top w:val="single" w:sz="4" w:space="0" w:color="C0C0C0"/>
            </w:tcBorders>
            <w:shd w:val="clear" w:color="auto" w:fill="FFFFFF"/>
          </w:tcPr>
          <w:p w:rsidR="00212E00" w:rsidRDefault="00212E00" w:rsidP="0030619C">
            <w:pPr>
              <w:autoSpaceDE w:val="0"/>
              <w:autoSpaceDN w:val="0"/>
              <w:adjustRightInd w:val="0"/>
              <w:ind w:left="57" w:right="52"/>
              <w:rPr>
                <w:rFonts w:ascii="Arial" w:hAnsi="Arial" w:cs="Arial"/>
                <w:color w:val="000000"/>
                <w:sz w:val="16"/>
                <w:szCs w:val="16"/>
              </w:rPr>
            </w:pPr>
            <w:r>
              <w:rPr>
                <w:rFonts w:ascii="Arial" w:hAnsi="Arial" w:cs="Arial"/>
                <w:color w:val="000000"/>
                <w:sz w:val="16"/>
                <w:szCs w:val="16"/>
              </w:rPr>
              <w:t xml:space="preserve">EDC Plus model D sušící a skladovací </w:t>
            </w:r>
            <w:proofErr w:type="spellStart"/>
            <w:r>
              <w:rPr>
                <w:rFonts w:ascii="Arial" w:hAnsi="Arial" w:cs="Arial"/>
                <w:color w:val="000000"/>
                <w:sz w:val="16"/>
                <w:szCs w:val="16"/>
              </w:rPr>
              <w:t>skříˇpro</w:t>
            </w:r>
            <w:proofErr w:type="spellEnd"/>
            <w:r>
              <w:rPr>
                <w:rFonts w:ascii="Arial" w:hAnsi="Arial" w:cs="Arial"/>
                <w:color w:val="000000"/>
                <w:sz w:val="16"/>
                <w:szCs w:val="16"/>
              </w:rPr>
              <w:t xml:space="preserve"> </w:t>
            </w:r>
            <w:proofErr w:type="spellStart"/>
            <w:r>
              <w:rPr>
                <w:rFonts w:ascii="Arial" w:hAnsi="Arial" w:cs="Arial"/>
                <w:color w:val="000000"/>
                <w:sz w:val="16"/>
                <w:szCs w:val="16"/>
              </w:rPr>
              <w:t>flex</w:t>
            </w:r>
            <w:proofErr w:type="spellEnd"/>
            <w:r>
              <w:rPr>
                <w:rFonts w:ascii="Arial" w:hAnsi="Arial" w:cs="Arial"/>
                <w:color w:val="000000"/>
                <w:sz w:val="16"/>
                <w:szCs w:val="16"/>
              </w:rPr>
              <w:t>. endoskopy – sleva 10%</w:t>
            </w:r>
          </w:p>
        </w:tc>
        <w:tc>
          <w:tcPr>
            <w:tcW w:w="1247" w:type="dxa"/>
            <w:tcBorders>
              <w:top w:val="single" w:sz="4" w:space="0" w:color="C0C0C0"/>
            </w:tcBorders>
            <w:shd w:val="clear" w:color="auto" w:fill="FFFFFF"/>
          </w:tcPr>
          <w:p w:rsidR="00212E00" w:rsidRDefault="00212E00" w:rsidP="0030619C">
            <w:pPr>
              <w:autoSpaceDE w:val="0"/>
              <w:autoSpaceDN w:val="0"/>
              <w:adjustRightInd w:val="0"/>
              <w:ind w:right="25"/>
              <w:jc w:val="right"/>
              <w:rPr>
                <w:rFonts w:ascii="Arial" w:hAnsi="Arial" w:cs="Arial"/>
                <w:color w:val="000000"/>
                <w:sz w:val="16"/>
                <w:szCs w:val="16"/>
              </w:rPr>
            </w:pPr>
            <w:r>
              <w:rPr>
                <w:rFonts w:ascii="Arial" w:hAnsi="Arial" w:cs="Arial"/>
                <w:color w:val="000000"/>
                <w:sz w:val="16"/>
                <w:szCs w:val="16"/>
              </w:rPr>
              <w:t>500 000,00 Kč</w:t>
            </w:r>
          </w:p>
        </w:tc>
        <w:tc>
          <w:tcPr>
            <w:tcW w:w="283" w:type="dxa"/>
            <w:tcBorders>
              <w:top w:val="single" w:sz="4" w:space="0" w:color="C0C0C0"/>
            </w:tcBorders>
            <w:shd w:val="clear" w:color="auto" w:fill="FFFFFF"/>
          </w:tcPr>
          <w:p w:rsidR="00212E00" w:rsidRDefault="00212E00" w:rsidP="0030619C">
            <w:pPr>
              <w:autoSpaceDE w:val="0"/>
              <w:autoSpaceDN w:val="0"/>
              <w:adjustRightInd w:val="0"/>
              <w:ind w:right="6"/>
              <w:jc w:val="center"/>
              <w:rPr>
                <w:rFonts w:ascii="Arial" w:hAnsi="Arial" w:cs="Arial"/>
                <w:color w:val="000000"/>
                <w:sz w:val="16"/>
                <w:szCs w:val="16"/>
              </w:rPr>
            </w:pPr>
            <w:r>
              <w:rPr>
                <w:rFonts w:ascii="Arial" w:hAnsi="Arial" w:cs="Arial"/>
                <w:color w:val="000000"/>
                <w:sz w:val="16"/>
                <w:szCs w:val="16"/>
              </w:rPr>
              <w:t>1</w:t>
            </w:r>
          </w:p>
        </w:tc>
        <w:tc>
          <w:tcPr>
            <w:tcW w:w="755" w:type="dxa"/>
            <w:tcBorders>
              <w:top w:val="single" w:sz="4" w:space="0" w:color="C0C0C0"/>
            </w:tcBorders>
            <w:shd w:val="clear" w:color="auto" w:fill="FFFFFF"/>
          </w:tcPr>
          <w:p w:rsidR="00212E00" w:rsidRDefault="00212E00" w:rsidP="0030619C">
            <w:pPr>
              <w:autoSpaceDE w:val="0"/>
              <w:autoSpaceDN w:val="0"/>
              <w:adjustRightInd w:val="0"/>
              <w:ind w:right="15"/>
              <w:jc w:val="center"/>
              <w:rPr>
                <w:rFonts w:ascii="Arial" w:hAnsi="Arial" w:cs="Arial"/>
                <w:color w:val="000000"/>
                <w:sz w:val="16"/>
                <w:szCs w:val="16"/>
              </w:rPr>
            </w:pPr>
            <w:r>
              <w:rPr>
                <w:rFonts w:ascii="Arial" w:hAnsi="Arial" w:cs="Arial"/>
                <w:color w:val="000000"/>
                <w:sz w:val="16"/>
                <w:szCs w:val="16"/>
              </w:rPr>
              <w:t>21 %</w:t>
            </w:r>
          </w:p>
        </w:tc>
        <w:tc>
          <w:tcPr>
            <w:tcW w:w="1134" w:type="dxa"/>
            <w:tcBorders>
              <w:top w:val="single" w:sz="4" w:space="0" w:color="C0C0C0"/>
            </w:tcBorders>
            <w:shd w:val="clear" w:color="auto" w:fill="FFFFFF"/>
          </w:tcPr>
          <w:p w:rsidR="00212E00" w:rsidRDefault="00212E00" w:rsidP="0030619C">
            <w:pPr>
              <w:autoSpaceDE w:val="0"/>
              <w:autoSpaceDN w:val="0"/>
              <w:adjustRightInd w:val="0"/>
              <w:ind w:right="23"/>
              <w:jc w:val="right"/>
              <w:rPr>
                <w:rFonts w:ascii="Arial" w:hAnsi="Arial" w:cs="Arial"/>
                <w:color w:val="000000"/>
                <w:sz w:val="16"/>
                <w:szCs w:val="16"/>
              </w:rPr>
            </w:pPr>
            <w:r>
              <w:rPr>
                <w:rFonts w:ascii="Arial" w:hAnsi="Arial" w:cs="Arial"/>
                <w:color w:val="000000"/>
                <w:sz w:val="16"/>
                <w:szCs w:val="16"/>
              </w:rPr>
              <w:t>94 500,00 Kč</w:t>
            </w:r>
          </w:p>
        </w:tc>
        <w:tc>
          <w:tcPr>
            <w:tcW w:w="1247" w:type="dxa"/>
            <w:gridSpan w:val="2"/>
            <w:tcBorders>
              <w:top w:val="single" w:sz="4" w:space="0" w:color="C0C0C0"/>
            </w:tcBorders>
            <w:shd w:val="clear" w:color="auto" w:fill="FFFFFF"/>
          </w:tcPr>
          <w:p w:rsidR="00212E00" w:rsidRDefault="00212E00" w:rsidP="0030619C">
            <w:pPr>
              <w:autoSpaceDE w:val="0"/>
              <w:autoSpaceDN w:val="0"/>
              <w:adjustRightInd w:val="0"/>
              <w:ind w:right="25"/>
              <w:jc w:val="right"/>
              <w:rPr>
                <w:rFonts w:ascii="Arial" w:hAnsi="Arial" w:cs="Arial"/>
                <w:color w:val="000000"/>
                <w:sz w:val="16"/>
                <w:szCs w:val="16"/>
              </w:rPr>
            </w:pPr>
            <w:r>
              <w:rPr>
                <w:rFonts w:ascii="Arial" w:hAnsi="Arial" w:cs="Arial"/>
                <w:color w:val="000000"/>
                <w:sz w:val="16"/>
                <w:szCs w:val="16"/>
              </w:rPr>
              <w:t>450 000,00 Kč</w:t>
            </w:r>
          </w:p>
        </w:tc>
        <w:tc>
          <w:tcPr>
            <w:tcW w:w="1321" w:type="dxa"/>
            <w:tcBorders>
              <w:top w:val="single" w:sz="4" w:space="0" w:color="C0C0C0"/>
            </w:tcBorders>
            <w:shd w:val="clear" w:color="auto" w:fill="FFFFFF"/>
          </w:tcPr>
          <w:p w:rsidR="00212E00" w:rsidRDefault="00212E00" w:rsidP="0030619C">
            <w:pPr>
              <w:autoSpaceDE w:val="0"/>
              <w:autoSpaceDN w:val="0"/>
              <w:adjustRightInd w:val="0"/>
              <w:jc w:val="right"/>
              <w:rPr>
                <w:rFonts w:ascii="Arial" w:hAnsi="Arial" w:cs="Arial"/>
                <w:color w:val="000000"/>
                <w:sz w:val="16"/>
                <w:szCs w:val="16"/>
              </w:rPr>
            </w:pPr>
            <w:r>
              <w:rPr>
                <w:rFonts w:ascii="Arial" w:hAnsi="Arial" w:cs="Arial"/>
                <w:color w:val="000000"/>
                <w:sz w:val="16"/>
                <w:szCs w:val="16"/>
              </w:rPr>
              <w:t>544 500,00 Kč</w:t>
            </w:r>
          </w:p>
        </w:tc>
      </w:tr>
      <w:tr w:rsidR="00212E00" w:rsidTr="0030619C">
        <w:trPr>
          <w:gridAfter w:val="2"/>
          <w:wAfter w:w="8302" w:type="dxa"/>
        </w:trPr>
        <w:tc>
          <w:tcPr>
            <w:tcW w:w="340" w:type="dxa"/>
            <w:gridSpan w:val="2"/>
            <w:tcBorders>
              <w:top w:val="single" w:sz="4" w:space="0" w:color="C0C0C0"/>
            </w:tcBorders>
            <w:shd w:val="clear" w:color="auto" w:fill="FFFFFF"/>
          </w:tcPr>
          <w:p w:rsidR="00212E00" w:rsidRDefault="00212E00" w:rsidP="0030619C">
            <w:pPr>
              <w:autoSpaceDE w:val="0"/>
              <w:autoSpaceDN w:val="0"/>
              <w:adjustRightInd w:val="0"/>
              <w:ind w:right="7"/>
              <w:jc w:val="center"/>
              <w:rPr>
                <w:rFonts w:ascii="Arial" w:hAnsi="Arial" w:cs="Arial"/>
                <w:color w:val="000000"/>
                <w:sz w:val="16"/>
                <w:szCs w:val="16"/>
              </w:rPr>
            </w:pPr>
            <w:r>
              <w:rPr>
                <w:rFonts w:ascii="Arial" w:hAnsi="Arial" w:cs="Arial"/>
                <w:color w:val="000000"/>
                <w:sz w:val="16"/>
                <w:szCs w:val="16"/>
              </w:rPr>
              <w:t>4.</w:t>
            </w:r>
          </w:p>
        </w:tc>
        <w:tc>
          <w:tcPr>
            <w:tcW w:w="1247" w:type="dxa"/>
            <w:tcBorders>
              <w:top w:val="single" w:sz="4" w:space="0" w:color="C0C0C0"/>
            </w:tcBorders>
            <w:shd w:val="clear" w:color="auto" w:fill="FFFFFF"/>
          </w:tcPr>
          <w:p w:rsidR="00212E00" w:rsidRDefault="00212E00" w:rsidP="0030619C">
            <w:pPr>
              <w:autoSpaceDE w:val="0"/>
              <w:autoSpaceDN w:val="0"/>
              <w:adjustRightInd w:val="0"/>
              <w:ind w:right="25"/>
              <w:rPr>
                <w:rFonts w:ascii="Arial" w:hAnsi="Arial" w:cs="Arial"/>
                <w:color w:val="000000"/>
                <w:sz w:val="16"/>
                <w:szCs w:val="16"/>
              </w:rPr>
            </w:pPr>
            <w:r>
              <w:rPr>
                <w:rFonts w:ascii="Arial" w:hAnsi="Arial" w:cs="Arial"/>
                <w:color w:val="000000"/>
                <w:sz w:val="16"/>
                <w:szCs w:val="16"/>
              </w:rPr>
              <w:t>E0425652</w:t>
            </w:r>
          </w:p>
        </w:tc>
        <w:tc>
          <w:tcPr>
            <w:tcW w:w="2608" w:type="dxa"/>
            <w:tcBorders>
              <w:top w:val="single" w:sz="4" w:space="0" w:color="C0C0C0"/>
            </w:tcBorders>
            <w:shd w:val="clear" w:color="auto" w:fill="FFFFFF"/>
          </w:tcPr>
          <w:p w:rsidR="00212E00" w:rsidRDefault="00212E00" w:rsidP="0030619C">
            <w:pPr>
              <w:autoSpaceDE w:val="0"/>
              <w:autoSpaceDN w:val="0"/>
              <w:adjustRightInd w:val="0"/>
              <w:ind w:left="57" w:right="52"/>
              <w:rPr>
                <w:rFonts w:ascii="Arial" w:hAnsi="Arial" w:cs="Arial"/>
                <w:color w:val="000000"/>
                <w:sz w:val="16"/>
                <w:szCs w:val="16"/>
              </w:rPr>
            </w:pPr>
            <w:r>
              <w:rPr>
                <w:rFonts w:ascii="Arial" w:hAnsi="Arial" w:cs="Arial"/>
                <w:color w:val="000000"/>
                <w:sz w:val="16"/>
                <w:szCs w:val="16"/>
              </w:rPr>
              <w:t xml:space="preserve">EDC Plus Adapter Set </w:t>
            </w:r>
            <w:proofErr w:type="spellStart"/>
            <w:r>
              <w:rPr>
                <w:rFonts w:ascii="Arial" w:hAnsi="Arial" w:cs="Arial"/>
                <w:color w:val="000000"/>
                <w:sz w:val="16"/>
                <w:szCs w:val="16"/>
              </w:rPr>
              <w:t>Olympus</w:t>
            </w:r>
            <w:proofErr w:type="spellEnd"/>
            <w:r>
              <w:rPr>
                <w:rFonts w:ascii="Arial" w:hAnsi="Arial" w:cs="Arial"/>
                <w:color w:val="000000"/>
                <w:sz w:val="16"/>
                <w:szCs w:val="16"/>
              </w:rPr>
              <w:t xml:space="preserve"> 2</w:t>
            </w:r>
          </w:p>
          <w:p w:rsidR="00212E00" w:rsidRDefault="00212E00" w:rsidP="0030619C">
            <w:pPr>
              <w:autoSpaceDE w:val="0"/>
              <w:autoSpaceDN w:val="0"/>
              <w:adjustRightInd w:val="0"/>
              <w:ind w:left="57" w:right="52"/>
              <w:rPr>
                <w:rFonts w:ascii="Arial" w:hAnsi="Arial" w:cs="Arial"/>
                <w:color w:val="000000"/>
                <w:sz w:val="16"/>
                <w:szCs w:val="16"/>
              </w:rPr>
            </w:pPr>
            <w:r>
              <w:rPr>
                <w:rFonts w:ascii="Arial" w:hAnsi="Arial" w:cs="Arial"/>
                <w:color w:val="000000"/>
                <w:sz w:val="16"/>
                <w:szCs w:val="16"/>
              </w:rPr>
              <w:t xml:space="preserve">pro flexibilní endoskopy </w:t>
            </w:r>
          </w:p>
          <w:p w:rsidR="00212E00" w:rsidRDefault="00212E00" w:rsidP="0030619C">
            <w:pPr>
              <w:autoSpaceDE w:val="0"/>
              <w:autoSpaceDN w:val="0"/>
              <w:adjustRightInd w:val="0"/>
              <w:ind w:left="57" w:right="52"/>
              <w:rPr>
                <w:rFonts w:ascii="Arial" w:hAnsi="Arial" w:cs="Arial"/>
                <w:color w:val="000000"/>
                <w:sz w:val="16"/>
                <w:szCs w:val="16"/>
              </w:rPr>
            </w:pPr>
            <w:r>
              <w:rPr>
                <w:rFonts w:ascii="Arial" w:hAnsi="Arial" w:cs="Arial"/>
                <w:color w:val="000000"/>
                <w:sz w:val="16"/>
                <w:szCs w:val="16"/>
              </w:rPr>
              <w:t>– sleva 10%</w:t>
            </w:r>
          </w:p>
        </w:tc>
        <w:tc>
          <w:tcPr>
            <w:tcW w:w="1247" w:type="dxa"/>
            <w:tcBorders>
              <w:top w:val="single" w:sz="4" w:space="0" w:color="C0C0C0"/>
            </w:tcBorders>
            <w:shd w:val="clear" w:color="auto" w:fill="FFFFFF"/>
          </w:tcPr>
          <w:p w:rsidR="00212E00" w:rsidRDefault="00212E00" w:rsidP="0030619C">
            <w:pPr>
              <w:autoSpaceDE w:val="0"/>
              <w:autoSpaceDN w:val="0"/>
              <w:adjustRightInd w:val="0"/>
              <w:ind w:right="25"/>
              <w:jc w:val="right"/>
              <w:rPr>
                <w:rFonts w:ascii="Arial" w:hAnsi="Arial" w:cs="Arial"/>
                <w:color w:val="000000"/>
                <w:sz w:val="16"/>
                <w:szCs w:val="16"/>
              </w:rPr>
            </w:pPr>
            <w:r>
              <w:rPr>
                <w:rFonts w:ascii="Arial" w:hAnsi="Arial" w:cs="Arial"/>
                <w:color w:val="000000"/>
                <w:sz w:val="16"/>
                <w:szCs w:val="16"/>
              </w:rPr>
              <w:t>9 000,00 Kč</w:t>
            </w:r>
          </w:p>
        </w:tc>
        <w:tc>
          <w:tcPr>
            <w:tcW w:w="283" w:type="dxa"/>
            <w:tcBorders>
              <w:top w:val="single" w:sz="4" w:space="0" w:color="C0C0C0"/>
            </w:tcBorders>
            <w:shd w:val="clear" w:color="auto" w:fill="FFFFFF"/>
          </w:tcPr>
          <w:p w:rsidR="00212E00" w:rsidRDefault="00212E00" w:rsidP="0030619C">
            <w:pPr>
              <w:autoSpaceDE w:val="0"/>
              <w:autoSpaceDN w:val="0"/>
              <w:adjustRightInd w:val="0"/>
              <w:ind w:right="6"/>
              <w:jc w:val="center"/>
              <w:rPr>
                <w:rFonts w:ascii="Arial" w:hAnsi="Arial" w:cs="Arial"/>
                <w:color w:val="000000"/>
                <w:sz w:val="16"/>
                <w:szCs w:val="16"/>
              </w:rPr>
            </w:pPr>
            <w:r>
              <w:rPr>
                <w:rFonts w:ascii="Arial" w:hAnsi="Arial" w:cs="Arial"/>
                <w:color w:val="000000"/>
                <w:sz w:val="16"/>
                <w:szCs w:val="16"/>
              </w:rPr>
              <w:t>8</w:t>
            </w:r>
          </w:p>
        </w:tc>
        <w:tc>
          <w:tcPr>
            <w:tcW w:w="755" w:type="dxa"/>
            <w:tcBorders>
              <w:top w:val="single" w:sz="4" w:space="0" w:color="C0C0C0"/>
            </w:tcBorders>
            <w:shd w:val="clear" w:color="auto" w:fill="FFFFFF"/>
          </w:tcPr>
          <w:p w:rsidR="00212E00" w:rsidRDefault="00212E00" w:rsidP="0030619C">
            <w:pPr>
              <w:autoSpaceDE w:val="0"/>
              <w:autoSpaceDN w:val="0"/>
              <w:adjustRightInd w:val="0"/>
              <w:ind w:right="15"/>
              <w:jc w:val="center"/>
              <w:rPr>
                <w:rFonts w:ascii="Arial" w:hAnsi="Arial" w:cs="Arial"/>
                <w:color w:val="000000"/>
                <w:sz w:val="16"/>
                <w:szCs w:val="16"/>
              </w:rPr>
            </w:pPr>
            <w:r>
              <w:rPr>
                <w:rFonts w:ascii="Arial" w:hAnsi="Arial" w:cs="Arial"/>
                <w:color w:val="000000"/>
                <w:sz w:val="16"/>
                <w:szCs w:val="16"/>
              </w:rPr>
              <w:t>21 %</w:t>
            </w:r>
          </w:p>
        </w:tc>
        <w:tc>
          <w:tcPr>
            <w:tcW w:w="1134" w:type="dxa"/>
            <w:tcBorders>
              <w:top w:val="single" w:sz="4" w:space="0" w:color="C0C0C0"/>
            </w:tcBorders>
            <w:shd w:val="clear" w:color="auto" w:fill="FFFFFF"/>
          </w:tcPr>
          <w:p w:rsidR="00212E00" w:rsidRDefault="00212E00" w:rsidP="0030619C">
            <w:pPr>
              <w:autoSpaceDE w:val="0"/>
              <w:autoSpaceDN w:val="0"/>
              <w:adjustRightInd w:val="0"/>
              <w:ind w:right="23"/>
              <w:jc w:val="right"/>
              <w:rPr>
                <w:rFonts w:ascii="Arial" w:hAnsi="Arial" w:cs="Arial"/>
                <w:color w:val="000000"/>
                <w:sz w:val="16"/>
                <w:szCs w:val="16"/>
              </w:rPr>
            </w:pPr>
            <w:r>
              <w:rPr>
                <w:rFonts w:ascii="Arial" w:hAnsi="Arial" w:cs="Arial"/>
                <w:color w:val="000000"/>
                <w:sz w:val="16"/>
                <w:szCs w:val="16"/>
              </w:rPr>
              <w:t>13 608,00 Kč</w:t>
            </w:r>
          </w:p>
        </w:tc>
        <w:tc>
          <w:tcPr>
            <w:tcW w:w="1247" w:type="dxa"/>
            <w:gridSpan w:val="2"/>
            <w:tcBorders>
              <w:top w:val="single" w:sz="4" w:space="0" w:color="C0C0C0"/>
            </w:tcBorders>
            <w:shd w:val="clear" w:color="auto" w:fill="FFFFFF"/>
          </w:tcPr>
          <w:p w:rsidR="00212E00" w:rsidRDefault="00212E00" w:rsidP="0030619C">
            <w:pPr>
              <w:autoSpaceDE w:val="0"/>
              <w:autoSpaceDN w:val="0"/>
              <w:adjustRightInd w:val="0"/>
              <w:ind w:right="25"/>
              <w:jc w:val="right"/>
              <w:rPr>
                <w:rFonts w:ascii="Arial" w:hAnsi="Arial" w:cs="Arial"/>
                <w:color w:val="000000"/>
                <w:sz w:val="16"/>
                <w:szCs w:val="16"/>
              </w:rPr>
            </w:pPr>
            <w:r>
              <w:rPr>
                <w:rFonts w:ascii="Arial" w:hAnsi="Arial" w:cs="Arial"/>
                <w:color w:val="000000"/>
                <w:sz w:val="16"/>
                <w:szCs w:val="16"/>
              </w:rPr>
              <w:t>64 800,00 Kč</w:t>
            </w:r>
          </w:p>
        </w:tc>
        <w:tc>
          <w:tcPr>
            <w:tcW w:w="1321" w:type="dxa"/>
            <w:tcBorders>
              <w:top w:val="single" w:sz="4" w:space="0" w:color="C0C0C0"/>
            </w:tcBorders>
            <w:shd w:val="clear" w:color="auto" w:fill="FFFFFF"/>
          </w:tcPr>
          <w:p w:rsidR="00212E00" w:rsidRDefault="00212E00" w:rsidP="0030619C">
            <w:pPr>
              <w:autoSpaceDE w:val="0"/>
              <w:autoSpaceDN w:val="0"/>
              <w:adjustRightInd w:val="0"/>
              <w:jc w:val="right"/>
              <w:rPr>
                <w:rFonts w:ascii="Arial" w:hAnsi="Arial" w:cs="Arial"/>
                <w:color w:val="000000"/>
                <w:sz w:val="16"/>
                <w:szCs w:val="16"/>
              </w:rPr>
            </w:pPr>
            <w:r>
              <w:rPr>
                <w:rFonts w:ascii="Arial" w:hAnsi="Arial" w:cs="Arial"/>
                <w:color w:val="000000"/>
                <w:sz w:val="16"/>
                <w:szCs w:val="16"/>
              </w:rPr>
              <w:t>78 408,00 Kč</w:t>
            </w:r>
          </w:p>
        </w:tc>
      </w:tr>
      <w:tr w:rsidR="00212E00" w:rsidTr="0030619C">
        <w:trPr>
          <w:gridBefore w:val="1"/>
          <w:wBefore w:w="242" w:type="dxa"/>
        </w:trPr>
        <w:tc>
          <w:tcPr>
            <w:tcW w:w="18242" w:type="dxa"/>
            <w:gridSpan w:val="12"/>
            <w:shd w:val="clear" w:color="auto" w:fill="FFFFFF"/>
          </w:tcPr>
          <w:p w:rsidR="00212E00" w:rsidRDefault="00212E00" w:rsidP="0030619C">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Arial" w:hAnsi="Arial" w:cs="Arial"/>
                <w:color w:val="000000"/>
                <w:sz w:val="16"/>
                <w:szCs w:val="16"/>
              </w:rPr>
            </w:pPr>
          </w:p>
        </w:tc>
      </w:tr>
      <w:tr w:rsidR="00212E00" w:rsidTr="0030619C">
        <w:tblPrEx>
          <w:tblCellMar>
            <w:top w:w="0" w:type="dxa"/>
            <w:bottom w:w="0" w:type="dxa"/>
          </w:tblCellMar>
        </w:tblPrEx>
        <w:trPr>
          <w:gridAfter w:val="2"/>
          <w:wAfter w:w="8302" w:type="dxa"/>
        </w:trPr>
        <w:tc>
          <w:tcPr>
            <w:tcW w:w="7654" w:type="dxa"/>
            <w:gridSpan w:val="9"/>
            <w:tcBorders>
              <w:top w:val="single" w:sz="9" w:space="0" w:color="808080"/>
            </w:tcBorders>
          </w:tcPr>
          <w:p w:rsidR="00212E00" w:rsidRDefault="00212E00" w:rsidP="0030619C">
            <w:pPr>
              <w:autoSpaceDE w:val="0"/>
              <w:autoSpaceDN w:val="0"/>
              <w:adjustRightInd w:val="0"/>
              <w:ind w:right="153"/>
              <w:jc w:val="right"/>
              <w:rPr>
                <w:rFonts w:ascii="Arial" w:hAnsi="Arial" w:cs="Arial"/>
                <w:b/>
                <w:bCs/>
                <w:color w:val="000000"/>
                <w:sz w:val="18"/>
                <w:szCs w:val="18"/>
              </w:rPr>
            </w:pPr>
            <w:r>
              <w:rPr>
                <w:rFonts w:ascii="Arial" w:hAnsi="Arial" w:cs="Arial"/>
                <w:b/>
                <w:bCs/>
                <w:color w:val="000000"/>
                <w:sz w:val="18"/>
                <w:szCs w:val="18"/>
              </w:rPr>
              <w:t>Celková cena bez DPH:</w:t>
            </w:r>
          </w:p>
        </w:tc>
        <w:tc>
          <w:tcPr>
            <w:tcW w:w="2528" w:type="dxa"/>
            <w:gridSpan w:val="2"/>
            <w:tcBorders>
              <w:top w:val="single" w:sz="9" w:space="0" w:color="808080"/>
              <w:bottom w:val="single" w:sz="4" w:space="0" w:color="C0C0C0"/>
            </w:tcBorders>
          </w:tcPr>
          <w:p w:rsidR="00212E00" w:rsidRDefault="00212E00" w:rsidP="0030619C">
            <w:pPr>
              <w:autoSpaceDE w:val="0"/>
              <w:autoSpaceDN w:val="0"/>
              <w:adjustRightInd w:val="0"/>
              <w:ind w:left="30"/>
              <w:jc w:val="right"/>
              <w:rPr>
                <w:rFonts w:ascii="Arial" w:hAnsi="Arial" w:cs="Arial"/>
                <w:b/>
                <w:bCs/>
                <w:color w:val="000000"/>
                <w:sz w:val="18"/>
                <w:szCs w:val="18"/>
              </w:rPr>
            </w:pPr>
            <w:r>
              <w:rPr>
                <w:rFonts w:ascii="Arial" w:hAnsi="Arial" w:cs="Arial"/>
                <w:b/>
                <w:bCs/>
                <w:color w:val="000000"/>
                <w:sz w:val="18"/>
                <w:szCs w:val="18"/>
              </w:rPr>
              <w:t>2 581 000,00 Kč</w:t>
            </w:r>
          </w:p>
        </w:tc>
      </w:tr>
      <w:tr w:rsidR="00212E00" w:rsidTr="0030619C">
        <w:tblPrEx>
          <w:tblCellMar>
            <w:top w:w="0" w:type="dxa"/>
            <w:bottom w:w="0" w:type="dxa"/>
          </w:tblCellMar>
        </w:tblPrEx>
        <w:trPr>
          <w:gridAfter w:val="2"/>
          <w:wAfter w:w="8302" w:type="dxa"/>
        </w:trPr>
        <w:tc>
          <w:tcPr>
            <w:tcW w:w="7654" w:type="dxa"/>
            <w:gridSpan w:val="9"/>
            <w:shd w:val="clear" w:color="auto" w:fill="FFFFFF"/>
          </w:tcPr>
          <w:p w:rsidR="00212E00" w:rsidRDefault="00212E00" w:rsidP="0030619C">
            <w:pPr>
              <w:autoSpaceDE w:val="0"/>
              <w:autoSpaceDN w:val="0"/>
              <w:adjustRightInd w:val="0"/>
              <w:ind w:right="153"/>
              <w:jc w:val="right"/>
              <w:rPr>
                <w:rFonts w:ascii="Arial" w:hAnsi="Arial" w:cs="Arial"/>
                <w:color w:val="000000"/>
                <w:sz w:val="18"/>
                <w:szCs w:val="18"/>
              </w:rPr>
            </w:pPr>
            <w:r>
              <w:rPr>
                <w:rFonts w:ascii="Arial" w:hAnsi="Arial" w:cs="Arial"/>
                <w:color w:val="000000"/>
                <w:sz w:val="18"/>
                <w:szCs w:val="18"/>
              </w:rPr>
              <w:t>Celková sleva:</w:t>
            </w:r>
          </w:p>
        </w:tc>
        <w:tc>
          <w:tcPr>
            <w:tcW w:w="2528" w:type="dxa"/>
            <w:gridSpan w:val="2"/>
            <w:tcBorders>
              <w:top w:val="single" w:sz="4" w:space="0" w:color="C0C0C0"/>
              <w:bottom w:val="single" w:sz="4" w:space="0" w:color="C0C0C0"/>
            </w:tcBorders>
            <w:shd w:val="clear" w:color="auto" w:fill="FFFFFF"/>
          </w:tcPr>
          <w:p w:rsidR="00212E00" w:rsidRDefault="00212E00" w:rsidP="0030619C">
            <w:pPr>
              <w:autoSpaceDE w:val="0"/>
              <w:autoSpaceDN w:val="0"/>
              <w:adjustRightInd w:val="0"/>
              <w:ind w:left="15"/>
              <w:jc w:val="right"/>
              <w:rPr>
                <w:rFonts w:ascii="Arial" w:hAnsi="Arial" w:cs="Arial"/>
                <w:color w:val="000000"/>
                <w:sz w:val="18"/>
                <w:szCs w:val="18"/>
              </w:rPr>
            </w:pPr>
            <w:r>
              <w:rPr>
                <w:rFonts w:ascii="Arial" w:hAnsi="Arial" w:cs="Arial"/>
                <w:color w:val="000000"/>
                <w:sz w:val="18"/>
                <w:szCs w:val="18"/>
              </w:rPr>
              <w:t>659 900,00 Kč</w:t>
            </w:r>
          </w:p>
        </w:tc>
      </w:tr>
      <w:tr w:rsidR="00212E00" w:rsidTr="0030619C">
        <w:tblPrEx>
          <w:tblCellMar>
            <w:top w:w="0" w:type="dxa"/>
            <w:bottom w:w="0" w:type="dxa"/>
          </w:tblCellMar>
        </w:tblPrEx>
        <w:trPr>
          <w:gridAfter w:val="2"/>
          <w:wAfter w:w="8302" w:type="dxa"/>
        </w:trPr>
        <w:tc>
          <w:tcPr>
            <w:tcW w:w="7654" w:type="dxa"/>
            <w:gridSpan w:val="9"/>
            <w:shd w:val="clear" w:color="auto" w:fill="FFFFFF"/>
          </w:tcPr>
          <w:p w:rsidR="00212E00" w:rsidRDefault="00212E00" w:rsidP="0030619C">
            <w:pPr>
              <w:autoSpaceDE w:val="0"/>
              <w:autoSpaceDN w:val="0"/>
              <w:adjustRightInd w:val="0"/>
              <w:ind w:right="153"/>
              <w:jc w:val="right"/>
              <w:rPr>
                <w:rFonts w:ascii="Arial" w:hAnsi="Arial" w:cs="Arial"/>
                <w:b/>
                <w:bCs/>
                <w:color w:val="000000"/>
                <w:sz w:val="18"/>
                <w:szCs w:val="18"/>
              </w:rPr>
            </w:pPr>
            <w:r>
              <w:rPr>
                <w:rFonts w:ascii="Arial" w:hAnsi="Arial" w:cs="Arial"/>
                <w:b/>
                <w:bCs/>
                <w:color w:val="000000"/>
                <w:sz w:val="18"/>
                <w:szCs w:val="18"/>
              </w:rPr>
              <w:t>Celková cena po slevě:</w:t>
            </w:r>
          </w:p>
        </w:tc>
        <w:tc>
          <w:tcPr>
            <w:tcW w:w="2528" w:type="dxa"/>
            <w:gridSpan w:val="2"/>
            <w:tcBorders>
              <w:top w:val="single" w:sz="4" w:space="0" w:color="C0C0C0"/>
            </w:tcBorders>
            <w:shd w:val="clear" w:color="auto" w:fill="FFFFFF"/>
          </w:tcPr>
          <w:p w:rsidR="00212E00" w:rsidRDefault="00212E00" w:rsidP="0030619C">
            <w:pPr>
              <w:autoSpaceDE w:val="0"/>
              <w:autoSpaceDN w:val="0"/>
              <w:adjustRightInd w:val="0"/>
              <w:ind w:left="15"/>
              <w:jc w:val="right"/>
              <w:rPr>
                <w:rFonts w:ascii="Arial" w:hAnsi="Arial" w:cs="Arial"/>
                <w:b/>
                <w:bCs/>
                <w:color w:val="000000"/>
                <w:sz w:val="18"/>
                <w:szCs w:val="18"/>
              </w:rPr>
            </w:pPr>
            <w:r>
              <w:rPr>
                <w:rFonts w:ascii="Arial" w:hAnsi="Arial" w:cs="Arial"/>
                <w:b/>
                <w:bCs/>
                <w:color w:val="000000"/>
                <w:sz w:val="18"/>
                <w:szCs w:val="18"/>
              </w:rPr>
              <w:t>1 921 100,00 Kč</w:t>
            </w:r>
          </w:p>
        </w:tc>
      </w:tr>
      <w:tr w:rsidR="00212E00" w:rsidTr="0030619C">
        <w:tblPrEx>
          <w:tblCellMar>
            <w:top w:w="0" w:type="dxa"/>
            <w:bottom w:w="0" w:type="dxa"/>
          </w:tblCellMar>
        </w:tblPrEx>
        <w:trPr>
          <w:gridAfter w:val="2"/>
          <w:wAfter w:w="8302" w:type="dxa"/>
        </w:trPr>
        <w:tc>
          <w:tcPr>
            <w:tcW w:w="7654" w:type="dxa"/>
            <w:gridSpan w:val="9"/>
            <w:shd w:val="clear" w:color="auto" w:fill="FFFFFF"/>
          </w:tcPr>
          <w:p w:rsidR="00212E00" w:rsidRDefault="00212E00" w:rsidP="0030619C">
            <w:pPr>
              <w:autoSpaceDE w:val="0"/>
              <w:autoSpaceDN w:val="0"/>
              <w:adjustRightInd w:val="0"/>
              <w:ind w:right="153"/>
              <w:jc w:val="right"/>
              <w:rPr>
                <w:rFonts w:ascii="Arial" w:hAnsi="Arial" w:cs="Arial"/>
                <w:color w:val="000000"/>
                <w:sz w:val="18"/>
                <w:szCs w:val="18"/>
              </w:rPr>
            </w:pPr>
            <w:r>
              <w:rPr>
                <w:rFonts w:ascii="Arial" w:hAnsi="Arial" w:cs="Arial"/>
                <w:color w:val="000000"/>
                <w:sz w:val="18"/>
                <w:szCs w:val="18"/>
              </w:rPr>
              <w:t>DPH 21 %:</w:t>
            </w:r>
          </w:p>
        </w:tc>
        <w:tc>
          <w:tcPr>
            <w:tcW w:w="2528" w:type="dxa"/>
            <w:gridSpan w:val="2"/>
            <w:tcBorders>
              <w:top w:val="single" w:sz="4" w:space="0" w:color="C0C0C0"/>
            </w:tcBorders>
            <w:shd w:val="clear" w:color="auto" w:fill="FFFFFF"/>
          </w:tcPr>
          <w:p w:rsidR="00212E00" w:rsidRDefault="00212E00" w:rsidP="0030619C">
            <w:pPr>
              <w:autoSpaceDE w:val="0"/>
              <w:autoSpaceDN w:val="0"/>
              <w:adjustRightInd w:val="0"/>
              <w:ind w:right="25"/>
              <w:jc w:val="right"/>
              <w:rPr>
                <w:rFonts w:ascii="Arial" w:hAnsi="Arial" w:cs="Arial"/>
                <w:color w:val="000000"/>
                <w:sz w:val="18"/>
                <w:szCs w:val="18"/>
              </w:rPr>
            </w:pPr>
            <w:r>
              <w:rPr>
                <w:rFonts w:ascii="Arial" w:hAnsi="Arial" w:cs="Arial"/>
                <w:color w:val="000000"/>
                <w:sz w:val="18"/>
                <w:szCs w:val="18"/>
              </w:rPr>
              <w:t>403 431,00 Kč</w:t>
            </w:r>
          </w:p>
        </w:tc>
      </w:tr>
      <w:tr w:rsidR="00212E00" w:rsidTr="0030619C">
        <w:tblPrEx>
          <w:tblCellMar>
            <w:top w:w="0" w:type="dxa"/>
            <w:bottom w:w="0" w:type="dxa"/>
          </w:tblCellMar>
        </w:tblPrEx>
        <w:trPr>
          <w:gridAfter w:val="2"/>
          <w:wAfter w:w="8302" w:type="dxa"/>
        </w:trPr>
        <w:tc>
          <w:tcPr>
            <w:tcW w:w="7654" w:type="dxa"/>
            <w:gridSpan w:val="9"/>
            <w:shd w:val="clear" w:color="auto" w:fill="EFEFEF"/>
          </w:tcPr>
          <w:p w:rsidR="00212E00" w:rsidRDefault="00212E00" w:rsidP="0030619C">
            <w:pPr>
              <w:autoSpaceDE w:val="0"/>
              <w:autoSpaceDN w:val="0"/>
              <w:adjustRightInd w:val="0"/>
              <w:ind w:right="153"/>
              <w:jc w:val="right"/>
              <w:rPr>
                <w:rFonts w:ascii="Arial" w:hAnsi="Arial" w:cs="Arial"/>
                <w:b/>
                <w:bCs/>
                <w:color w:val="000000"/>
                <w:sz w:val="18"/>
                <w:szCs w:val="18"/>
              </w:rPr>
            </w:pPr>
            <w:r>
              <w:rPr>
                <w:rFonts w:ascii="Arial" w:hAnsi="Arial" w:cs="Arial"/>
                <w:b/>
                <w:bCs/>
                <w:color w:val="000000"/>
                <w:sz w:val="18"/>
                <w:szCs w:val="18"/>
              </w:rPr>
              <w:t>Celková cena včetně DPH:</w:t>
            </w:r>
          </w:p>
        </w:tc>
        <w:tc>
          <w:tcPr>
            <w:tcW w:w="2528" w:type="dxa"/>
            <w:gridSpan w:val="2"/>
            <w:tcBorders>
              <w:top w:val="single" w:sz="4" w:space="0" w:color="C0C0C0"/>
            </w:tcBorders>
            <w:shd w:val="clear" w:color="auto" w:fill="EFEFEF"/>
          </w:tcPr>
          <w:p w:rsidR="00212E00" w:rsidRDefault="00212E00" w:rsidP="0030619C">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2 324 531,00 Kč</w:t>
            </w:r>
          </w:p>
        </w:tc>
      </w:tr>
      <w:tr w:rsidR="00212E00" w:rsidTr="0030619C">
        <w:tblPrEx>
          <w:tblCellMar>
            <w:top w:w="0" w:type="dxa"/>
            <w:bottom w:w="0" w:type="dxa"/>
          </w:tblCellMar>
        </w:tblPrEx>
        <w:trPr>
          <w:gridAfter w:val="2"/>
          <w:wAfter w:w="8302" w:type="dxa"/>
        </w:trPr>
        <w:tc>
          <w:tcPr>
            <w:tcW w:w="7654" w:type="dxa"/>
            <w:gridSpan w:val="9"/>
            <w:tcBorders>
              <w:bottom w:val="single" w:sz="9" w:space="0" w:color="808080"/>
            </w:tcBorders>
            <w:shd w:val="clear" w:color="auto" w:fill="EFEFEF"/>
          </w:tcPr>
          <w:p w:rsidR="00212E00" w:rsidRPr="00FC106E" w:rsidRDefault="00212E00" w:rsidP="0030619C">
            <w:pPr>
              <w:autoSpaceDE w:val="0"/>
              <w:autoSpaceDN w:val="0"/>
              <w:adjustRightInd w:val="0"/>
              <w:rPr>
                <w:rFonts w:ascii="Arial" w:hAnsi="Arial" w:cs="Arial"/>
                <w:b/>
                <w:bCs/>
                <w:color w:val="000000"/>
                <w:sz w:val="18"/>
                <w:szCs w:val="18"/>
              </w:rPr>
            </w:pPr>
            <w:r w:rsidRPr="00FC106E">
              <w:rPr>
                <w:rFonts w:ascii="Arial" w:hAnsi="Arial" w:cs="Arial"/>
                <w:b/>
                <w:bCs/>
                <w:color w:val="000000"/>
                <w:sz w:val="18"/>
                <w:szCs w:val="18"/>
              </w:rPr>
              <w:t xml:space="preserve"> </w:t>
            </w:r>
          </w:p>
        </w:tc>
        <w:tc>
          <w:tcPr>
            <w:tcW w:w="2528" w:type="dxa"/>
            <w:gridSpan w:val="2"/>
            <w:tcBorders>
              <w:bottom w:val="single" w:sz="9" w:space="0" w:color="808080"/>
            </w:tcBorders>
            <w:shd w:val="clear" w:color="auto" w:fill="EFEFEF"/>
          </w:tcPr>
          <w:p w:rsidR="00212E00" w:rsidRPr="00FC106E" w:rsidRDefault="00212E00" w:rsidP="0030619C">
            <w:pPr>
              <w:autoSpaceDE w:val="0"/>
              <w:autoSpaceDN w:val="0"/>
              <w:adjustRightInd w:val="0"/>
              <w:rPr>
                <w:rFonts w:ascii="Arial" w:hAnsi="Arial" w:cs="Arial"/>
                <w:b/>
                <w:bCs/>
                <w:color w:val="000000"/>
                <w:sz w:val="18"/>
                <w:szCs w:val="18"/>
              </w:rPr>
            </w:pPr>
          </w:p>
        </w:tc>
      </w:tr>
    </w:tbl>
    <w:p w:rsidR="00212E00" w:rsidRPr="00710CCC" w:rsidRDefault="00212E00" w:rsidP="00212E00">
      <w:pPr>
        <w:pStyle w:val="Zkladntext"/>
        <w:tabs>
          <w:tab w:val="left" w:pos="2520"/>
          <w:tab w:val="left" w:pos="9072"/>
        </w:tabs>
        <w:ind w:right="-194"/>
        <w:rPr>
          <w:rFonts w:ascii="Arial" w:hAnsi="Arial" w:cs="Arial"/>
        </w:rPr>
      </w:pPr>
      <w:bookmarkStart w:id="7" w:name="Offer_Block_1_END"/>
      <w:bookmarkEnd w:id="7"/>
      <w:r>
        <w:rPr>
          <w:rFonts w:ascii="Arial" w:hAnsi="Arial" w:cs="Arial"/>
          <w:szCs w:val="22"/>
        </w:rPr>
        <w:t xml:space="preserve"> </w:t>
      </w:r>
      <w:bookmarkStart w:id="8" w:name="Offer_Block_2_BEGIN"/>
      <w:bookmarkEnd w:id="8"/>
    </w:p>
    <w:p w:rsidR="00212E00" w:rsidRPr="00710CCC" w:rsidRDefault="00212E00" w:rsidP="00212E00">
      <w:pPr>
        <w:pStyle w:val="Zkladntext"/>
        <w:tabs>
          <w:tab w:val="left" w:pos="2520"/>
          <w:tab w:val="left" w:pos="9072"/>
        </w:tabs>
        <w:ind w:right="6"/>
        <w:rPr>
          <w:rFonts w:ascii="Arial" w:hAnsi="Arial" w:cs="Arial"/>
        </w:rPr>
      </w:pPr>
    </w:p>
    <w:p w:rsidR="00212E00" w:rsidRDefault="00212E00" w:rsidP="00212E00">
      <w:pPr>
        <w:pStyle w:val="Zkladntext"/>
        <w:tabs>
          <w:tab w:val="left" w:pos="2520"/>
          <w:tab w:val="left" w:pos="9072"/>
        </w:tabs>
        <w:ind w:right="-347"/>
        <w:rPr>
          <w:rFonts w:ascii="Arial" w:hAnsi="Arial" w:cs="Arial"/>
        </w:rPr>
      </w:pPr>
      <w:r w:rsidRPr="00710CCC">
        <w:rPr>
          <w:rFonts w:ascii="Arial" w:hAnsi="Arial" w:cs="Arial"/>
        </w:rPr>
        <w:t xml:space="preserve">Cena je platná při standardních cenových podmínkách. </w:t>
      </w:r>
    </w:p>
    <w:p w:rsidR="00212E00" w:rsidRDefault="00212E00" w:rsidP="00212E00">
      <w:pPr>
        <w:pStyle w:val="Zkladntext"/>
        <w:tabs>
          <w:tab w:val="left" w:pos="2520"/>
          <w:tab w:val="left" w:pos="9072"/>
        </w:tabs>
        <w:ind w:right="-347"/>
        <w:rPr>
          <w:rFonts w:ascii="Arial" w:hAnsi="Arial" w:cs="Arial"/>
        </w:rPr>
      </w:pPr>
      <w:r w:rsidRPr="00710CCC">
        <w:rPr>
          <w:rFonts w:ascii="Arial" w:hAnsi="Arial" w:cs="Arial"/>
        </w:rPr>
        <w:t>Platnost na</w:t>
      </w:r>
      <w:r>
        <w:rPr>
          <w:rFonts w:ascii="Arial" w:hAnsi="Arial" w:cs="Arial"/>
        </w:rPr>
        <w:t>bídky:  90 dnů, dodací lhůta:  90 dnů</w:t>
      </w:r>
      <w:r w:rsidRPr="00710CCC">
        <w:rPr>
          <w:rFonts w:ascii="Arial" w:hAnsi="Arial" w:cs="Arial"/>
        </w:rPr>
        <w:t xml:space="preserve"> </w:t>
      </w:r>
      <w:r>
        <w:rPr>
          <w:rFonts w:ascii="Arial" w:hAnsi="Arial" w:cs="Arial"/>
        </w:rPr>
        <w:t>od podpisu kupní smlouvy</w:t>
      </w:r>
      <w:r w:rsidRPr="00710CCC">
        <w:rPr>
          <w:rFonts w:ascii="Arial" w:hAnsi="Arial" w:cs="Arial"/>
        </w:rPr>
        <w:t xml:space="preserve">, záruka: 24 měsíců.  </w:t>
      </w:r>
    </w:p>
    <w:p w:rsidR="00212E00" w:rsidRDefault="00212E00" w:rsidP="00212E00">
      <w:pPr>
        <w:pStyle w:val="Zkladntext"/>
        <w:tabs>
          <w:tab w:val="left" w:pos="2520"/>
          <w:tab w:val="left" w:pos="9072"/>
        </w:tabs>
        <w:ind w:right="-347"/>
        <w:rPr>
          <w:rFonts w:ascii="Arial" w:hAnsi="Arial" w:cs="Arial"/>
        </w:rPr>
      </w:pPr>
      <w:r w:rsidRPr="00710CCC">
        <w:rPr>
          <w:rFonts w:ascii="Arial" w:hAnsi="Arial" w:cs="Arial"/>
        </w:rPr>
        <w:t xml:space="preserve">Doprava, instalace a zaškolení obsluhy jsou v ceně dodávky, servis zajišťuje  </w:t>
      </w:r>
      <w:proofErr w:type="spellStart"/>
      <w:r w:rsidRPr="00710CCC">
        <w:rPr>
          <w:rFonts w:ascii="Arial" w:hAnsi="Arial" w:cs="Arial"/>
        </w:rPr>
        <w:t>Olympus</w:t>
      </w:r>
      <w:proofErr w:type="spellEnd"/>
      <w:r w:rsidRPr="00710CCC">
        <w:rPr>
          <w:rFonts w:ascii="Arial" w:hAnsi="Arial" w:cs="Arial"/>
        </w:rPr>
        <w:t xml:space="preserve"> Czech Group, s.r.o., člen koncernu.</w:t>
      </w:r>
    </w:p>
    <w:p w:rsidR="00212E00" w:rsidRPr="00710CCC" w:rsidRDefault="00212E00" w:rsidP="00212E00">
      <w:pPr>
        <w:pStyle w:val="Zkladntext"/>
        <w:tabs>
          <w:tab w:val="left" w:pos="2520"/>
          <w:tab w:val="left" w:pos="9072"/>
        </w:tabs>
        <w:ind w:right="-347"/>
        <w:rPr>
          <w:rFonts w:ascii="Arial" w:hAnsi="Arial" w:cs="Arial"/>
        </w:rPr>
      </w:pPr>
      <w:r>
        <w:rPr>
          <w:rFonts w:ascii="Arial" w:hAnsi="Arial" w:cs="Arial"/>
        </w:rPr>
        <w:t xml:space="preserve">Ceny uvedené v této nabídce jsou obchodním tajemstvím společnosti </w:t>
      </w:r>
      <w:proofErr w:type="spellStart"/>
      <w:r>
        <w:rPr>
          <w:rFonts w:ascii="Arial" w:hAnsi="Arial" w:cs="Arial"/>
        </w:rPr>
        <w:t>Olympus</w:t>
      </w:r>
      <w:proofErr w:type="spellEnd"/>
      <w:r>
        <w:rPr>
          <w:rFonts w:ascii="Arial" w:hAnsi="Arial" w:cs="Arial"/>
        </w:rPr>
        <w:t xml:space="preserve"> Czech Group, s.r.o., člen koncernu, ve smyslu ustanovení §504 zákona č. 89/2012 Sb., občanský zákoník.</w:t>
      </w:r>
    </w:p>
    <w:p w:rsidR="00212E00" w:rsidRPr="00710CCC" w:rsidRDefault="00212E00" w:rsidP="00212E00">
      <w:pPr>
        <w:pStyle w:val="Zkladntext"/>
        <w:tabs>
          <w:tab w:val="left" w:pos="2520"/>
          <w:tab w:val="left" w:pos="9072"/>
        </w:tabs>
        <w:ind w:right="-347"/>
        <w:rPr>
          <w:rFonts w:ascii="Arial" w:hAnsi="Arial" w:cs="Arial"/>
        </w:rPr>
      </w:pPr>
    </w:p>
    <w:p w:rsidR="00212E00" w:rsidRDefault="00212E00" w:rsidP="00212E00">
      <w:pPr>
        <w:pStyle w:val="Zkladntext"/>
        <w:tabs>
          <w:tab w:val="left" w:pos="2520"/>
          <w:tab w:val="left" w:pos="9072"/>
        </w:tabs>
        <w:ind w:right="-347"/>
        <w:rPr>
          <w:rFonts w:ascii="Arial" w:hAnsi="Arial" w:cs="Arial"/>
        </w:rPr>
      </w:pPr>
      <w:r w:rsidRPr="00710CCC">
        <w:rPr>
          <w:rFonts w:ascii="Arial" w:hAnsi="Arial" w:cs="Arial"/>
        </w:rPr>
        <w:t xml:space="preserve">       Děkuji Vám za Váš zájem a v případě dotazů se na mne, prosím, kdykoliv s důvěrou obraťte.</w:t>
      </w:r>
    </w:p>
    <w:p w:rsidR="00212E00" w:rsidRPr="00F92F5D" w:rsidRDefault="00212E00" w:rsidP="00212E00">
      <w:pPr>
        <w:pStyle w:val="Zkladntext"/>
        <w:tabs>
          <w:tab w:val="left" w:pos="2520"/>
          <w:tab w:val="left" w:pos="9072"/>
        </w:tabs>
        <w:ind w:right="-347"/>
        <w:jc w:val="right"/>
        <w:rPr>
          <w:rFonts w:ascii="Arial" w:hAnsi="Arial" w:cs="Arial"/>
        </w:rPr>
      </w:pPr>
      <w:r w:rsidRPr="00F92F5D">
        <w:rPr>
          <w:rFonts w:ascii="Arial" w:hAnsi="Arial" w:cs="Arial"/>
        </w:rPr>
        <w:t xml:space="preserve">   </w:t>
      </w:r>
    </w:p>
    <w:p w:rsidR="00212E00" w:rsidRPr="00F92F5D" w:rsidRDefault="00212E00" w:rsidP="00212E00">
      <w:pPr>
        <w:pStyle w:val="Zkladntext"/>
        <w:tabs>
          <w:tab w:val="left" w:pos="2520"/>
          <w:tab w:val="left" w:pos="9072"/>
        </w:tabs>
        <w:ind w:right="-347"/>
        <w:jc w:val="right"/>
        <w:rPr>
          <w:rFonts w:ascii="Arial" w:hAnsi="Arial" w:cs="Arial"/>
        </w:rPr>
      </w:pPr>
    </w:p>
    <w:p w:rsidR="000E2B27" w:rsidRPr="00C36DB5" w:rsidRDefault="00212E00" w:rsidP="00212E00">
      <w:pPr>
        <w:rPr>
          <w:sz w:val="22"/>
          <w:szCs w:val="22"/>
        </w:rPr>
      </w:pPr>
      <w:r w:rsidRPr="00F92F5D">
        <w:rPr>
          <w:rFonts w:ascii="Arial" w:hAnsi="Arial" w:cs="Arial"/>
        </w:rPr>
        <w:t xml:space="preserve">   </w:t>
      </w:r>
      <w:bookmarkStart w:id="9" w:name="Title"/>
      <w:r>
        <w:rPr>
          <w:rFonts w:ascii="Arial" w:hAnsi="Arial" w:cs="Arial"/>
        </w:rPr>
        <w:t xml:space="preserve"> </w:t>
      </w:r>
      <w:bookmarkEnd w:id="9"/>
      <w:r w:rsidRPr="00F92F5D">
        <w:rPr>
          <w:rFonts w:ascii="Arial" w:hAnsi="Arial" w:cs="Arial"/>
        </w:rPr>
        <w:t xml:space="preserve"> </w:t>
      </w:r>
      <w:bookmarkStart w:id="10" w:name="PrimarySalesRep"/>
      <w:r>
        <w:rPr>
          <w:rFonts w:ascii="Arial" w:hAnsi="Arial" w:cs="Arial"/>
        </w:rPr>
        <w:t xml:space="preserve">Pavel </w:t>
      </w:r>
      <w:proofErr w:type="spellStart"/>
      <w:r>
        <w:rPr>
          <w:rFonts w:ascii="Arial" w:hAnsi="Arial" w:cs="Arial"/>
        </w:rPr>
        <w:t>Šťasta</w:t>
      </w:r>
      <w:bookmarkEnd w:id="10"/>
      <w:proofErr w:type="spellEnd"/>
    </w:p>
    <w:sectPr w:rsidR="000E2B27" w:rsidRPr="00C36DB5">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AF" w:rsidRDefault="00EA2DAF">
      <w:r>
        <w:separator/>
      </w:r>
    </w:p>
  </w:endnote>
  <w:endnote w:type="continuationSeparator" w:id="0">
    <w:p w:rsidR="00EA2DAF" w:rsidRDefault="00EA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74" w:rsidRDefault="0056247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562474" w:rsidRDefault="005624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74" w:rsidRDefault="0056247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A7CFD">
      <w:rPr>
        <w:rStyle w:val="slostrnky"/>
        <w:noProof/>
      </w:rPr>
      <w:t>4</w:t>
    </w:r>
    <w:r>
      <w:rPr>
        <w:rStyle w:val="slostrnky"/>
      </w:rPr>
      <w:fldChar w:fldCharType="end"/>
    </w:r>
  </w:p>
  <w:p w:rsidR="00562474" w:rsidRDefault="005624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AF" w:rsidRDefault="00EA2DAF">
      <w:r>
        <w:separator/>
      </w:r>
    </w:p>
  </w:footnote>
  <w:footnote w:type="continuationSeparator" w:id="0">
    <w:p w:rsidR="00EA2DAF" w:rsidRDefault="00EA2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09646AEC"/>
    <w:multiLevelType w:val="hybridMultilevel"/>
    <w:tmpl w:val="BE82F50A"/>
    <w:lvl w:ilvl="0" w:tplc="A4D2A0B6">
      <w:start w:val="1"/>
      <w:numFmt w:val="decimal"/>
      <w:lvlText w:val="%1."/>
      <w:lvlJc w:val="left"/>
      <w:pPr>
        <w:tabs>
          <w:tab w:val="num" w:pos="360"/>
        </w:tabs>
        <w:ind w:left="360" w:hanging="360"/>
      </w:pPr>
      <w:rPr>
        <w:rFonts w:ascii="Times New Roman" w:hAnsi="Times New Roman" w:hint="default"/>
        <w:b w:val="0"/>
        <w:i w:val="0"/>
        <w:sz w:val="24"/>
      </w:rPr>
    </w:lvl>
    <w:lvl w:ilvl="1" w:tplc="04050017">
      <w:start w:val="1"/>
      <w:numFmt w:val="lowerLetter"/>
      <w:lvlText w:val="%2)"/>
      <w:lvlJc w:val="left"/>
      <w:pPr>
        <w:tabs>
          <w:tab w:val="num" w:pos="1440"/>
        </w:tabs>
        <w:ind w:left="1440" w:hanging="360"/>
      </w:pPr>
    </w:lvl>
    <w:lvl w:ilvl="2" w:tplc="0B8A0ED2">
      <w:start w:val="1"/>
      <w:numFmt w:val="decimal"/>
      <w:lvlText w:val="%3)"/>
      <w:lvlJc w:val="left"/>
      <w:pPr>
        <w:tabs>
          <w:tab w:val="num" w:pos="2370"/>
        </w:tabs>
        <w:ind w:left="2370" w:hanging="39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3" w15:restartNumberingAfterBreak="0">
    <w:nsid w:val="388178C2"/>
    <w:multiLevelType w:val="singleLevel"/>
    <w:tmpl w:val="FA288E44"/>
    <w:lvl w:ilvl="0">
      <w:start w:val="1"/>
      <w:numFmt w:val="decimal"/>
      <w:lvlText w:val="%1."/>
      <w:lvlJc w:val="left"/>
      <w:pPr>
        <w:tabs>
          <w:tab w:val="num" w:pos="600"/>
        </w:tabs>
        <w:ind w:left="600" w:hanging="360"/>
      </w:pPr>
      <w:rPr>
        <w:rFonts w:hint="default"/>
      </w:rPr>
    </w:lvl>
  </w:abstractNum>
  <w:abstractNum w:abstractNumId="4" w15:restartNumberingAfterBreak="0">
    <w:nsid w:val="3BEB6ACE"/>
    <w:multiLevelType w:val="singleLevel"/>
    <w:tmpl w:val="E61A26BA"/>
    <w:lvl w:ilvl="0">
      <w:start w:val="5"/>
      <w:numFmt w:val="decimal"/>
      <w:lvlText w:val="%1."/>
      <w:lvlJc w:val="left"/>
      <w:pPr>
        <w:tabs>
          <w:tab w:val="num" w:pos="360"/>
        </w:tabs>
        <w:ind w:left="360" w:hanging="360"/>
      </w:pPr>
      <w:rPr>
        <w:rFonts w:hint="default"/>
      </w:rPr>
    </w:lvl>
  </w:abstractNum>
  <w:abstractNum w:abstractNumId="5" w15:restartNumberingAfterBreak="0">
    <w:nsid w:val="56BB0D1C"/>
    <w:multiLevelType w:val="singleLevel"/>
    <w:tmpl w:val="5DE80E62"/>
    <w:lvl w:ilvl="0">
      <w:start w:val="1"/>
      <w:numFmt w:val="decimal"/>
      <w:lvlText w:val="%1."/>
      <w:lvlJc w:val="left"/>
      <w:pPr>
        <w:tabs>
          <w:tab w:val="num" w:pos="600"/>
        </w:tabs>
        <w:ind w:left="600" w:hanging="360"/>
      </w:pPr>
      <w:rPr>
        <w:rFonts w:hint="default"/>
      </w:rPr>
    </w:lvl>
  </w:abstractNum>
  <w:abstractNum w:abstractNumId="6" w15:restartNumberingAfterBreak="0">
    <w:nsid w:val="57EF4440"/>
    <w:multiLevelType w:val="hybridMultilevel"/>
    <w:tmpl w:val="31B8D90C"/>
    <w:lvl w:ilvl="0" w:tplc="6FC43392">
      <w:start w:val="6"/>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7" w15:restartNumberingAfterBreak="0">
    <w:nsid w:val="5F6F7CD5"/>
    <w:multiLevelType w:val="singleLevel"/>
    <w:tmpl w:val="BA8287C0"/>
    <w:lvl w:ilvl="0">
      <w:start w:val="1"/>
      <w:numFmt w:val="lowerLetter"/>
      <w:lvlText w:val="%1)"/>
      <w:lvlJc w:val="left"/>
      <w:pPr>
        <w:tabs>
          <w:tab w:val="num" w:pos="720"/>
        </w:tabs>
        <w:ind w:left="720" w:hanging="360"/>
      </w:pPr>
      <w:rPr>
        <w:rFonts w:hint="default"/>
      </w:rPr>
    </w:lvl>
  </w:abstractNum>
  <w:abstractNum w:abstractNumId="8" w15:restartNumberingAfterBreak="0">
    <w:nsid w:val="643C114D"/>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725B61CF"/>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75C97267"/>
    <w:multiLevelType w:val="hybridMultilevel"/>
    <w:tmpl w:val="52A84A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3"/>
  </w:num>
  <w:num w:numId="4">
    <w:abstractNumId w:val="0"/>
  </w:num>
  <w:num w:numId="5">
    <w:abstractNumId w:val="7"/>
  </w:num>
  <w:num w:numId="6">
    <w:abstractNumId w:val="9"/>
  </w:num>
  <w:num w:numId="7">
    <w:abstractNumId w:val="8"/>
  </w:num>
  <w:num w:numId="8">
    <w:abstractNumId w:val="1"/>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6E"/>
    <w:rsid w:val="000007C0"/>
    <w:rsid w:val="00021A62"/>
    <w:rsid w:val="00026597"/>
    <w:rsid w:val="00074032"/>
    <w:rsid w:val="000929EB"/>
    <w:rsid w:val="00094854"/>
    <w:rsid w:val="000C2289"/>
    <w:rsid w:val="000C58AC"/>
    <w:rsid w:val="000D73A0"/>
    <w:rsid w:val="000E2B27"/>
    <w:rsid w:val="000F3C10"/>
    <w:rsid w:val="000F7734"/>
    <w:rsid w:val="0010335E"/>
    <w:rsid w:val="0019547A"/>
    <w:rsid w:val="00196622"/>
    <w:rsid w:val="001C0F28"/>
    <w:rsid w:val="001C4A56"/>
    <w:rsid w:val="001D6317"/>
    <w:rsid w:val="001D7D86"/>
    <w:rsid w:val="001E3670"/>
    <w:rsid w:val="00212E00"/>
    <w:rsid w:val="00222CD9"/>
    <w:rsid w:val="00235868"/>
    <w:rsid w:val="00266EC2"/>
    <w:rsid w:val="00277FC1"/>
    <w:rsid w:val="0028217B"/>
    <w:rsid w:val="002C5F14"/>
    <w:rsid w:val="002F5A84"/>
    <w:rsid w:val="00336392"/>
    <w:rsid w:val="0034517D"/>
    <w:rsid w:val="00381FB6"/>
    <w:rsid w:val="003825BB"/>
    <w:rsid w:val="0039184D"/>
    <w:rsid w:val="003A317E"/>
    <w:rsid w:val="003B7FA4"/>
    <w:rsid w:val="003E1AC3"/>
    <w:rsid w:val="003F3A10"/>
    <w:rsid w:val="004427C4"/>
    <w:rsid w:val="00451E21"/>
    <w:rsid w:val="0047124B"/>
    <w:rsid w:val="004B6FC4"/>
    <w:rsid w:val="004C7707"/>
    <w:rsid w:val="004D5858"/>
    <w:rsid w:val="004E213B"/>
    <w:rsid w:val="00543DA1"/>
    <w:rsid w:val="00562474"/>
    <w:rsid w:val="00571A7F"/>
    <w:rsid w:val="00574F9D"/>
    <w:rsid w:val="005D1DED"/>
    <w:rsid w:val="005E4DBD"/>
    <w:rsid w:val="005F5C03"/>
    <w:rsid w:val="00600FAD"/>
    <w:rsid w:val="00651533"/>
    <w:rsid w:val="00663E8E"/>
    <w:rsid w:val="006B3FB2"/>
    <w:rsid w:val="006C23BF"/>
    <w:rsid w:val="006D0340"/>
    <w:rsid w:val="006D6506"/>
    <w:rsid w:val="006D794C"/>
    <w:rsid w:val="007749F7"/>
    <w:rsid w:val="00784E46"/>
    <w:rsid w:val="007D2B6A"/>
    <w:rsid w:val="007F2305"/>
    <w:rsid w:val="0080236E"/>
    <w:rsid w:val="0085577F"/>
    <w:rsid w:val="00896177"/>
    <w:rsid w:val="00896712"/>
    <w:rsid w:val="008E6727"/>
    <w:rsid w:val="009056AA"/>
    <w:rsid w:val="00944367"/>
    <w:rsid w:val="00954767"/>
    <w:rsid w:val="00972276"/>
    <w:rsid w:val="00972981"/>
    <w:rsid w:val="009A707E"/>
    <w:rsid w:val="009B5E6C"/>
    <w:rsid w:val="009C0D36"/>
    <w:rsid w:val="009D626B"/>
    <w:rsid w:val="00A71DFE"/>
    <w:rsid w:val="00A73116"/>
    <w:rsid w:val="00A86CDE"/>
    <w:rsid w:val="00B14DCD"/>
    <w:rsid w:val="00B54D20"/>
    <w:rsid w:val="00B5539A"/>
    <w:rsid w:val="00B662F5"/>
    <w:rsid w:val="00BB0142"/>
    <w:rsid w:val="00BC3194"/>
    <w:rsid w:val="00BD2C0F"/>
    <w:rsid w:val="00BD3266"/>
    <w:rsid w:val="00C027FA"/>
    <w:rsid w:val="00C162CE"/>
    <w:rsid w:val="00C36DB5"/>
    <w:rsid w:val="00C70E6B"/>
    <w:rsid w:val="00C945F4"/>
    <w:rsid w:val="00CA3FF4"/>
    <w:rsid w:val="00CF0E78"/>
    <w:rsid w:val="00D03AC9"/>
    <w:rsid w:val="00D13AD0"/>
    <w:rsid w:val="00D14E58"/>
    <w:rsid w:val="00D228A2"/>
    <w:rsid w:val="00D83FEB"/>
    <w:rsid w:val="00D85D22"/>
    <w:rsid w:val="00DA7CFD"/>
    <w:rsid w:val="00DB5A7A"/>
    <w:rsid w:val="00DD59D4"/>
    <w:rsid w:val="00E5379F"/>
    <w:rsid w:val="00EA2DAF"/>
    <w:rsid w:val="00EB3E7D"/>
    <w:rsid w:val="00EC59B9"/>
    <w:rsid w:val="00EC5DF3"/>
    <w:rsid w:val="00F41709"/>
    <w:rsid w:val="00F55809"/>
    <w:rsid w:val="00F60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91878"/>
  <w15:docId w15:val="{C23FE526-0E6E-411C-9DDC-0C766952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jc w:val="both"/>
      <w:outlineLvl w:val="1"/>
    </w:pPr>
    <w:rPr>
      <w:b/>
    </w:rPr>
  </w:style>
  <w:style w:type="paragraph" w:styleId="Nadpis3">
    <w:name w:val="heading 3"/>
    <w:basedOn w:val="Normln"/>
    <w:next w:val="Normln"/>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Rozvrendokumentu">
    <w:name w:val="Rozvržení dokumentu"/>
    <w:basedOn w:val="Normln"/>
    <w:semiHidden/>
    <w:pPr>
      <w:shd w:val="clear" w:color="auto" w:fill="000080"/>
    </w:pPr>
    <w:rPr>
      <w:rFonts w:ascii="Tahoma" w:hAnsi="Tahoma" w:cs="Tahoma"/>
    </w:rPr>
  </w:style>
  <w:style w:type="paragraph" w:styleId="Zkladntextodsazen">
    <w:name w:val="Body Text Indent"/>
    <w:basedOn w:val="Normln"/>
    <w:semiHidden/>
    <w:pPr>
      <w:ind w:left="426"/>
      <w:jc w:val="both"/>
    </w:pPr>
    <w:rPr>
      <w:b/>
      <w:bCs/>
      <w:i/>
      <w:iCs/>
    </w:rPr>
  </w:style>
  <w:style w:type="paragraph" w:styleId="Nzev">
    <w:name w:val="Title"/>
    <w:basedOn w:val="Normln"/>
    <w:qFormat/>
    <w:pPr>
      <w:jc w:val="center"/>
    </w:pPr>
    <w:rPr>
      <w:rFonts w:ascii="Arial" w:hAnsi="Arial" w:cs="Arial"/>
      <w:b/>
      <w:bCs/>
      <w:sz w:val="28"/>
      <w:szCs w:val="24"/>
    </w:rPr>
  </w:style>
  <w:style w:type="character" w:styleId="Odkaznakoment">
    <w:name w:val="annotation reference"/>
    <w:semiHidden/>
    <w:rsid w:val="00EC59B9"/>
    <w:rPr>
      <w:sz w:val="16"/>
      <w:szCs w:val="16"/>
    </w:rPr>
  </w:style>
  <w:style w:type="paragraph" w:styleId="Textkomente">
    <w:name w:val="annotation text"/>
    <w:basedOn w:val="Normln"/>
    <w:semiHidden/>
    <w:rsid w:val="00EC59B9"/>
  </w:style>
  <w:style w:type="paragraph" w:styleId="Pedmtkomente">
    <w:name w:val="annotation subject"/>
    <w:basedOn w:val="Textkomente"/>
    <w:next w:val="Textkomente"/>
    <w:semiHidden/>
    <w:rsid w:val="00EC59B9"/>
    <w:rPr>
      <w:b/>
      <w:bCs/>
    </w:rPr>
  </w:style>
  <w:style w:type="paragraph" w:styleId="Textbubliny">
    <w:name w:val="Balloon Text"/>
    <w:basedOn w:val="Normln"/>
    <w:semiHidden/>
    <w:rsid w:val="00EC59B9"/>
    <w:rPr>
      <w:rFonts w:ascii="Tahoma" w:hAnsi="Tahoma" w:cs="Tahoma"/>
      <w:sz w:val="16"/>
      <w:szCs w:val="16"/>
    </w:rPr>
  </w:style>
  <w:style w:type="paragraph" w:styleId="Odstavecseseznamem">
    <w:name w:val="List Paragraph"/>
    <w:basedOn w:val="Normln"/>
    <w:uiPriority w:val="34"/>
    <w:qFormat/>
    <w:rsid w:val="0033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1744</Words>
  <Characters>10296</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Nemocnice ve Frýdku-Místku</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Právní služba</dc:creator>
  <cp:lastModifiedBy>Petra Tomanová</cp:lastModifiedBy>
  <cp:revision>7</cp:revision>
  <cp:lastPrinted>2016-09-05T08:50:00Z</cp:lastPrinted>
  <dcterms:created xsi:type="dcterms:W3CDTF">2016-09-05T11:31:00Z</dcterms:created>
  <dcterms:modified xsi:type="dcterms:W3CDTF">2016-09-13T10:48:00Z</dcterms:modified>
</cp:coreProperties>
</file>