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ayout w:type="fixed"/>
        <w:tblCellMar>
          <w:left w:w="0" w:type="dxa"/>
          <w:right w:w="0" w:type="dxa"/>
        </w:tblCellMar>
        <w:tblLook w:val="0000" w:firstRow="0" w:lastRow="0" w:firstColumn="0" w:lastColumn="0" w:noHBand="0" w:noVBand="0"/>
      </w:tblPr>
      <w:tblGrid>
        <w:gridCol w:w="630"/>
        <w:gridCol w:w="9009"/>
      </w:tblGrid>
      <w:tr w:rsidR="006F1C2D" w:rsidRPr="00EB16B3" w:rsidTr="008C1233">
        <w:tc>
          <w:tcPr>
            <w:tcW w:w="9639" w:type="dxa"/>
            <w:gridSpan w:val="2"/>
            <w:tcBorders>
              <w:top w:val="nil"/>
              <w:left w:val="nil"/>
              <w:bottom w:val="nil"/>
              <w:right w:val="nil"/>
            </w:tcBorders>
            <w:noWrap/>
            <w:tcMar>
              <w:left w:w="0" w:type="dxa"/>
              <w:right w:w="0" w:type="dxa"/>
            </w:tcMar>
          </w:tcPr>
          <w:p w:rsidR="006F1C2D" w:rsidRPr="006F1C2D" w:rsidRDefault="006F1C2D" w:rsidP="00EB41AE">
            <w:pPr>
              <w:spacing w:after="40"/>
              <w:jc w:val="both"/>
              <w:rPr>
                <w:rFonts w:cs="Arial"/>
                <w:sz w:val="14"/>
                <w:szCs w:val="18"/>
              </w:rPr>
            </w:pPr>
            <w:bookmarkStart w:id="0" w:name="ceska"/>
            <w:bookmarkStart w:id="1" w:name="S_D1_optJazykCZ_ALL"/>
            <w:bookmarkStart w:id="2" w:name="_GoBack"/>
            <w:bookmarkEnd w:id="2"/>
            <w:r w:rsidRPr="006F1C2D">
              <w:rPr>
                <w:rFonts w:cs="Arial"/>
                <w:sz w:val="14"/>
                <w:szCs w:val="18"/>
              </w:rPr>
              <w:t>Komerční banka, a.s., vydává tyto všeobecné obchodní podmínky (dále jen „VOP“), které upravují základní pravidla obchodních vztahů mezi Bankou a Klienty při poskytování Bankovních služeb.</w:t>
            </w:r>
            <w:r w:rsidRPr="006F1C2D">
              <w:rPr>
                <w:rFonts w:eastAsia="ArialMT" w:cs="Arial"/>
                <w:szCs w:val="18"/>
              </w:rPr>
              <w:t xml:space="preserve"> </w:t>
            </w:r>
            <w:r w:rsidRPr="006F1C2D">
              <w:rPr>
                <w:rFonts w:cs="Arial"/>
                <w:sz w:val="14"/>
                <w:szCs w:val="18"/>
              </w:rPr>
              <w:t>Seznamte se prosím důkladně s tímto dokumentem. Vaše případné dotazy rádi zodpovíme.</w:t>
            </w:r>
            <w:bookmarkStart w:id="3" w:name="CZ_start"/>
            <w:bookmarkEnd w:id="3"/>
          </w:p>
        </w:tc>
      </w:tr>
      <w:tr w:rsidR="006F1C2D" w:rsidRPr="00EB16B3" w:rsidTr="008C1233">
        <w:trPr>
          <w:trHeight w:hRule="exact" w:val="57"/>
        </w:trPr>
        <w:tc>
          <w:tcPr>
            <w:tcW w:w="9639" w:type="dxa"/>
            <w:gridSpan w:val="2"/>
            <w:tcBorders>
              <w:top w:val="nil"/>
              <w:left w:val="nil"/>
              <w:bottom w:val="nil"/>
              <w:right w:val="nil"/>
            </w:tcBorders>
            <w:noWrap/>
            <w:tcMar>
              <w:left w:w="0" w:type="dxa"/>
              <w:right w:w="0" w:type="dxa"/>
            </w:tcMar>
          </w:tcPr>
          <w:p w:rsidR="006F1C2D" w:rsidRPr="00844DB6" w:rsidRDefault="006F1C2D" w:rsidP="006F1C2D">
            <w:pPr>
              <w:spacing w:after="40"/>
              <w:jc w:val="both"/>
              <w:rPr>
                <w:rFonts w:cs="Arial"/>
                <w:sz w:val="14"/>
                <w:szCs w:val="1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 Úvodní ustanovení</w:t>
            </w:r>
          </w:p>
        </w:tc>
      </w:tr>
      <w:tr w:rsidR="00EA6627" w:rsidRPr="00EB16B3" w:rsidTr="00E472BC">
        <w:trPr>
          <w:trHeight w:hRule="exact" w:val="57"/>
        </w:trPr>
        <w:tc>
          <w:tcPr>
            <w:tcW w:w="9639" w:type="dxa"/>
            <w:gridSpan w:val="2"/>
            <w:tcBorders>
              <w:top w:val="nil"/>
              <w:left w:val="nil"/>
              <w:bottom w:val="nil"/>
              <w:right w:val="nil"/>
            </w:tcBorders>
            <w:noWrap/>
            <w:tcMar>
              <w:left w:w="0" w:type="dxa"/>
              <w:right w:w="0" w:type="dxa"/>
            </w:tcMar>
          </w:tcPr>
          <w:p w:rsidR="00EA6627" w:rsidRPr="006F1C2D" w:rsidRDefault="00EA6627" w:rsidP="00E472BC">
            <w:pPr>
              <w:keepNext/>
              <w:spacing w:after="40"/>
              <w:jc w:val="both"/>
              <w:rPr>
                <w:rFonts w:cs="Arial"/>
                <w:sz w:val="14"/>
                <w:szCs w:val="18"/>
                <w:lang w:val="en-GB"/>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jc w:val="both"/>
              <w:rPr>
                <w:rFonts w:cs="Arial"/>
                <w:sz w:val="14"/>
                <w:szCs w:val="18"/>
              </w:rPr>
            </w:pPr>
            <w:r w:rsidRPr="006F1C2D">
              <w:rPr>
                <w:rFonts w:cs="Arial"/>
                <w:sz w:val="14"/>
                <w:szCs w:val="18"/>
              </w:rPr>
              <w:t>Komerční banka, a.s., je právnická osoba vykonávající činnost na základě bankovní licence udělené jí podle příslušných právních předpisů.</w:t>
            </w:r>
          </w:p>
          <w:p w:rsidR="00EA6627" w:rsidRPr="006F1C2D" w:rsidRDefault="00EA6627" w:rsidP="00E472BC">
            <w:pPr>
              <w:tabs>
                <w:tab w:val="num" w:pos="425"/>
              </w:tabs>
              <w:jc w:val="both"/>
              <w:rPr>
                <w:rFonts w:cs="Arial"/>
                <w:sz w:val="14"/>
                <w:szCs w:val="18"/>
              </w:rPr>
            </w:pPr>
            <w:r w:rsidRPr="006F1C2D">
              <w:rPr>
                <w:rFonts w:cs="Arial"/>
                <w:sz w:val="14"/>
                <w:szCs w:val="18"/>
              </w:rPr>
              <w:t>Identifikační údaje:</w:t>
            </w:r>
          </w:p>
          <w:p w:rsidR="00EA6627" w:rsidRPr="006F1C2D" w:rsidRDefault="00EA6627" w:rsidP="00E472BC">
            <w:pPr>
              <w:tabs>
                <w:tab w:val="num" w:pos="425"/>
              </w:tabs>
              <w:jc w:val="both"/>
              <w:rPr>
                <w:rFonts w:cs="Arial"/>
                <w:sz w:val="14"/>
                <w:szCs w:val="18"/>
              </w:rPr>
            </w:pPr>
            <w:r w:rsidRPr="006F1C2D">
              <w:rPr>
                <w:rFonts w:cs="Arial"/>
                <w:sz w:val="14"/>
                <w:szCs w:val="18"/>
              </w:rPr>
              <w:t>sídlo: Praha 1, Na Příkopě 33, čp. 969, PSČ 114 07,</w:t>
            </w:r>
            <w:r>
              <w:rPr>
                <w:rFonts w:cs="Arial"/>
                <w:sz w:val="14"/>
                <w:szCs w:val="18"/>
              </w:rPr>
              <w:t xml:space="preserve"> </w:t>
            </w:r>
          </w:p>
          <w:p w:rsidR="00EA6627" w:rsidRPr="006F1C2D" w:rsidRDefault="00EA6627" w:rsidP="00E472BC">
            <w:pPr>
              <w:tabs>
                <w:tab w:val="num" w:pos="425"/>
              </w:tabs>
              <w:jc w:val="both"/>
              <w:rPr>
                <w:rFonts w:cs="Arial"/>
                <w:sz w:val="14"/>
                <w:szCs w:val="18"/>
              </w:rPr>
            </w:pPr>
            <w:r w:rsidRPr="006F1C2D">
              <w:rPr>
                <w:rFonts w:cs="Arial"/>
                <w:sz w:val="14"/>
                <w:szCs w:val="18"/>
              </w:rPr>
              <w:t>IČO: 45317054,</w:t>
            </w:r>
            <w:r>
              <w:rPr>
                <w:rFonts w:cs="Arial"/>
                <w:sz w:val="14"/>
                <w:szCs w:val="18"/>
              </w:rPr>
              <w:t xml:space="preserve"> </w:t>
            </w:r>
          </w:p>
          <w:p w:rsidR="00EA6627" w:rsidRPr="006F1C2D" w:rsidRDefault="00EA6627" w:rsidP="00E472BC">
            <w:pPr>
              <w:tabs>
                <w:tab w:val="num" w:pos="425"/>
              </w:tabs>
              <w:jc w:val="both"/>
              <w:rPr>
                <w:rFonts w:cs="Arial"/>
                <w:sz w:val="14"/>
                <w:szCs w:val="18"/>
              </w:rPr>
            </w:pPr>
            <w:r w:rsidRPr="006F1C2D">
              <w:rPr>
                <w:rFonts w:cs="Arial"/>
                <w:sz w:val="14"/>
                <w:szCs w:val="18"/>
              </w:rPr>
              <w:t xml:space="preserve">zapsaná v obchodním rejstříku vedeném Městským soudem v Praze, oddíl B, vložka 1360, </w:t>
            </w:r>
          </w:p>
          <w:p w:rsidR="00EA6627" w:rsidRPr="006F1C2D" w:rsidRDefault="00EA6627" w:rsidP="00E472BC">
            <w:pPr>
              <w:tabs>
                <w:tab w:val="num" w:pos="425"/>
              </w:tabs>
              <w:jc w:val="both"/>
              <w:rPr>
                <w:rFonts w:cs="Arial"/>
                <w:sz w:val="14"/>
                <w:szCs w:val="18"/>
              </w:rPr>
            </w:pPr>
            <w:r w:rsidRPr="006F1C2D">
              <w:rPr>
                <w:rFonts w:cs="Arial"/>
                <w:sz w:val="14"/>
                <w:szCs w:val="18"/>
              </w:rPr>
              <w:t>číselný kód: 0100,</w:t>
            </w:r>
            <w:r>
              <w:rPr>
                <w:rFonts w:cs="Arial"/>
                <w:sz w:val="14"/>
                <w:szCs w:val="18"/>
              </w:rPr>
              <w:t xml:space="preserve"> </w:t>
            </w:r>
            <w:r w:rsidRPr="006F1C2D">
              <w:rPr>
                <w:rFonts w:cs="Arial"/>
                <w:sz w:val="14"/>
                <w:szCs w:val="18"/>
              </w:rPr>
              <w:t>znakový kód: KOMB,</w:t>
            </w:r>
          </w:p>
          <w:p w:rsidR="00EA6627" w:rsidRDefault="00EA6627" w:rsidP="00E472BC">
            <w:pPr>
              <w:tabs>
                <w:tab w:val="num" w:pos="425"/>
              </w:tabs>
              <w:jc w:val="both"/>
              <w:rPr>
                <w:rFonts w:cs="Arial"/>
                <w:sz w:val="14"/>
                <w:szCs w:val="18"/>
              </w:rPr>
            </w:pPr>
            <w:r w:rsidRPr="006F1C2D">
              <w:rPr>
                <w:rFonts w:cs="Arial"/>
                <w:sz w:val="14"/>
                <w:szCs w:val="18"/>
              </w:rPr>
              <w:t xml:space="preserve">BIC / SWIFT kód: KOMBCZPPXXX (pro 8místnou variantu: KOMBCZPP). </w:t>
            </w:r>
          </w:p>
          <w:p w:rsidR="00EA6627" w:rsidRPr="006F1C2D" w:rsidRDefault="00EA6627" w:rsidP="00E472BC">
            <w:pPr>
              <w:tabs>
                <w:tab w:val="num" w:pos="425"/>
              </w:tabs>
              <w:jc w:val="both"/>
              <w:rPr>
                <w:rFonts w:cs="Arial"/>
                <w:sz w:val="14"/>
                <w:szCs w:val="18"/>
              </w:rPr>
            </w:pPr>
            <w:r w:rsidRPr="006F1C2D">
              <w:rPr>
                <w:rFonts w:cs="Arial"/>
                <w:sz w:val="14"/>
                <w:szCs w:val="18"/>
              </w:rPr>
              <w:t>Činnost Banky podléhá dohledu ze strany ČNB.</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poskytuje Bankovní služby zpravidla v Klientově obchodním místě, v Obchodních dnech a v jejích provozních hodinách.</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nemá povinnost vstoupit s Klientem do smluvního vztahu nebo poskytnout Bankovní službu. Banka je oprávněna vázat poskytování Bankovních služeb na předložení potřebných dokumentů a informací.</w:t>
            </w:r>
            <w:r w:rsidRPr="007D23B8">
              <w:rPr>
                <w:rFonts w:ascii="Calibri" w:eastAsia="Times New Roman" w:hAnsi="Calibri" w:cs="Arial"/>
                <w:color w:val="222222"/>
                <w:sz w:val="22"/>
              </w:rPr>
              <w:t xml:space="preserve"> </w:t>
            </w:r>
            <w:r w:rsidRPr="005E55C7">
              <w:rPr>
                <w:rFonts w:cs="Arial"/>
                <w:sz w:val="14"/>
                <w:szCs w:val="18"/>
              </w:rPr>
              <w:t xml:space="preserve">Banka si </w:t>
            </w:r>
            <w:r>
              <w:rPr>
                <w:rFonts w:cs="Arial"/>
                <w:sz w:val="14"/>
                <w:szCs w:val="18"/>
              </w:rPr>
              <w:t xml:space="preserve">dále </w:t>
            </w:r>
            <w:r w:rsidRPr="005E55C7">
              <w:rPr>
                <w:rFonts w:cs="Arial"/>
                <w:sz w:val="14"/>
                <w:szCs w:val="18"/>
              </w:rPr>
              <w:t xml:space="preserve">vyhrazuje </w:t>
            </w:r>
            <w:r>
              <w:rPr>
                <w:rFonts w:cs="Arial"/>
                <w:sz w:val="14"/>
                <w:szCs w:val="18"/>
              </w:rPr>
              <w:t xml:space="preserve">právo </w:t>
            </w:r>
            <w:r w:rsidRPr="005E55C7">
              <w:rPr>
                <w:rFonts w:cs="Arial"/>
                <w:sz w:val="14"/>
                <w:szCs w:val="18"/>
              </w:rPr>
              <w:t>neposkytnout Bankovní službu, pokud by tím mohlo dojít k porušení hospodářského, finančního anebo jiného sankčního omezení vyhlášeného Českou republikou, Organizací spojených národů, Evropskou unií, Spojenými státy americkými anebo obdobného opatření Bank</w:t>
            </w:r>
            <w:r>
              <w:rPr>
                <w:rFonts w:cs="Arial"/>
                <w:sz w:val="14"/>
                <w:szCs w:val="18"/>
              </w:rPr>
              <w:t>y anebo finanční skupiny S</w:t>
            </w:r>
            <w:r w:rsidRPr="005E55C7">
              <w:rPr>
                <w:rFonts w:cs="Arial"/>
                <w:sz w:val="14"/>
                <w:szCs w:val="18"/>
              </w:rPr>
              <w:t>G.</w:t>
            </w:r>
            <w:r>
              <w:rPr>
                <w:rFonts w:cs="Arial"/>
                <w:sz w:val="14"/>
                <w:szCs w:val="18"/>
              </w:rPr>
              <w:t xml:space="preserve"> </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 Smluvní dokumentace</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Výčet Smluvních dokumentů.</w:t>
            </w:r>
            <w:r w:rsidRPr="006F1C2D">
              <w:rPr>
                <w:rFonts w:cs="Arial"/>
                <w:sz w:val="14"/>
                <w:szCs w:val="18"/>
              </w:rPr>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 Bankovními službami souvisejícími jsou stanoveny v</w:t>
            </w:r>
            <w:r w:rsidR="007538ED">
              <w:rPr>
                <w:rFonts w:cs="Arial"/>
                <w:sz w:val="14"/>
                <w:szCs w:val="18"/>
              </w:rPr>
              <w:t xml:space="preserve"> </w:t>
            </w:r>
            <w:r w:rsidRPr="006F1C2D">
              <w:rPr>
                <w:rFonts w:cs="Arial"/>
                <w:sz w:val="14"/>
                <w:szCs w:val="18"/>
              </w:rPr>
              <w:t>Sazebníku. VOP, Produktové podmínky pro příslušnou Bankovní službu, Oznámení pro příslušnou Bankovní službu a Sazebník (v rozsahu relevantním k příslušné Bankovní službě) tvoří část obsahu Smlouvy (dále jen „Smluvní dokumenty“). Smluvní dokumenty uveřejňuje Banka na svých internetových stránkách nebo jsou k dispozici v obchodních místech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2.2</w:t>
            </w:r>
          </w:p>
        </w:tc>
        <w:tc>
          <w:tcPr>
            <w:tcW w:w="9009" w:type="dxa"/>
            <w:tcBorders>
              <w:left w:val="single" w:sz="6" w:space="0" w:color="C8C8C8"/>
            </w:tcBorders>
            <w:noWrap/>
            <w:tcMar>
              <w:left w:w="113" w:type="dxa"/>
              <w:right w:w="113" w:type="dxa"/>
            </w:tcMar>
          </w:tcPr>
          <w:p w:rsidR="00EA6627" w:rsidRPr="006F1C2D" w:rsidRDefault="00EA6627" w:rsidP="00EA6627">
            <w:pPr>
              <w:spacing w:before="40" w:after="40"/>
              <w:jc w:val="both"/>
              <w:rPr>
                <w:rFonts w:cs="Arial"/>
                <w:sz w:val="14"/>
                <w:szCs w:val="18"/>
              </w:rPr>
            </w:pPr>
            <w:r w:rsidRPr="006F1C2D">
              <w:rPr>
                <w:rFonts w:cs="Arial"/>
                <w:sz w:val="14"/>
                <w:szCs w:val="18"/>
              </w:rPr>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w:t>
            </w:r>
            <w:r>
              <w:rPr>
                <w:rFonts w:cs="Arial"/>
                <w:sz w:val="14"/>
                <w:szCs w:val="18"/>
              </w:rPr>
              <w:t xml:space="preserve"> </w:t>
            </w:r>
            <w:r w:rsidRPr="006F1C2D">
              <w:rPr>
                <w:rFonts w:cs="Arial"/>
                <w:sz w:val="14"/>
                <w:szCs w:val="18"/>
              </w:rPr>
              <w:t>Smluvní dokument ve znění navrhovaných změn.</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w:t>
            </w:r>
          </w:p>
        </w:tc>
        <w:tc>
          <w:tcPr>
            <w:tcW w:w="9009" w:type="dxa"/>
            <w:tcBorders>
              <w:left w:val="single" w:sz="6" w:space="0" w:color="C8C8C8"/>
            </w:tcBorders>
            <w:noWrap/>
            <w:tcMar>
              <w:left w:w="113" w:type="dxa"/>
              <w:right w:w="113" w:type="dxa"/>
            </w:tcMar>
          </w:tcPr>
          <w:p w:rsidR="00EA6627" w:rsidRPr="006F1C2D" w:rsidRDefault="00EA6627" w:rsidP="00E472BC">
            <w:pPr>
              <w:overflowPunct w:val="0"/>
              <w:autoSpaceDE w:val="0"/>
              <w:autoSpaceDN w:val="0"/>
              <w:spacing w:before="40" w:after="40"/>
              <w:jc w:val="both"/>
              <w:rPr>
                <w:rFonts w:cs="Arial"/>
                <w:sz w:val="14"/>
                <w:szCs w:val="18"/>
              </w:rPr>
            </w:pPr>
            <w:r w:rsidRPr="006F1C2D">
              <w:rPr>
                <w:rFonts w:cs="Arial"/>
                <w:b/>
                <w:sz w:val="14"/>
                <w:szCs w:val="18"/>
              </w:rPr>
              <w:t>Hierarchie Smluvních dokumentů.</w:t>
            </w:r>
            <w:r w:rsidRPr="006F1C2D">
              <w:rPr>
                <w:rFonts w:cs="Arial"/>
                <w:sz w:val="14"/>
                <w:szCs w:val="18"/>
              </w:rPr>
              <w:t xml:space="preserve"> Ujednání Smlouvy mají přednost před odchylnými ujednáními Smluvních dokumentů. Ustanovení Produktových podmínek mají přednost před odchylnými ustanoveními VOP, Oznámení a Sazebníku. Ustanovení Oznámení a Sazebníku mají přednost před odchylnými ustanoveními VOP.</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se zavazuje, že osoby, které jménem nebo za Klienta využívají Bankovní služby, budou vždy řádně seznámeny s příslušnou Smlouvou, Smluvními dokumenty a dalšími dokumenty, které se k dané Bankovní službě vztahují.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CD50D8">
              <w:rPr>
                <w:rFonts w:cs="Arial"/>
                <w:b/>
                <w:sz w:val="14"/>
                <w:szCs w:val="18"/>
              </w:rPr>
              <w:t>Povinné zveřejňování Smluv</w:t>
            </w:r>
            <w:r w:rsidRPr="005600C5">
              <w:rPr>
                <w:rFonts w:cs="Arial"/>
                <w:sz w:val="14"/>
                <w:szCs w:val="18"/>
              </w:rPr>
              <w:t xml:space="preserve">. </w:t>
            </w:r>
            <w:r w:rsidRPr="00CD50D8">
              <w:rPr>
                <w:rFonts w:cs="Arial"/>
                <w:sz w:val="14"/>
                <w:szCs w:val="18"/>
              </w:rPr>
              <w:t>Nesplní-li Klient zákonnou</w:t>
            </w:r>
            <w:r w:rsidRPr="00EA6627">
              <w:rPr>
                <w:rFonts w:cs="Arial"/>
                <w:sz w:val="14"/>
                <w:szCs w:val="18"/>
                <w:vertAlign w:val="superscript"/>
              </w:rPr>
              <w:footnoteReference w:id="1"/>
            </w:r>
            <w:r w:rsidRPr="00CD50D8">
              <w:rPr>
                <w:rFonts w:cs="Arial"/>
                <w:sz w:val="14"/>
                <w:szCs w:val="18"/>
              </w:rPr>
              <w:t xml:space="preserve">či smluvní povinnost uveřejnit Smlouvu, je Banka oprávněna ji uveřejnit příslušným způsobem sama. Klient je povinen nahradit Bance škodu, která jí vznikne v důsledku porušení povinnosti </w:t>
            </w:r>
            <w:r>
              <w:rPr>
                <w:rFonts w:cs="Arial"/>
                <w:sz w:val="14"/>
                <w:szCs w:val="18"/>
              </w:rPr>
              <w:t xml:space="preserve">Klienta </w:t>
            </w:r>
            <w:r w:rsidRPr="00CD50D8">
              <w:rPr>
                <w:rFonts w:cs="Arial"/>
                <w:sz w:val="14"/>
                <w:szCs w:val="18"/>
              </w:rPr>
              <w:t>dle předchozí věty</w:t>
            </w:r>
            <w:r w:rsidRPr="006F1C2D">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3. Identifikace klienta a předkládání dokumentů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3.1</w:t>
            </w:r>
          </w:p>
        </w:tc>
        <w:tc>
          <w:tcPr>
            <w:tcW w:w="9009" w:type="dxa"/>
            <w:tcBorders>
              <w:left w:val="single" w:sz="6" w:space="0" w:color="C8C8C8"/>
            </w:tcBorders>
            <w:noWrap/>
            <w:tcMar>
              <w:left w:w="113" w:type="dxa"/>
              <w:right w:w="113" w:type="dxa"/>
            </w:tcMar>
          </w:tcPr>
          <w:p w:rsidR="00EA6627" w:rsidRPr="006F1C2D" w:rsidRDefault="00EA6627" w:rsidP="00EA6627">
            <w:pPr>
              <w:tabs>
                <w:tab w:val="num" w:pos="567"/>
              </w:tabs>
              <w:spacing w:before="40" w:after="40"/>
              <w:jc w:val="both"/>
              <w:rPr>
                <w:rFonts w:cs="Arial"/>
                <w:b/>
                <w:sz w:val="14"/>
                <w:szCs w:val="18"/>
              </w:rPr>
            </w:pPr>
            <w:r w:rsidRPr="006F1C2D">
              <w:rPr>
                <w:rFonts w:cs="Arial"/>
                <w:b/>
                <w:sz w:val="14"/>
                <w:szCs w:val="18"/>
              </w:rPr>
              <w:t>Identifikace osob.</w:t>
            </w:r>
            <w:r w:rsidRPr="006F1C2D">
              <w:rPr>
                <w:rFonts w:cs="Arial"/>
                <w:sz w:val="14"/>
                <w:szCs w:val="18"/>
              </w:rPr>
              <w:t xml:space="preserve"> Před poskytnutím i v průběhu poskytování Bankovní služby je Banka oprávněna žádat o identifikační doklady, další dokumenty a informace nutné k jejímu poskytnutí a k řádné identifikaci a kontrole Klienta, osob oprávněných jednat jménem Klienta, a Skutečného majitele a dále k určení, zda Klient, Skutečný majitel Klienta nebo osoba oprávněná jednat jménem Klienta je či není Politicky exponovanou osobou</w:t>
            </w:r>
            <w:r>
              <w:rPr>
                <w:rFonts w:cs="Arial"/>
                <w:sz w:val="14"/>
                <w:szCs w:val="18"/>
              </w:rPr>
              <w:t xml:space="preserve">, </w:t>
            </w:r>
            <w:r w:rsidRPr="006F1C2D">
              <w:rPr>
                <w:rFonts w:cs="Arial"/>
                <w:sz w:val="14"/>
                <w:szCs w:val="18"/>
              </w:rPr>
              <w:t>U.S. osobou</w:t>
            </w:r>
            <w:r>
              <w:rPr>
                <w:rFonts w:cs="Arial"/>
                <w:sz w:val="14"/>
                <w:szCs w:val="18"/>
              </w:rPr>
              <w:t xml:space="preserve"> nebo českým daňovým nerezidentem</w:t>
            </w:r>
            <w:r w:rsidRPr="006F1C2D">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stanovit rozsah vyžadovaných dokumentů a informací. Banka je v rámci plnění svých povinností vy</w:t>
            </w:r>
            <w:r>
              <w:rPr>
                <w:rFonts w:cs="Arial"/>
                <w:sz w:val="14"/>
                <w:szCs w:val="18"/>
              </w:rPr>
              <w:t>plývajících z právních předpisů</w:t>
            </w:r>
            <w:r w:rsidRPr="00EA6627">
              <w:rPr>
                <w:rFonts w:cs="Arial"/>
                <w:sz w:val="14"/>
                <w:szCs w:val="18"/>
                <w:vertAlign w:val="superscript"/>
              </w:rPr>
              <w:footnoteReference w:id="2"/>
            </w:r>
            <w:r w:rsidRPr="00EA6627">
              <w:rPr>
                <w:rFonts w:cs="Arial"/>
                <w:sz w:val="14"/>
                <w:szCs w:val="18"/>
                <w:vertAlign w:val="superscript"/>
              </w:rPr>
              <w:t xml:space="preserve"> </w:t>
            </w:r>
            <w:r>
              <w:rPr>
                <w:rFonts w:cs="Arial"/>
                <w:sz w:val="14"/>
                <w:szCs w:val="18"/>
              </w:rPr>
              <w:t>o</w:t>
            </w:r>
            <w:r w:rsidRPr="006F1C2D">
              <w:rPr>
                <w:rFonts w:cs="Arial"/>
                <w:sz w:val="14"/>
                <w:szCs w:val="18"/>
              </w:rPr>
              <w:t>právněna provádět identifikaci a kontrolu, plnit svou informační povinnost, zjišťovat a zpracovávat údaje o účastnících Bankovní služby, vést evidenci takto získaných údajů, to vše v souladu se smluvními ujednáními a právními předpisy.</w:t>
            </w:r>
            <w:r w:rsidRPr="00EA6627">
              <w:rPr>
                <w:rFonts w:cs="Arial"/>
                <w:sz w:val="14"/>
                <w:szCs w:val="18"/>
                <w:vertAlign w:val="superscript"/>
              </w:rPr>
              <w:footnoteReference w:id="3"/>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Pořízení kopií dokumentů. </w:t>
            </w:r>
            <w:r w:rsidRPr="006F1C2D">
              <w:rPr>
                <w:rFonts w:cs="Arial"/>
                <w:sz w:val="14"/>
                <w:szCs w:val="18"/>
              </w:rPr>
              <w:t xml:space="preserve">Banka je oprávněna pořídit si pro vlastní potřebu kopie předložených dokumentů.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3.4</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b/>
                <w:sz w:val="14"/>
                <w:szCs w:val="18"/>
              </w:rPr>
            </w:pPr>
            <w:r>
              <w:rPr>
                <w:rFonts w:cs="Arial"/>
                <w:b/>
                <w:sz w:val="14"/>
                <w:szCs w:val="18"/>
              </w:rPr>
              <w:t xml:space="preserve">Záznamy komunikace v rámci poskytování investičních služeb. </w:t>
            </w:r>
            <w:r w:rsidRPr="00B63142">
              <w:rPr>
                <w:rFonts w:cs="Arial"/>
                <w:sz w:val="14"/>
                <w:szCs w:val="18"/>
              </w:rPr>
              <w:t>V</w:t>
            </w:r>
            <w:r>
              <w:rPr>
                <w:rFonts w:cs="Arial"/>
                <w:sz w:val="14"/>
                <w:szCs w:val="18"/>
              </w:rPr>
              <w:t> </w:t>
            </w:r>
            <w:r w:rsidRPr="00B63142">
              <w:rPr>
                <w:rFonts w:cs="Arial"/>
                <w:sz w:val="14"/>
                <w:szCs w:val="18"/>
              </w:rPr>
              <w:t>rámci</w:t>
            </w:r>
            <w:r>
              <w:rPr>
                <w:rFonts w:cs="Arial"/>
                <w:sz w:val="14"/>
                <w:szCs w:val="18"/>
              </w:rPr>
              <w:t xml:space="preserve"> poskytování</w:t>
            </w:r>
            <w:r w:rsidRPr="00B63142">
              <w:rPr>
                <w:rFonts w:cs="Arial"/>
                <w:sz w:val="14"/>
                <w:szCs w:val="18"/>
              </w:rPr>
              <w:t> investiční</w:t>
            </w:r>
            <w:r>
              <w:rPr>
                <w:rFonts w:cs="Arial"/>
                <w:sz w:val="14"/>
                <w:szCs w:val="18"/>
              </w:rPr>
              <w:t>ch služeb</w:t>
            </w:r>
            <w:r w:rsidRPr="00B63142">
              <w:rPr>
                <w:rFonts w:cs="Arial"/>
                <w:sz w:val="14"/>
                <w:szCs w:val="18"/>
              </w:rPr>
              <w:t xml:space="preserve"> související</w:t>
            </w:r>
            <w:r>
              <w:rPr>
                <w:rFonts w:cs="Arial"/>
                <w:sz w:val="14"/>
                <w:szCs w:val="18"/>
              </w:rPr>
              <w:t>ch</w:t>
            </w:r>
            <w:r w:rsidRPr="00B63142">
              <w:rPr>
                <w:rFonts w:cs="Arial"/>
                <w:sz w:val="14"/>
                <w:szCs w:val="18"/>
              </w:rPr>
              <w:t xml:space="preserve"> s přijímáním, předáváním a prováděním pokynů </w:t>
            </w:r>
            <w:r>
              <w:rPr>
                <w:rFonts w:cs="Arial"/>
                <w:sz w:val="14"/>
                <w:szCs w:val="18"/>
              </w:rPr>
              <w:t xml:space="preserve">nebo s obchodováním na vlastní účet </w:t>
            </w:r>
            <w:r w:rsidRPr="00B63142">
              <w:rPr>
                <w:rFonts w:cs="Arial"/>
                <w:sz w:val="14"/>
                <w:szCs w:val="18"/>
              </w:rPr>
              <w:t>jsou telefonické hovory na vybr</w:t>
            </w:r>
            <w:r>
              <w:rPr>
                <w:rFonts w:cs="Arial"/>
                <w:sz w:val="14"/>
                <w:szCs w:val="18"/>
              </w:rPr>
              <w:t>ané telefonní linky nahrávány a </w:t>
            </w:r>
            <w:r w:rsidRPr="00B63142">
              <w:rPr>
                <w:rFonts w:cs="Arial"/>
                <w:sz w:val="14"/>
                <w:szCs w:val="18"/>
              </w:rPr>
              <w:t>elektronická komunikace je zaznamenávána, přičemž kopie záznamů hovorů a komunikace jsou na vyžádání k dispozici po dobu pěti let nebo na žádost příslušného orgánu po dobu až sedmi let.</w:t>
            </w:r>
            <w:r>
              <w:rPr>
                <w:rFonts w:cs="Arial"/>
                <w:sz w:val="14"/>
                <w:szCs w:val="18"/>
              </w:rPr>
              <w:t xml:space="preserve"> Banka je oprávněna uchovávat </w:t>
            </w:r>
            <w:r w:rsidRPr="00B63142">
              <w:rPr>
                <w:rFonts w:cs="Arial"/>
                <w:sz w:val="14"/>
                <w:szCs w:val="18"/>
              </w:rPr>
              <w:t xml:space="preserve">telefonické </w:t>
            </w:r>
            <w:r>
              <w:rPr>
                <w:rFonts w:cs="Arial"/>
                <w:sz w:val="14"/>
                <w:szCs w:val="18"/>
              </w:rPr>
              <w:t>nahrávky a elektronickou komunikace i po delší dobu, pokud jí k tomu opravňují právní předpisy.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4. Informační povinnost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 w:val="num" w:pos="567"/>
              </w:tabs>
              <w:spacing w:before="40" w:after="40"/>
              <w:jc w:val="both"/>
              <w:rPr>
                <w:rFonts w:cs="Arial"/>
                <w:sz w:val="14"/>
                <w:szCs w:val="18"/>
              </w:rPr>
            </w:pPr>
            <w:r w:rsidRPr="006F1C2D">
              <w:rPr>
                <w:rFonts w:cs="Arial"/>
                <w:b/>
                <w:sz w:val="14"/>
                <w:szCs w:val="18"/>
              </w:rPr>
              <w:t>Informační povinnost Banky.</w:t>
            </w:r>
            <w:r w:rsidRPr="006F1C2D">
              <w:rPr>
                <w:rFonts w:cs="Arial"/>
                <w:sz w:val="14"/>
                <w:szCs w:val="18"/>
              </w:rPr>
              <w:t xml:space="preserve"> Je-li Smlouva uzavírána mimo obchodní prostory Banky, Klient souhlasí s tím, aby mu Banka poskytovala informace sdělované spotřebiteli při uzavírání smluv mimo obchodní prostory podnikatele</w:t>
            </w:r>
            <w:r w:rsidRPr="00EA6627">
              <w:rPr>
                <w:rFonts w:cs="Arial"/>
                <w:sz w:val="14"/>
                <w:szCs w:val="18"/>
                <w:vertAlign w:val="superscript"/>
              </w:rPr>
              <w:footnoteReference w:id="4"/>
            </w:r>
            <w:r w:rsidRPr="006F1C2D">
              <w:rPr>
                <w:rFonts w:cs="Arial"/>
                <w:sz w:val="14"/>
                <w:szCs w:val="18"/>
              </w:rPr>
              <w:t xml:space="preserve"> na svých internetových stránkách.</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4.2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b/>
                <w:sz w:val="14"/>
                <w:szCs w:val="18"/>
              </w:rPr>
            </w:pPr>
            <w:r w:rsidRPr="00FF1219">
              <w:rPr>
                <w:rFonts w:cs="Arial"/>
                <w:b/>
                <w:sz w:val="14"/>
                <w:szCs w:val="18"/>
              </w:rPr>
              <w:t>Zveřejňování informací.</w:t>
            </w:r>
            <w:r>
              <w:rPr>
                <w:rFonts w:cs="Arial"/>
                <w:sz w:val="14"/>
                <w:szCs w:val="18"/>
              </w:rPr>
              <w:t xml:space="preserve"> </w:t>
            </w:r>
            <w:r w:rsidRPr="006F1C2D">
              <w:rPr>
                <w:rFonts w:cs="Arial"/>
                <w:sz w:val="14"/>
                <w:szCs w:val="18"/>
              </w:rPr>
              <w:t>VOP, Produktové podmínky, Oznámení, Sazebník a kurzovní lístek Banka uveřejňuje v obchodních místech a na internetových stránkách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Informační povinnost Klienta.</w:t>
            </w:r>
            <w:r w:rsidRPr="006F1C2D">
              <w:rPr>
                <w:rFonts w:cs="Arial"/>
                <w:sz w:val="14"/>
                <w:szCs w:val="18"/>
              </w:rPr>
              <w:t xml:space="preserve"> V zájmu zabezpečení řádného poskytování Bankovních služeb je Klient povinen Banku bez zbytečného odkladu informovat o:</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lastRenderedPageBreak/>
              <w:t xml:space="preserve">změně svých identifikačních údajů, jakož i údajů osob jednajících jeho jménem nebo za něj a Skutečného majitele,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jakékoli skutečnosti, která z Klienta může činit Osobu se zvláštním vztahem k Bance,</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změně skutečností určujících status Politicky exponované osoby</w:t>
            </w:r>
            <w:r>
              <w:rPr>
                <w:rFonts w:cs="Arial"/>
                <w:sz w:val="14"/>
                <w:szCs w:val="18"/>
              </w:rPr>
              <w:t>,</w:t>
            </w:r>
            <w:r w:rsidRPr="006F1C2D">
              <w:rPr>
                <w:rFonts w:cs="Arial"/>
                <w:sz w:val="14"/>
                <w:szCs w:val="18"/>
              </w:rPr>
              <w:t xml:space="preserve"> U.S. osoby</w:t>
            </w:r>
            <w:r>
              <w:rPr>
                <w:rFonts w:cs="Arial"/>
                <w:sz w:val="14"/>
                <w:szCs w:val="18"/>
              </w:rPr>
              <w:t xml:space="preserve"> nebo zemi daňové rezidence</w:t>
            </w:r>
            <w:r w:rsidRPr="006F1C2D">
              <w:rPr>
                <w:rFonts w:cs="Arial"/>
                <w:sz w:val="14"/>
                <w:szCs w:val="18"/>
              </w:rPr>
              <w:t xml:space="preserv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dalších změnách a skutečnostech, které mají nebo mohou mít podstatný vliv na poskytování Bankovních služeb,</w:t>
            </w:r>
            <w:r w:rsidR="007538ED">
              <w:rPr>
                <w:rFonts w:cs="Arial"/>
                <w:sz w:val="14"/>
                <w:szCs w:val="18"/>
              </w:rPr>
              <w:t xml:space="preserve"> </w:t>
            </w:r>
            <w:r w:rsidRPr="006F1C2D">
              <w:rPr>
                <w:rFonts w:cs="Arial"/>
                <w:sz w:val="14"/>
                <w:szCs w:val="18"/>
              </w:rPr>
              <w:t xml:space="preserve">na plnění povinností Klienta vůči Bance a dále na právní postavení Klienta (například vstup do likvidace, zahájení insolvenčního řízení, omezení svéprávnosti a podobně) a nebo osob jednajících jménem nebo za Klienta nebo na Skutečného majitele, </w:t>
            </w:r>
          </w:p>
          <w:p w:rsidR="00EA6627" w:rsidRPr="006F1C2D" w:rsidRDefault="00EA6627" w:rsidP="00E472BC">
            <w:pPr>
              <w:numPr>
                <w:ilvl w:val="0"/>
                <w:numId w:val="3"/>
              </w:numPr>
              <w:spacing w:after="40"/>
              <w:ind w:left="227" w:hanging="227"/>
              <w:jc w:val="both"/>
              <w:rPr>
                <w:rFonts w:cs="Arial"/>
                <w:sz w:val="14"/>
                <w:szCs w:val="18"/>
              </w:rPr>
            </w:pPr>
            <w:r w:rsidRPr="006F1C2D">
              <w:rPr>
                <w:rFonts w:cs="Arial"/>
                <w:sz w:val="14"/>
                <w:szCs w:val="18"/>
              </w:rPr>
              <w:t>ztrátě dokumentů zásadního významu v souvislosti s poskytováním Bankovních služeb, jakož i dokladů identifikujících Klienta nebo osoby jednající jménem nebo za Klienta.</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lastRenderedPageBreak/>
              <w:t>4.</w:t>
            </w:r>
            <w:r>
              <w:rPr>
                <w:rFonts w:cs="Arial"/>
                <w:b/>
                <w:sz w:val="14"/>
                <w:szCs w:val="18"/>
              </w:rPr>
              <w:t>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Na žádost Banky je Klient povinen prokázat a doložit původ a zdroj peněžních prostředků, jakož i sdělit Bance veškeré informace a prokázat skutečnosti, které je Banka povinna zjišťovat, včetně doložení účelu a povahy příslušné transakce. Klient je dále povinen Bance sdělit a prokázat údaje a skutečnosti, které může Banka požadovat pro daňové, účetní či jiné účely.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4.</w:t>
            </w:r>
            <w:r>
              <w:rPr>
                <w:rFonts w:cs="Arial"/>
                <w:b/>
                <w:sz w:val="14"/>
                <w:szCs w:val="18"/>
              </w:rPr>
              <w:t>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425"/>
              </w:tabs>
              <w:spacing w:before="40" w:after="40"/>
              <w:jc w:val="both"/>
              <w:rPr>
                <w:rFonts w:cs="Arial"/>
                <w:sz w:val="14"/>
                <w:szCs w:val="18"/>
              </w:rPr>
            </w:pPr>
            <w:r w:rsidRPr="006F1C2D">
              <w:rPr>
                <w:rFonts w:cs="Arial"/>
                <w:b/>
                <w:sz w:val="14"/>
                <w:szCs w:val="18"/>
              </w:rPr>
              <w:t xml:space="preserve">Pravost a správnost předkládaných dokumentů. </w:t>
            </w:r>
            <w:r w:rsidRPr="006F1C2D">
              <w:rPr>
                <w:rFonts w:cs="Arial"/>
                <w:sz w:val="14"/>
                <w:szCs w:val="18"/>
              </w:rPr>
              <w:t>Banka jedná v důvěře v pravost a pravdivost předložených dokladů, dokumentů a poskytnutých informací, přičemž není povinna je přijmout, má-li o nich odůvodněné pochybnosti.</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cs="Arial"/>
                <w:b/>
                <w:bCs/>
                <w:color w:val="FFFFFF"/>
                <w:sz w:val="14"/>
                <w:szCs w:val="20"/>
              </w:rPr>
            </w:pPr>
            <w:r w:rsidRPr="006F1C2D">
              <w:rPr>
                <w:rFonts w:eastAsia="Times New Roman" w:cs="Arial"/>
                <w:b/>
                <w:bCs/>
                <w:color w:val="FFFFFF"/>
                <w:szCs w:val="18"/>
              </w:rPr>
              <w:t>Článek 5. Jednání klienta a banky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jednání Klienta.</w:t>
            </w:r>
            <w:r w:rsidRPr="006F1C2D">
              <w:rPr>
                <w:rFonts w:cs="Arial"/>
                <w:sz w:val="14"/>
                <w:szCs w:val="18"/>
              </w:rPr>
              <w:t xml:space="preserve"> Klient jedná ve vztahu k Bance buď osobně, nebo prostřednictvím Jednající osoby nebo prostřednictvím Zmocněnce, není-li ve VOP stanoveno, že za Klienta v uvedeném rozsahu mohou jednat i jiné osoby, a to v souladu s právními předpisy a v dohodnuté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a to na základě předložené plné moci opravňující k takovému jednání, nebo (ii) člen statutárního orgánu této jiné právnické osoby, je-li jím fyzická osoba. Na plnou moc dle předchozí věty se uplatní ustanovení článku 5.3 VOP.</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ověřovat oprávnění osoby jednající jménem nebo za Klienta a odmítnout či pozdržet provedení jakéhokoli příkazu či žádosti do doby, než bude považovat za nepochybné, že daná osoba je skutečně oprávněna jménem nebo za Klienta v dané věci jednat. Banka je dále oprávněna odmítnout či pozdržet provedení jakéhokoli příkazu či žádosti 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Náležitosti plné moci.</w:t>
            </w:r>
            <w:r w:rsidRPr="006F1C2D">
              <w:rPr>
                <w:rFonts w:cs="Arial"/>
                <w:sz w:val="14"/>
                <w:szCs w:val="18"/>
              </w:rPr>
              <w:t xml:space="preserve"> Banka je oprávněna k některým úkonům vyžadovat speciální plnou moc. V případech, kde tak vyžaduje právní předpis, musí být plná moc udělená ve formě notářského zápisu či jiné požadované formě. Podpis Klienta na plné moci musí být úředně ověřen nebo učiněn před zaměstnancem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jednání Banky.</w:t>
            </w:r>
            <w:r w:rsidRPr="006F1C2D">
              <w:rPr>
                <w:rFonts w:cs="Arial"/>
                <w:sz w:val="14"/>
                <w:szCs w:val="18"/>
              </w:rPr>
              <w:t xml:space="preserve"> Banka jedná prostřednictvím svých zaměstnanců či třetích osob, které jsou k danému jednání řádně zmocněné či jejichž oprávnění jednat jménem nebo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Ověření podpisu.</w:t>
            </w:r>
            <w:r w:rsidRPr="006F1C2D">
              <w:rPr>
                <w:rFonts w:cs="Arial"/>
                <w:sz w:val="14"/>
                <w:szCs w:val="18"/>
              </w:rPr>
              <w:t xml:space="preserve"> Podpis Klienta nebo osob jednajících jménem či za Klienta na dokumentech, kterými dochází ke vzniku, změně nebo zániku smluvního vztahu s Bankou, jakož i na odmítnutí změny VOP či jiného Smluvního dokumentu dle článku 31 VOP, musí být učiněn před zaměstnancem Banky nebo musí být úředně ověřen, pokud v konkrétním případě Banka neakceptuje jiný způsob ověření (např. prostřednictvím služby přímého bankovnictví). Banka je oprávněna určit dokumenty, které je třeba podepsat v souladu s Podpisovým vzorem.</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Nezpůsobilost právně jednat.</w:t>
            </w:r>
            <w:r w:rsidRPr="006F1C2D">
              <w:rPr>
                <w:rFonts w:cs="Arial"/>
                <w:sz w:val="14"/>
                <w:szCs w:val="18"/>
              </w:rPr>
              <w:t xml:space="preserve"> Pokud se v očekávání vlastní nezpůsobilosti Klient rozhodne projevit vůli k tomu, aby jeho záležitosti byly spravovány určitým způsobem nebo určitou osobou, musí Klient takovou vůli projevit vůči Bance ve formě veřejné listiny. Banka není povinna akceptovat jinou formu.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Osoba jednající jménem nebo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 důsledku porušení této povinnosti.</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5.8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Byl-li Klient omezen ve své svéprávnosti, je povinen předložit Bance bez zbytečného odkladu výpis z registru obyvatel osvědčující jeho opětovnou plnou svéprávnost, a není-li to možné, pak čestné prohlášení o této skutečnosti. V opačném případě je Klient povinen nahradit Bance škodu, která jí vznikne v důsledku porušení této povinnosti nebo nepravdivosti čestného prohlášení.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6. Vzájemná komunikace</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Způsoby komunikace.</w:t>
            </w:r>
            <w:r w:rsidRPr="006F1C2D">
              <w:rPr>
                <w:rFonts w:cs="Arial"/>
                <w:sz w:val="14"/>
                <w:szCs w:val="18"/>
              </w:rPr>
              <w:t xml:space="preserve"> Klient a Banka se mohou dohodnout na vzájemné komunikaci elektronickými či jinými technickými prostředky. V případě telefonické komunikace se Klient i Banka identifikují dohodnutým způsobem či způsobem nevzbuzujícím pochybnost o totožnosti osoby, která příslušnou komunikaci činí.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Jazyk komunikace.</w:t>
            </w:r>
            <w:r w:rsidRPr="006F1C2D">
              <w:rPr>
                <w:rFonts w:cs="Arial"/>
                <w:sz w:val="14"/>
                <w:szCs w:val="18"/>
              </w:rPr>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6.3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Místo komunikace.</w:t>
            </w:r>
            <w:r w:rsidRPr="006F1C2D">
              <w:rPr>
                <w:rFonts w:cs="Arial"/>
                <w:sz w:val="14"/>
                <w:szCs w:val="18"/>
              </w:rPr>
              <w:t xml:space="preserve"> Vzájemná komunikace mezi Klientem a Bankou probíhá prostřednictvím Klientova obchodního místa, nebude-li Bankou stanoveno nebo s Klientem dohodnuto jinak. Tímto způsobem Klient plní také svou informační povinnost.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7. Příkazy a žádosti klienta</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Cs w:val="18"/>
              </w:rPr>
            </w:pPr>
            <w:r w:rsidRPr="006F1C2D">
              <w:rPr>
                <w:rFonts w:cs="Arial"/>
                <w:b/>
                <w:sz w:val="14"/>
                <w:szCs w:val="18"/>
              </w:rPr>
              <w:t>Podmínky provedení příkazů a žádostí.</w:t>
            </w:r>
            <w:r w:rsidRPr="006F1C2D">
              <w:rPr>
                <w:rFonts w:cs="Arial"/>
                <w:sz w:val="14"/>
                <w:szCs w:val="18"/>
              </w:rPr>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6F1C2D" w:rsidDel="00A8099C">
              <w:rPr>
                <w:rFonts w:cs="Arial"/>
                <w:sz w:val="14"/>
                <w:szCs w:val="18"/>
              </w:rPr>
              <w:t xml:space="preserve"> </w:t>
            </w:r>
            <w:r w:rsidRPr="006F1C2D">
              <w:rPr>
                <w:rFonts w:cs="Arial"/>
                <w:sz w:val="14"/>
                <w:szCs w:val="18"/>
              </w:rPr>
              <w:t>ze závažných provozně technických důvodů, nebo pokud by jeho provedení bylo v rozporu s právními předpisy. Banka je dále oprávněna pozastavit provedení příkazu či zpracování žádosti, případně tyto odmítnout, pokud existuje odůvodněná obava, že Klient nebude schopen dostát svým povinnostem vůči Bance, či v případě existence neuhrazených pohledávek Banky za Klientem po splatnosti.</w:t>
            </w:r>
            <w:r w:rsidRPr="006F1C2D">
              <w:rPr>
                <w:rFonts w:cs="Arial"/>
                <w:szCs w:val="18"/>
              </w:rPr>
              <w:t xml:space="preserve">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lang w:eastAsia="cs-CZ"/>
              </w:rPr>
              <w:t xml:space="preserve">Identifikace a prokázání totožnosti. </w:t>
            </w:r>
            <w:r w:rsidRPr="006F1C2D">
              <w:rPr>
                <w:rFonts w:cs="Arial"/>
                <w:sz w:val="14"/>
                <w:szCs w:val="18"/>
                <w:lang w:eastAsia="cs-CZ"/>
              </w:rPr>
              <w:t>Banka je ve smyslu příslušných právních předpisů</w:t>
            </w:r>
            <w:r w:rsidRPr="00EA6627">
              <w:rPr>
                <w:rFonts w:cs="Arial"/>
                <w:sz w:val="14"/>
                <w:szCs w:val="18"/>
                <w:vertAlign w:val="superscript"/>
                <w:lang w:eastAsia="cs-CZ"/>
              </w:rPr>
              <w:footnoteReference w:id="5"/>
            </w:r>
            <w:r w:rsidRPr="006F1C2D">
              <w:rPr>
                <w:rFonts w:cs="Arial"/>
                <w:sz w:val="14"/>
                <w:szCs w:val="18"/>
                <w:lang w:eastAsia="cs-CZ"/>
              </w:rPr>
              <w:t xml:space="preserve"> oprávněna provést identifikaci každé osoby předkládající příkaz nebo žádost či skládající nebo vybírající hotovost bez ohledu na výši transakce.</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7.3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Změna a zrušení příkazu.</w:t>
            </w:r>
            <w:r w:rsidRPr="006F1C2D">
              <w:rPr>
                <w:rFonts w:cs="Arial"/>
                <w:sz w:val="14"/>
                <w:szCs w:val="18"/>
              </w:rPr>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8. Doručování zásilek</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Doručování Klientovi.</w:t>
            </w:r>
            <w:r w:rsidRPr="006F1C2D">
              <w:rPr>
                <w:rFonts w:cs="Arial"/>
                <w:sz w:val="14"/>
                <w:szCs w:val="18"/>
              </w:rPr>
              <w:t xml:space="preserve"> Doručování Zásilek provádí Banka buď na Kontaktní adresu, prostřednictvím služeb přímého bankovnictví, kterou si Klient zřídil, nebo jiným dohodnutým způsobem. Pokud se Klient s Bankou nedohodne jinak, považuje se za Kontaktní adresu u Klienta spotřebitele adresa jeho trvalého pobytu a u ostatních Klientů adresa jejich sídla.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je oprávněna určit Zásilku, kterou je třeba vždy doručit Klientovi na jeho Kontaktní adresu, a to bez ohledu na jiné způsoby doručování sjednané ve Smlouvě. Klientovi, který není spotřebitelem, je Banka oprávněna doručit Zásilku do jeho sídla, je-li odlišné od jeho Kontaktní adresy.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Doručování Bance.</w:t>
            </w:r>
            <w:r w:rsidRPr="006F1C2D">
              <w:rPr>
                <w:rFonts w:cs="Arial"/>
                <w:sz w:val="14"/>
                <w:szCs w:val="18"/>
              </w:rPr>
              <w:t xml:space="preserve"> Zásilky určené Bance musí být doručovány do Klientova obchodního místa, neoznámí-li Banka Klientovi jinou adresu nebo nebude-li sjednáno jinak.</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doručování.</w:t>
            </w:r>
            <w:r w:rsidRPr="006F1C2D">
              <w:rPr>
                <w:rFonts w:cs="Arial"/>
                <w:sz w:val="14"/>
                <w:szCs w:val="18"/>
              </w:rPr>
              <w:t xml:space="preserve"> Zásilky je možné doručovat osobně, poštou, kurýrní službou nebo jiným dohodnutým způsobem, např. prostřednictvím služeb přímého bankovnictví, faxem či e-mailem. Banka se může s Klientem dohodnout na doručování Zásilek prostřednictvím Zmocněnce pro doručování. Smluvní dokumenty či jejich změny dle článku 31 VOP doručuje Banka Klientovi přednostně do příslušné schránky ve službě přímého bankovnictví, má-li Klient takovou službu zřízenu. Klient se může s Bankou dohodnout na doručování dokumentů dle předchozí věty přednostně prostřednictvím elektronické pošty (e-mailem).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Okamžik doručení.</w:t>
            </w:r>
            <w:r w:rsidRPr="006F1C2D">
              <w:rPr>
                <w:rFonts w:cs="Arial"/>
                <w:sz w:val="14"/>
                <w:szCs w:val="18"/>
              </w:rPr>
              <w:t xml:space="preserve"> Zásilky doručované Bankou na Kontaktní adresu do vlastních rukou Klienta nebo s dodejkou jsou považovány za doručené okamžikem jejich převzetí. Zmaří-li Klient doručení Zásilky, je za den doručení považován den vrácení Zásilky Bance, a to i tehdy, když se Klient o uložení Zásilky nedozvěděl. Bez ohledu na výše uvedené jsou tyto Zásilky považovány za doručené nejpozději 10. pracovní den po jejich odeslání na území České republiky či 15. pracovní den po jejich odeslání do zahraničí. Klient zmaří doručení Zásilky, jestliže Zásilku odmítne převzít nebo si Zásilku nevyzvedne v náhradní lhůtě nebo se Zásilka vrátí Bance jako nedoručitelná na Kontaktní adresu.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Ostatní Zásilky Klientovi</w:t>
            </w:r>
            <w:r>
              <w:rPr>
                <w:rFonts w:cs="Arial"/>
                <w:sz w:val="14"/>
                <w:szCs w:val="18"/>
              </w:rPr>
              <w:t>, které nejsou doručovány do vlastních rukou nebo s dodejkou,</w:t>
            </w:r>
            <w:r w:rsidRPr="006F1C2D">
              <w:rPr>
                <w:rFonts w:cs="Arial"/>
                <w:sz w:val="14"/>
                <w:szCs w:val="18"/>
              </w:rPr>
              <w:t xml:space="preserve"> se považují za doručené 3. pracovní den po jejich odeslání na území České republiky či 15. pracovní den po jejich odeslání do zahraničí. To však neplatí v případě</w:t>
            </w:r>
            <w:r>
              <w:rPr>
                <w:rFonts w:cs="Arial"/>
                <w:sz w:val="14"/>
                <w:szCs w:val="18"/>
              </w:rPr>
              <w:t>, pokud se Banka dozví o </w:t>
            </w:r>
            <w:r w:rsidRPr="006F1C2D">
              <w:rPr>
                <w:rFonts w:cs="Arial"/>
                <w:sz w:val="14"/>
                <w:szCs w:val="18"/>
              </w:rPr>
              <w:t>doručení Zásilky před uplynutím této doby.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Aniž by bylo dotčeno ustanovení článku 8.2 VOP, Klient se s Bankou může dohodnout, že některé Zásilky určené Klientovi budou předávány do Klientova obchodního místa k osobnímu odběru Klientem. Takovéto Zásilky se považují za doručené okamžikem jejich uložení v Klientově obchodním místě. V případě, že takovéto Zásilky nebudou vyzvednuty po dobu delší než 6 měsíců, je Banka oprávněna tyto Zásilky zničit.</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Zásilky doručované prostřednictvím služeb přímého bankovnictví se považují za doručené okamžikem jejich umístění v příslušné službě. Zásilky zaslané faxem se považují za doručené okamžikem potvrzení úspěšného odeslání generovaného přístrojem odesílatele. Zásilky zasílané prostřednictvím elektronické pošty se považují za doručené okamžikem</w:t>
            </w:r>
            <w:r>
              <w:rPr>
                <w:rFonts w:cs="Arial"/>
                <w:sz w:val="14"/>
                <w:szCs w:val="18"/>
              </w:rPr>
              <w:t>, kdy příslušný systém použitý k přenosu Zásilky potvrdí její úspěšné doručení na e-mailový systém příjemce</w:t>
            </w:r>
            <w:r w:rsidRPr="006F1C2D">
              <w:rPr>
                <w:rFonts w:cs="Arial"/>
                <w:sz w:val="14"/>
                <w:szCs w:val="18"/>
              </w:rPr>
              <w:t>. Sítě elektronických komunikací (veřejné telefonní linky, linky mobilních sítí, e-mail a fax) sloužící pro doručování Zásilek však nejsou pod přímou kontrolou Banky, která tak neodpovídá za škodu způsobenou Klientovi jejich případným zneužitím.</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8.9</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Postup Banky při vracení Zásilek.</w:t>
            </w:r>
            <w:r w:rsidRPr="006F1C2D">
              <w:rPr>
                <w:rFonts w:cs="Arial"/>
                <w:sz w:val="14"/>
                <w:szCs w:val="18"/>
              </w:rPr>
              <w:t xml:space="preserve"> Pokud bude Zásilka nejméně dvakrát vrácena z důvodu zmaření jejího doručení Klientem, je Banka oprávněna všechny další Zásilky doručovat Klientovi do Klientova obchodního místa k osobnímu odběru, případně na adresu trvalého pobytu či sídla Klienta, je-li tato adresa odlišná od Kontaktní adresy. </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9. Vznik smluvního vztahu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9.1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uzavírá s Klientem Smlouvy zpravidla ve svých obchodních místech. Smlouvu lze uzavřít též elektronicky či jinými technickými prostředky s využitím prostředků umožňujících určení jednající osoby (např. elektronický podpis) a zachycení obsahu Smlouvy.</w:t>
            </w:r>
            <w:r w:rsidR="007538ED">
              <w:rPr>
                <w:rFonts w:cs="Arial"/>
                <w:sz w:val="14"/>
                <w:szCs w:val="18"/>
              </w:rPr>
              <w:t xml:space="preserve"> </w:t>
            </w:r>
            <w:r w:rsidRPr="006F1C2D">
              <w:rPr>
                <w:rFonts w:cs="Arial"/>
                <w:sz w:val="14"/>
                <w:szCs w:val="18"/>
              </w:rPr>
              <w:t xml:space="preserve">Není-li ve Smlouvě stanoveno jinak, je Smlouva uzavírána na dobu neurčitou.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9.2</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 xml:space="preserve">Smlouva je uzavřena až po dosažení shody o všech jejích náležitostech. </w:t>
            </w:r>
            <w:r>
              <w:rPr>
                <w:rFonts w:cs="Arial"/>
                <w:sz w:val="14"/>
                <w:szCs w:val="18"/>
              </w:rPr>
              <w:t xml:space="preserve">Na uzavření Smlouvy nevzniká Klientovi nárok a Banka má právo ukončit kdykoli jednání o jejím uzavření i bez uvedení důvodu. </w:t>
            </w:r>
            <w:r w:rsidRPr="006F1C2D">
              <w:rPr>
                <w:rFonts w:cs="Arial"/>
                <w:sz w:val="14"/>
                <w:szCs w:val="18"/>
              </w:rPr>
              <w:t>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EA6627">
              <w:rPr>
                <w:rFonts w:cs="Arial"/>
                <w:sz w:val="14"/>
                <w:szCs w:val="18"/>
                <w:vertAlign w:val="superscript"/>
              </w:rPr>
              <w:footnoteReference w:id="6"/>
            </w:r>
            <w:r w:rsidRPr="006F1C2D">
              <w:rPr>
                <w:rFonts w:cs="Arial"/>
                <w:sz w:val="14"/>
                <w:szCs w:val="18"/>
              </w:rPr>
              <w:t xml:space="preserve"> na svůj smluvní vztah založený Smlouvou.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10. Zánik smluvního vztahu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Odstoupení Banky. </w:t>
            </w:r>
            <w:r w:rsidRPr="006F1C2D">
              <w:rPr>
                <w:rFonts w:cs="Arial"/>
                <w:sz w:val="14"/>
                <w:szCs w:val="18"/>
              </w:rPr>
              <w:t>Banka je oprávněna od Smlouvy, případně od její samostatně oddělitelné části, odstoupit v případě, kdy Klient závažným způsobem poruší své smluvní povinnosti či své zákonné povinnosti související s 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Vzájemné vypořádání.</w:t>
            </w:r>
            <w:r w:rsidRPr="006F1C2D">
              <w:rPr>
                <w:rFonts w:cs="Arial"/>
                <w:sz w:val="14"/>
                <w:szCs w:val="18"/>
              </w:rPr>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10.3</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Promlčení.</w:t>
            </w:r>
            <w:r w:rsidRPr="006F1C2D">
              <w:rPr>
                <w:rFonts w:cs="Arial"/>
                <w:sz w:val="14"/>
                <w:szCs w:val="18"/>
              </w:rPr>
              <w:t xml:space="preserve"> Klient souhlasí s tím, že neodporuje-li to v konkrétním případě právním předpisům, promlčují se veškerá práva a pohledávky Banky za Klientem ve lhůtě patnácti let, a tam, kde se pro daný právní vztah použije právní úprava platná před účinností občanského zákoníku</w:t>
            </w:r>
            <w:r w:rsidRPr="00EA6627">
              <w:rPr>
                <w:rFonts w:cs="Arial"/>
                <w:sz w:val="14"/>
                <w:szCs w:val="18"/>
                <w:vertAlign w:val="superscript"/>
              </w:rPr>
              <w:footnoteReference w:id="7"/>
            </w:r>
            <w:r w:rsidRPr="006F1C2D">
              <w:rPr>
                <w:rFonts w:cs="Arial"/>
                <w:sz w:val="14"/>
                <w:szCs w:val="18"/>
              </w:rPr>
              <w:t xml:space="preserve">, ve lhůtě deseti let ode dne, kdy mohla být Bankou vykonána/uplatněna poprvé. </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11. Zřizování a vedení účtů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zřizuje a vede Účty na základě Smlouvy.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Identifikace Účtu.</w:t>
            </w:r>
            <w:r w:rsidRPr="006F1C2D">
              <w:rPr>
                <w:rFonts w:cs="Arial"/>
                <w:sz w:val="14"/>
                <w:szCs w:val="18"/>
              </w:rPr>
              <w:t xml:space="preserve"> Každému Účtu Banka přidělí Jedinečný identifikátor, který Banka i Klient uvádí při vzájemné komunikaci týkající se daného Účtu. Součástí identifikace Účtu je jeho název, který musí obsahovat jméno a příjmení nebo název Klienta. Pokud tak stanoví právní předpis, úřední sdělení, opatření či oznámení ČNB nebo v 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identifikátoru dochází z provozních důvodů na straně Banky, postupuje se v souladu s článkem 31 VOP. Banka nenese, ani částečně, náklady Klienta spojené se změnou čísla Účtu. Banka nezřizuje anonymní Účty či Účty pro více osob.</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Minimální vklad a zůstatek.</w:t>
            </w:r>
            <w:r w:rsidRPr="006F1C2D">
              <w:rPr>
                <w:rFonts w:cs="Arial"/>
                <w:sz w:val="14"/>
                <w:szCs w:val="18"/>
              </w:rPr>
              <w:t xml:space="preserve"> Pro některé typy účtů Banka stanoví v Oznámení výši minimálního vkladu a výši minimálního zůstatku, které je Klient povinen dodržovat.</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využití Účtu.</w:t>
            </w:r>
            <w:r w:rsidRPr="006F1C2D">
              <w:rPr>
                <w:rFonts w:cs="Arial"/>
                <w:sz w:val="14"/>
                <w:szCs w:val="18"/>
              </w:rPr>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F8003F">
            <w:pPr>
              <w:spacing w:before="40" w:after="40"/>
              <w:jc w:val="right"/>
              <w:rPr>
                <w:rFonts w:cs="Arial"/>
                <w:b/>
                <w:sz w:val="14"/>
                <w:szCs w:val="18"/>
              </w:rPr>
            </w:pPr>
            <w:r w:rsidRPr="006F1C2D">
              <w:rPr>
                <w:rFonts w:cs="Arial"/>
                <w:b/>
                <w:sz w:val="14"/>
                <w:szCs w:val="18"/>
              </w:rPr>
              <w:t>11.5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Balíček služeb.</w:t>
            </w:r>
            <w:r w:rsidRPr="006F1C2D">
              <w:rPr>
                <w:rFonts w:cs="Arial"/>
                <w:sz w:val="14"/>
                <w:szCs w:val="18"/>
              </w:rPr>
              <w:t xml:space="preserve"> K vybraným typům Účtů poskytuje Banka balíček služeb, v rámci kterého nabízí produkty a služby uvedené v Sazebníku pro daný typ Účtu.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11.6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Oznámení o provádění platebního styku.</w:t>
            </w:r>
            <w:r w:rsidRPr="006F1C2D">
              <w:rPr>
                <w:rFonts w:cs="Arial"/>
                <w:sz w:val="14"/>
                <w:szCs w:val="18"/>
              </w:rPr>
              <w:t xml:space="preserve"> Další podmínky a informace týkající se Účtů a provádění platebního styku, zejména služby zahraničního a tuzemského hotovostního i bezhotovostního platebního styku poskytované na Účtech, včetně šeků, a lhůty pro provádění platebního styku, podmínky platebního styku prováděného prostřednictvím služeb přímého bankovnictví jsou uvedeny v Oznámení o provádění platebního styku.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12. Rušení účtů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Důvody zániku smlouvy.</w:t>
            </w:r>
            <w:r w:rsidRPr="006F1C2D">
              <w:rPr>
                <w:rFonts w:cs="Arial"/>
                <w:sz w:val="14"/>
                <w:szCs w:val="18"/>
              </w:rPr>
              <w:t xml:space="preserve"> Důvodem zániku smlouvy o Účtu je zejména výpověď Klienta dle článku 12.2 nebo Banky dle článku 18.3, odstoupení dle čl. 10.1 nebo Rozhodný den dle článku 12.5.</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Klientem.</w:t>
            </w:r>
            <w:r w:rsidRPr="006F1C2D">
              <w:rPr>
                <w:rFonts w:cs="Arial"/>
                <w:sz w:val="14"/>
                <w:szCs w:val="18"/>
              </w:rPr>
              <w:t xml:space="preserve"> Klient je oprávněn vypovědět smlouvu o Účtu s výpovědní dobou 10 kalendářních dnů nebo 30 kalendářních dnů, byla-li k Účtu vystavena platební karta. Výpovědní doba počíná běžet dnem doručení výpovědi do Klientova obchodního místa. Vypovídá-li Klient smlouvu o Účtu postupem dle Kodexu ČBA „Mobilita klientů – postup při změně banky“, výpovědní doba počíná běžet ode dne uvedeného v žádosti o změnu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Vypořádání.</w:t>
            </w:r>
            <w:r w:rsidRPr="006F1C2D">
              <w:rPr>
                <w:rFonts w:cs="Arial"/>
                <w:sz w:val="14"/>
                <w:szCs w:val="18"/>
              </w:rPr>
              <w:t xml:space="preserve"> Pokud Klient učiní úkon vedoucí k zániku smlouvy o Účtu, je povinen dát Bance zároveň pokyn ohledně nakládání s případným zůstatkem na Účtu.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 uvolnění prostředků. V takovém případě Banka prostředky z tohoto Účtu nevyplatí a Účet nezruší až do splnění výše uvedených podmínek.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Příkazy a žádosti týkající se nakládání s prostředky na Účtu budou Bankou zrušeny k datu zrušení Účtu. Nejpozději k datu zrušení Účtu Banka ukončí poskytování Bankovních služeb, které jsou na předmětný Účet vázány.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12.5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Důsledky úmrtí Klienta.</w:t>
            </w:r>
            <w:r w:rsidRPr="006F1C2D">
              <w:rPr>
                <w:rFonts w:cs="Arial"/>
                <w:sz w:val="14"/>
                <w:szCs w:val="18"/>
              </w:rPr>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13. Debet na účtu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Zřízení povoleného debetu.</w:t>
            </w:r>
            <w:r w:rsidRPr="006F1C2D">
              <w:rPr>
                <w:rFonts w:cs="Arial"/>
                <w:sz w:val="14"/>
                <w:szCs w:val="18"/>
              </w:rPr>
              <w:t xml:space="preserve"> Banka se může s Klientem dohodnout na zřízení povoleného debetu na Účtu. Práva a povinnosti Banky a Klienta se budou řídit příslušnou Smlouvou a příslušnými právními předpisy týkajícími se smlouvy o úvěru.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Důsledky nepovoleného debetu.</w:t>
            </w:r>
            <w:r w:rsidRPr="006F1C2D">
              <w:rPr>
                <w:rFonts w:cs="Arial"/>
                <w:sz w:val="14"/>
                <w:szCs w:val="18"/>
              </w:rPr>
              <w:t xml:space="preserve"> 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 nepovoleného debetu, včetně příslušenství.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Úročení nepovoleného debetu.</w:t>
            </w:r>
            <w:r w:rsidRPr="006F1C2D">
              <w:rPr>
                <w:rFonts w:cs="Arial"/>
                <w:sz w:val="14"/>
                <w:szCs w:val="18"/>
              </w:rPr>
              <w:t xml:space="preserve"> Banka je oprávněna úročit nepovolený debet na Účtu úrokem z nepovoleného debetu a dále úrokem z prodlení. Výše úroku z nepovoleného debetu a úroku z prodlení bude určena v souladu s Oznámením o úrokových sazbách. Výše úrokové sazby, kterou se úročí nepovolený debet, a výše úroku z prodlení mohou být po dobu trvání nepovoleného debetu měněny způsobem uvedeným ve VOP.</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Úrok z prodlení i úrok z nepovoleného debetu jsou splatné okamžikem, kdy na ně Bance vznikne nárok. Banka je oprávněna tyto sankční úroky snížit, a to na dobu a s účinností, kterou stanoví. O této skutečnosti Banka Klienta informuje.</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informuje Klienta o aktuální výši úrokové sazby, kterou se úročí nepovolený debet, a o aktuální výši úroků z prodlení, sankcích a poplatcích v souladu s právními předpisy a podle VOP.</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13.6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Výrazný nepovolený debet.</w:t>
            </w:r>
            <w:r w:rsidRPr="006F1C2D">
              <w:rPr>
                <w:rFonts w:cs="Arial"/>
                <w:sz w:val="14"/>
                <w:szCs w:val="18"/>
              </w:rPr>
              <w:t xml:space="preserve"> V případě, že dojde k výraznému nepovolenému debetu</w:t>
            </w:r>
            <w:r>
              <w:rPr>
                <w:rFonts w:cs="Arial"/>
                <w:sz w:val="14"/>
                <w:szCs w:val="18"/>
              </w:rPr>
              <w:t xml:space="preserve"> dle zákona o spotřebitelském úvěru</w:t>
            </w:r>
            <w:r w:rsidRPr="00EA6627">
              <w:rPr>
                <w:rStyle w:val="Znakapoznpodarou"/>
                <w:rFonts w:cs="Arial"/>
                <w:position w:val="0"/>
                <w:sz w:val="14"/>
                <w:szCs w:val="14"/>
                <w:vertAlign w:val="superscript"/>
              </w:rPr>
              <w:footnoteReference w:id="8"/>
            </w:r>
            <w:r w:rsidRPr="006F1C2D">
              <w:rPr>
                <w:rFonts w:cs="Arial"/>
                <w:sz w:val="14"/>
                <w:szCs w:val="18"/>
              </w:rPr>
              <w:t xml:space="preserve"> na Účtu Klienta trvajícímu déle než jeden měsíc, Banka zašle Klientovi způsobem sjednaným ve Smlouvě informaci vyžadovanou právními předpisy. Banka je dále oprávněna odstoupit od Smlouvy, na základě které je Účet veden, i od Smlouvy, na základě které byl povolený debet poskytnut.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14. Nakládání s prostředky na účtu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Nakládání s prostředky na Účtu Klientem. </w:t>
            </w:r>
            <w:r w:rsidRPr="006F1C2D">
              <w:rPr>
                <w:rFonts w:cs="Arial"/>
                <w:sz w:val="14"/>
                <w:szCs w:val="18"/>
              </w:rPr>
              <w:t>Nakládat s prostředky na Účtu Klienta mohou Oprávněná osoba s 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Zmocněnec ani Oprávněná osoba (odlišná od Klienta) nemohou udělovat zmocnění k nakládání s prostředky na Účtu Klienta dalším osobám. Banka je oprávněna zrušit Podpisový vzor, pokud</w:t>
            </w:r>
            <w:r>
              <w:rPr>
                <w:rFonts w:cs="Arial"/>
                <w:sz w:val="14"/>
                <w:szCs w:val="18"/>
              </w:rPr>
              <w:t xml:space="preserve"> je</w:t>
            </w:r>
            <w:r w:rsidRPr="006F1C2D">
              <w:rPr>
                <w:rFonts w:cs="Arial"/>
                <w:sz w:val="14"/>
                <w:szCs w:val="18"/>
              </w:rPr>
              <w:t xml:space="preserve"> jí nepochybně proká</w:t>
            </w:r>
            <w:r>
              <w:rPr>
                <w:rFonts w:cs="Arial"/>
                <w:sz w:val="14"/>
                <w:szCs w:val="18"/>
              </w:rPr>
              <w:t>záno</w:t>
            </w:r>
            <w:r w:rsidRPr="006F1C2D">
              <w:rPr>
                <w:rFonts w:cs="Arial"/>
                <w:sz w:val="14"/>
                <w:szCs w:val="18"/>
              </w:rPr>
              <w:t>, že daná Oprávněná osoba již není oprávněna za Klienta nebo jeho jménem jednat.</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Podpisový vzor, zmocnění Zmocněnce či jakékoli změny </w:t>
            </w:r>
            <w:r>
              <w:rPr>
                <w:rFonts w:cs="Arial"/>
                <w:sz w:val="14"/>
                <w:szCs w:val="18"/>
              </w:rPr>
              <w:t xml:space="preserve">nebo zrušení těchto dokumentů </w:t>
            </w:r>
            <w:r w:rsidRPr="006F1C2D">
              <w:rPr>
                <w:rFonts w:cs="Arial"/>
                <w:sz w:val="14"/>
                <w:szCs w:val="18"/>
              </w:rPr>
              <w:t xml:space="preserve">jsou </w:t>
            </w:r>
            <w:r>
              <w:rPr>
                <w:rFonts w:cs="Arial"/>
                <w:sz w:val="14"/>
                <w:szCs w:val="18"/>
              </w:rPr>
              <w:t xml:space="preserve">pro </w:t>
            </w:r>
            <w:r w:rsidRPr="006F1C2D">
              <w:rPr>
                <w:rFonts w:cs="Arial"/>
                <w:sz w:val="14"/>
                <w:szCs w:val="18"/>
              </w:rPr>
              <w:t>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vybírat z nově zřízeného Účtu volné prostředky v hotovosti nebo je převádět bezhotovostním převodem nejdříve první Obchodní den následující po Obchodním dni, kdy Banka Účet zřídila.</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14.5</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Banka je oprávněna omezit nakládání s prostředky na Účtu Klienta v souladu s právními předpisy. Právo na výplatu peněžních prostředků podle zvláštního právního předpisu</w:t>
            </w:r>
            <w:r w:rsidRPr="00EA6627">
              <w:rPr>
                <w:rFonts w:cs="Arial"/>
                <w:sz w:val="14"/>
                <w:szCs w:val="18"/>
                <w:vertAlign w:val="superscript"/>
              </w:rPr>
              <w:footnoteReference w:id="9"/>
            </w:r>
            <w:r w:rsidRPr="006F1C2D">
              <w:rPr>
                <w:rFonts w:cs="Arial"/>
                <w:sz w:val="14"/>
                <w:szCs w:val="18"/>
              </w:rPr>
              <w:t xml:space="preserve"> z Účtu, ke kterému má Klient omezeno právo nakládat s peněžními prostředky, může uplatnit pouze Klient spotřebitel, a to osobně a v Klientově obchodním místě.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14.6</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Nakládání s prostředky na Účtu Bankou.</w:t>
            </w:r>
            <w:r w:rsidRPr="006F1C2D">
              <w:rPr>
                <w:rFonts w:cs="Arial"/>
                <w:sz w:val="14"/>
                <w:szCs w:val="18"/>
              </w:rPr>
              <w:t xml:space="preserve"> Banka je oprávněna nakládat s prostředky na Účtu, stanoví-li tak právní předpis nebo Smlouva. Klient souhlasí s tím, že Banka má právo odepsat z jeho Účtu u Banky prostředky za účelem:</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splatných úroků;</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realizace opravného zúčtování v důsledku vlastního chybného zúčtování nebo chybného zúčtování jiné banky ve smyslu příslušných právních předpisů</w:t>
            </w:r>
            <w:r w:rsidRPr="00EA6627">
              <w:rPr>
                <w:rFonts w:cs="Arial"/>
                <w:sz w:val="14"/>
                <w:szCs w:val="18"/>
                <w:vertAlign w:val="superscript"/>
              </w:rPr>
              <w:footnoteReference w:id="10"/>
            </w:r>
            <w:r w:rsidRPr="006F1C2D">
              <w:rPr>
                <w:rFonts w:cs="Arial"/>
                <w:sz w:val="14"/>
                <w:szCs w:val="18"/>
              </w:rPr>
              <w:t xml:space="preserve">;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v zákonem stanovených případech;</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všech cen, poplatků a výloh v souvislosti s poskytováním Bankovních služeb, včetně poplatků jiných bank a osob zúčastněných na operacích platebního styku;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částky šeku nebo peněžní poukázky již proplacených Bankou v případě jejich následného neproplacení šekovníkem nebo inkasní bankou;</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 xml:space="preserve">úhrady připsané platby ze zahraničí, pokud odesílající bankou nebylo zajištěno krytí/převedení prostředků ve prospěch Banky; </w:t>
            </w:r>
          </w:p>
          <w:p w:rsidR="00EA6627" w:rsidRPr="006F1C2D" w:rsidRDefault="00EA6627" w:rsidP="00E472BC">
            <w:pPr>
              <w:numPr>
                <w:ilvl w:val="0"/>
                <w:numId w:val="4"/>
              </w:numPr>
              <w:ind w:left="227" w:hanging="227"/>
              <w:jc w:val="both"/>
              <w:rPr>
                <w:rFonts w:cs="Arial"/>
                <w:sz w:val="14"/>
                <w:szCs w:val="18"/>
              </w:rPr>
            </w:pPr>
            <w:r w:rsidRPr="006F1C2D">
              <w:rPr>
                <w:rFonts w:cs="Arial"/>
                <w:sz w:val="14"/>
                <w:szCs w:val="18"/>
              </w:rPr>
              <w:t>vrácení důchodů a jiných zákonem stanovených dávek (pouze však do výše kreditního zůstatku na Účtu), pokud na jejich vyplacení příjemci platby zanikl nárok a plátce o vrácení takto bezdůvodně poukázané platby výslovně požádal;</w:t>
            </w:r>
          </w:p>
          <w:p w:rsidR="00EA6627" w:rsidRDefault="00EA6627" w:rsidP="00E472BC">
            <w:pPr>
              <w:numPr>
                <w:ilvl w:val="0"/>
                <w:numId w:val="4"/>
              </w:numPr>
              <w:ind w:left="227" w:hanging="227"/>
              <w:jc w:val="both"/>
              <w:rPr>
                <w:rFonts w:cs="Arial"/>
                <w:sz w:val="14"/>
                <w:szCs w:val="18"/>
              </w:rPr>
            </w:pPr>
            <w:r w:rsidRPr="006F1C2D">
              <w:rPr>
                <w:rFonts w:cs="Arial"/>
                <w:sz w:val="14"/>
                <w:szCs w:val="18"/>
              </w:rPr>
              <w:t>vrácení částky inkasa připsané na Účet Klienta, kterou plátce požaduje vrátit v souladu se zákonem o platebním styku</w:t>
            </w:r>
            <w:r w:rsidRPr="00EA6627">
              <w:rPr>
                <w:rFonts w:cs="Arial"/>
                <w:sz w:val="14"/>
                <w:szCs w:val="18"/>
                <w:vertAlign w:val="superscript"/>
              </w:rPr>
              <w:footnoteReference w:id="11"/>
            </w:r>
            <w:r w:rsidRPr="006F1C2D">
              <w:rPr>
                <w:rFonts w:cs="Arial"/>
                <w:sz w:val="14"/>
                <w:szCs w:val="18"/>
              </w:rPr>
              <w:t xml:space="preserve">; </w:t>
            </w:r>
          </w:p>
          <w:p w:rsidR="00EA6627" w:rsidRPr="00312B09" w:rsidRDefault="00EA6627" w:rsidP="00E472BC">
            <w:pPr>
              <w:numPr>
                <w:ilvl w:val="0"/>
                <w:numId w:val="4"/>
              </w:numPr>
              <w:ind w:left="227" w:hanging="227"/>
              <w:jc w:val="both"/>
              <w:rPr>
                <w:rFonts w:cs="Arial"/>
                <w:sz w:val="14"/>
                <w:szCs w:val="14"/>
              </w:rPr>
            </w:pPr>
            <w:r>
              <w:rPr>
                <w:rFonts w:cs="Arial"/>
                <w:sz w:val="14"/>
                <w:szCs w:val="18"/>
              </w:rPr>
              <w:t xml:space="preserve">vrácení připsané platby, </w:t>
            </w:r>
            <w:r w:rsidRPr="008E4425">
              <w:rPr>
                <w:rFonts w:cs="Arial"/>
                <w:sz w:val="14"/>
                <w:szCs w:val="14"/>
              </w:rPr>
              <w:t>pokud číslo Účtu příjemce nebo plátce je uvedeno na seznamu nepovolených internetových her v</w:t>
            </w:r>
            <w:r w:rsidRPr="001D0AAC">
              <w:rPr>
                <w:rFonts w:cs="Arial"/>
                <w:sz w:val="14"/>
                <w:szCs w:val="14"/>
              </w:rPr>
              <w:t> souladu s požadavky zákona o hazardních hrách</w:t>
            </w:r>
            <w:r w:rsidRPr="00EA6627">
              <w:rPr>
                <w:sz w:val="14"/>
                <w:szCs w:val="14"/>
                <w:vertAlign w:val="superscript"/>
              </w:rPr>
              <w:footnoteReference w:id="12"/>
            </w:r>
            <w:r w:rsidRPr="00312B09">
              <w:rPr>
                <w:rFonts w:cs="Arial"/>
                <w:sz w:val="14"/>
                <w:szCs w:val="14"/>
              </w:rPr>
              <w:t xml:space="preserve"> nebo</w:t>
            </w:r>
          </w:p>
          <w:p w:rsidR="00EA6627" w:rsidRPr="006F1C2D" w:rsidRDefault="00EA6627" w:rsidP="00E472BC">
            <w:pPr>
              <w:numPr>
                <w:ilvl w:val="0"/>
                <w:numId w:val="4"/>
              </w:numPr>
              <w:spacing w:after="40"/>
              <w:ind w:left="227" w:hanging="227"/>
              <w:jc w:val="both"/>
              <w:rPr>
                <w:rFonts w:cs="Arial"/>
                <w:sz w:val="14"/>
                <w:szCs w:val="18"/>
              </w:rPr>
            </w:pPr>
            <w:r w:rsidRPr="006F1C2D">
              <w:rPr>
                <w:rFonts w:cs="Arial"/>
                <w:sz w:val="14"/>
                <w:szCs w:val="18"/>
              </w:rPr>
              <w:t>úhrady jakékoli jiné splatné pohledávky Banky za Klientem, a to i promlčené.</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odepsat prostředky z Účtu Klienta i v případě, že na Účtu vznikne v důsledku takové operace debetní zůstatek.</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14.8</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dále oprávněna provést na vrub Účtu platby na základě jednorázových písemných Příkazů k úhradě v případě, že na Účtu vznikl nepovolený debet v důsledku překročení lhůty pro čerpání prostředků z povoleného debetu až do výše původně stanoveného limitu povoleného debetu.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15. Výpisy z účtu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Forma a způsob doručování.</w:t>
            </w:r>
            <w:r w:rsidRPr="006F1C2D">
              <w:rPr>
                <w:rFonts w:cs="Arial"/>
                <w:sz w:val="14"/>
                <w:szCs w:val="18"/>
              </w:rPr>
              <w:t xml:space="preserve"> Banka informuje Klienta o zůstatku prostředků na Účtu a o provedených transakcích výpisem z účtu,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 xml:space="preserve">formou Elektronického výpisu nebo tištěného dokumentu. Frekvence a způsob doručování budou individuálně dohodnuty mezi Klientem a Bankou. Kvalifikovaným klientům Banka poskytuje výpisy z účtu k jejich Platebním Účtům v souladu se zákonem o platebním styku jednou měsíčně zdarma prostřednictvím služby přímého bankovnictví nebo e-mailem.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V případě, že při zasílání Elektronických výpisů prostřednictvím sjednané Bankovní služby (např. přímého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přímého bankovnictví, má-li ji Klient zřízenu, nebo v tištěné (papírové) podobě způsobem sjednaným pro doručování ostatních Zásilek. V obou případech zůstane sjednaná </w:t>
            </w:r>
            <w:r>
              <w:rPr>
                <w:rFonts w:cs="Arial"/>
                <w:sz w:val="14"/>
                <w:szCs w:val="18"/>
              </w:rPr>
              <w:t xml:space="preserve">frekvence </w:t>
            </w:r>
            <w:r w:rsidRPr="006F1C2D">
              <w:rPr>
                <w:rFonts w:cs="Arial"/>
                <w:sz w:val="14"/>
                <w:szCs w:val="18"/>
              </w:rPr>
              <w:t>zasílání výpisů z účtu zachována.</w:t>
            </w:r>
            <w:r w:rsidRPr="006F1C2D" w:rsidDel="00A23176">
              <w:rPr>
                <w:rFonts w:cs="Arial"/>
                <w:sz w:val="14"/>
                <w:szCs w:val="18"/>
              </w:rPr>
              <w:t xml:space="preserve"> </w:t>
            </w:r>
            <w:r w:rsidRPr="006F1C2D">
              <w:rPr>
                <w:rFonts w:cs="Arial"/>
                <w:sz w:val="14"/>
                <w:szCs w:val="18"/>
              </w:rPr>
              <w:t>Ustanovení tohoto článku se uplatní též na oznámení Banky Klientovi o výši pohledávky ze Smlouvy, na základě níž Banka poskytla Klientovi úvěr.</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 zůstatku na Účtu ke konci kalendářního roku Banka vždy informuje Klienta výpisem z Účtu. Další potvrzení o zůstatku na Účtu Klienta ke konci kalendářního roku Banka zasílá pouze na základě žádosti Klienta, a to způsobem sjednaným pro doručování výpisů z účtu.</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15.4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Kontrola výpisů z účtu.</w:t>
            </w:r>
            <w:r w:rsidRPr="006F1C2D">
              <w:rPr>
                <w:rFonts w:cs="Arial"/>
                <w:sz w:val="14"/>
                <w:szCs w:val="18"/>
              </w:rPr>
              <w:t xml:space="preserve"> Klient je povinen bez zbytečného odkladu po doručení výpisu z účtu zkontrolovat, zda jsou zúčtované transakce autorizované a správně provedené.</w:t>
            </w:r>
            <w:r>
              <w:rPr>
                <w:rFonts w:cs="Arial"/>
                <w:sz w:val="14"/>
                <w:szCs w:val="18"/>
              </w:rPr>
              <w:t xml:space="preserve"> Pokud Klient, který není Kvalifikovaným klientem, neuplatní reklamaci ve lhůtě dle reklamačního řádu Banky, má se za to, že transakce byly zúčtovány správně.</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16. Úroky a zdanění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určení úrokové sazby.</w:t>
            </w:r>
            <w:r w:rsidRPr="006F1C2D">
              <w:rPr>
                <w:rFonts w:cs="Arial"/>
                <w:sz w:val="14"/>
                <w:szCs w:val="18"/>
              </w:rPr>
              <w:t xml:space="preserve"> Výši úrokové sazby Banka stanoví v návaznosti na úrokové sazby vyhlašované ČNB, s přihlédnutím k vývoji peněžního trhu, obchodní politice Banky a postupům pro řízení finančních rizik.</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16.3</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Pro určení výše úrokové sazby je rozhodující sazba určená pro daný Účet v Oznámení o úrokových sazbách účinném v den zřízení Účtu. Banka je oprávněna měnit výši úrokové sazby jednostranně v závislosti na vývoji trhu, nákladech Banky na své financování a dalších objektivních skutečnostech. Za trvání Smlouvy se nová výše úrokové sazby uplatní na všechny existující Účty, včetně jejich debetních zůstatků, ode dne účinnosti změny příslušného Oznámení o úrokových sazbách, pokud není v Oznámení o úrokových sazbách stanoveno pozdější datum účinnosti změny úrokové sazby. Změna v Oznámení o úrokových sazbách nabývá účinnosti okamžikem vyhlášení nového znění Oznámení o úrokových sazbách na internetových stránkách Banky, pokud není v Oznámení o úrokových sazbách stanoveno jinak.</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16.4</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Úročící schéma.</w:t>
            </w:r>
            <w:r w:rsidRPr="006F1C2D">
              <w:rPr>
                <w:rFonts w:cs="Arial"/>
                <w:sz w:val="14"/>
                <w:szCs w:val="18"/>
              </w:rPr>
              <w:t xml:space="preserve"> Pro úročení zůstatků Účtů v Kč a ve všech cizích měnách (kromě AUD, GBP, JPY a PLN) se používá úročící schéma: rok = 360 dnů / měsíc = 30 dnů. Pro AUD, GBP, JPY a PLN se používá úročící schéma: rok = 365 (příp. 366) dnů / měsíc = skutečný počet dnů v měsíci, není-li ve Smlouvě nebo Produktových podmínkách stanoveno jinak.</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16.5</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Úročení kreditního zůstatku.</w:t>
            </w:r>
            <w:r w:rsidRPr="006F1C2D">
              <w:rPr>
                <w:rFonts w:cs="Arial"/>
                <w:sz w:val="14"/>
                <w:szCs w:val="18"/>
              </w:rPr>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bottom w:val="nil"/>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16.6</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 xml:space="preserve">Úročení debetního zůstatku. </w:t>
            </w:r>
            <w:r w:rsidRPr="006F1C2D">
              <w:rPr>
                <w:rFonts w:cs="Arial"/>
                <w:sz w:val="14"/>
                <w:szCs w:val="18"/>
              </w:rPr>
              <w:t>Úročení debetního zůstatku na Účtu počíná dnem vzniku debetu a končí dnem předcházejícím dni jeho vyrovnání. Úroky z povoleného debetního zůstatku na Účtu jsou splatné vždy poslední den kalendářního měsíce, za který se hradí.</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16.7</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Zdaňování úroku.</w:t>
            </w:r>
            <w:r w:rsidRPr="006F1C2D">
              <w:rPr>
                <w:rFonts w:cs="Arial"/>
                <w:sz w:val="14"/>
                <w:szCs w:val="18"/>
              </w:rPr>
              <w:t xml:space="preserve"> Úrok je zdaňován podle právních předpisů platných ke dni připsání úroku na Účet Klienta. V případě výplaty prostředků z</w:t>
            </w:r>
            <w:r w:rsidRPr="006F1C2D">
              <w:rPr>
                <w:rFonts w:cs="Arial"/>
                <w:szCs w:val="18"/>
              </w:rPr>
              <w:t> </w:t>
            </w:r>
            <w:r w:rsidRPr="006F1C2D">
              <w:rPr>
                <w:rFonts w:cs="Arial"/>
                <w:sz w:val="14"/>
                <w:szCs w:val="18"/>
              </w:rPr>
              <w:t>Účtu Klienta a dalších případech stanovených právními předpisy, Banka provede srážku nebo zajištění daně v souladu s právními předpisy. Klient je povinen Banku neprodleně informovat o tom, že není skutečným vlastníkem úroků na svém Účtu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17. Platební služby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17.1</w:t>
            </w:r>
          </w:p>
        </w:tc>
        <w:tc>
          <w:tcPr>
            <w:tcW w:w="9009" w:type="dxa"/>
            <w:tcBorders>
              <w:left w:val="single" w:sz="6" w:space="0" w:color="C8C8C8"/>
            </w:tcBorders>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Informační povinnosti Banky.</w:t>
            </w:r>
            <w:r w:rsidRPr="006F1C2D">
              <w:rPr>
                <w:rFonts w:cs="Arial"/>
                <w:sz w:val="14"/>
                <w:szCs w:val="18"/>
              </w:rPr>
              <w:t xml:space="preserve"> V souvislosti s poskytováním Platebních služeb Banka poskytne Kvalifikovanému klientovi v průběhu smluvního vztahu na jeho žádost zdarma informace o Bance, o poskytované Platební službě, o způsobu komunikace s Bankou, o Smlouvě o Platebních službách uzavřené s Bankou, o povinnostech a odpovědnosti Banky a Klienta, v rozsahu stanoveném zákonem o platebním styku</w:t>
            </w:r>
            <w:r w:rsidRPr="00EA6627">
              <w:rPr>
                <w:rFonts w:cs="Arial"/>
                <w:sz w:val="14"/>
                <w:szCs w:val="18"/>
                <w:vertAlign w:val="superscript"/>
              </w:rPr>
              <w:footnoteReference w:id="13"/>
            </w:r>
            <w:r w:rsidRPr="006F1C2D">
              <w:rPr>
                <w:rFonts w:cs="Arial"/>
                <w:sz w:val="14"/>
                <w:szCs w:val="18"/>
              </w:rPr>
              <w:t xml:space="preserve">. V souladu se zákonem o platebním styku poskytuje Banka informace související s Platebními službami zejména prostřednictvím služby přímého bankovnictví. Kvalifikovaný klient dále podpisem Smlouvy o Platebních službách potvrzuje, že mu byly v dostatečném předstihu před jejím uzavřením poskytnuty informace o Bance, poskytované Platební službě, o způsobu komunikace s Bankou, o předmětné Smlouvě o Platebních službách, o povinnostech a odpovědnosti Banky a Kvalifikovaného klienta, a to v rozsahu stanoveném zákonem o platebním styku. U Transakcí mimo EHP </w:t>
            </w:r>
            <w:r>
              <w:rPr>
                <w:sz w:val="14"/>
              </w:rPr>
              <w:t>nebo platebních transakcí</w:t>
            </w:r>
            <w:r w:rsidRPr="001005F9">
              <w:rPr>
                <w:sz w:val="14"/>
              </w:rPr>
              <w:t xml:space="preserve"> v</w:t>
            </w:r>
            <w:r>
              <w:rPr>
                <w:sz w:val="14"/>
              </w:rPr>
              <w:t> </w:t>
            </w:r>
            <w:r w:rsidRPr="001005F9">
              <w:rPr>
                <w:sz w:val="14"/>
              </w:rPr>
              <w:t>měnách, které nejsou měnou státu Evropského hospodářského prostoru</w:t>
            </w:r>
            <w:r>
              <w:rPr>
                <w:sz w:val="14"/>
              </w:rPr>
              <w:t>,</w:t>
            </w:r>
            <w:r w:rsidRPr="006F1C2D">
              <w:rPr>
                <w:rFonts w:cs="Arial"/>
                <w:sz w:val="14"/>
                <w:szCs w:val="18"/>
              </w:rPr>
              <w:t xml:space="preserve"> však Banka není povinna poskytnout Kvalifikovanému klientovi informace o maximální lhůtě pro provedení Platební služby před jejím poskytnutím ani před uzavřením Smlouvy o Platebních službách.</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17.2</w:t>
            </w:r>
          </w:p>
        </w:tc>
        <w:tc>
          <w:tcPr>
            <w:tcW w:w="9009" w:type="dxa"/>
            <w:tcBorders>
              <w:left w:val="single" w:sz="6" w:space="0" w:color="C8C8C8"/>
            </w:tcBorders>
            <w:noWrap/>
            <w:tcMar>
              <w:left w:w="113" w:type="dxa"/>
              <w:right w:w="113" w:type="dxa"/>
            </w:tcMar>
          </w:tcPr>
          <w:p w:rsidR="00EA6627" w:rsidRPr="009E30D9" w:rsidRDefault="00EA6627" w:rsidP="00E472BC">
            <w:pPr>
              <w:spacing w:before="40" w:after="40"/>
              <w:jc w:val="both"/>
              <w:rPr>
                <w:rFonts w:cs="Arial"/>
                <w:sz w:val="14"/>
                <w:szCs w:val="18"/>
              </w:rPr>
            </w:pPr>
            <w:r w:rsidRPr="00C04343">
              <w:rPr>
                <w:rFonts w:cs="Arial"/>
                <w:sz w:val="14"/>
                <w:szCs w:val="18"/>
              </w:rPr>
              <w:t>Banka pos</w:t>
            </w:r>
            <w:r w:rsidRPr="00565620">
              <w:rPr>
                <w:rFonts w:cs="Arial"/>
                <w:sz w:val="14"/>
                <w:szCs w:val="18"/>
              </w:rPr>
              <w:t xml:space="preserve">kytuje informace o úplatě </w:t>
            </w:r>
            <w:r>
              <w:rPr>
                <w:rFonts w:cs="Arial"/>
                <w:sz w:val="14"/>
                <w:szCs w:val="18"/>
              </w:rPr>
              <w:t>za služby spojené s Platebním Ú</w:t>
            </w:r>
            <w:r w:rsidRPr="00565620">
              <w:rPr>
                <w:rFonts w:cs="Arial"/>
                <w:sz w:val="14"/>
                <w:szCs w:val="18"/>
              </w:rPr>
              <w:t xml:space="preserve">čtem </w:t>
            </w:r>
            <w:r>
              <w:rPr>
                <w:rFonts w:cs="Arial"/>
                <w:sz w:val="14"/>
                <w:szCs w:val="18"/>
              </w:rPr>
              <w:t>a roční p</w:t>
            </w:r>
            <w:r w:rsidRPr="00565620">
              <w:rPr>
                <w:rFonts w:cs="Arial"/>
                <w:sz w:val="14"/>
                <w:szCs w:val="18"/>
              </w:rPr>
              <w:t xml:space="preserve">řehled o úplatě </w:t>
            </w:r>
            <w:r>
              <w:rPr>
                <w:rFonts w:cs="Arial"/>
                <w:sz w:val="14"/>
                <w:szCs w:val="18"/>
              </w:rPr>
              <w:t>za poskytnuté služby spojené s Platebním Ú</w:t>
            </w:r>
            <w:r w:rsidRPr="00565620">
              <w:rPr>
                <w:rFonts w:cs="Arial"/>
                <w:sz w:val="14"/>
                <w:szCs w:val="18"/>
              </w:rPr>
              <w:t>čtem dle zákona o platebním styku v</w:t>
            </w:r>
            <w:r>
              <w:rPr>
                <w:rFonts w:cs="Arial"/>
                <w:sz w:val="14"/>
                <w:szCs w:val="18"/>
              </w:rPr>
              <w:t xml:space="preserve"> měně</w:t>
            </w:r>
            <w:r w:rsidRPr="00565620">
              <w:rPr>
                <w:rFonts w:cs="Arial"/>
                <w:sz w:val="14"/>
                <w:szCs w:val="18"/>
              </w:rPr>
              <w:t> Kč bez ohledu na měnu Účtu.</w:t>
            </w:r>
            <w:r>
              <w:rPr>
                <w:rFonts w:cs="Arial"/>
                <w:sz w:val="14"/>
                <w:szCs w:val="18"/>
              </w:rPr>
              <w:t xml:space="preserve"> Roční p</w:t>
            </w:r>
            <w:r w:rsidRPr="00565620">
              <w:rPr>
                <w:rFonts w:cs="Arial"/>
                <w:sz w:val="14"/>
                <w:szCs w:val="18"/>
              </w:rPr>
              <w:t xml:space="preserve">řehled o úplatě poskytuje Banka způsobem sjednaným pro </w:t>
            </w:r>
            <w:r w:rsidRPr="00C04343">
              <w:rPr>
                <w:rFonts w:cs="Arial"/>
                <w:sz w:val="14"/>
                <w:szCs w:val="18"/>
              </w:rPr>
              <w:t>předávání výpisů z</w:t>
            </w:r>
            <w:r>
              <w:rPr>
                <w:rFonts w:cs="Arial"/>
                <w:sz w:val="14"/>
                <w:szCs w:val="18"/>
              </w:rPr>
              <w:t> Účtu, přičemž ustanovení čl. 15.2 VOP se použije obdobně.</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18. Ukončení smlouvy o platebních službách</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Kvalifikovaným klientem.</w:t>
            </w:r>
            <w:r w:rsidRPr="006F1C2D">
              <w:rPr>
                <w:rFonts w:cs="Arial"/>
                <w:sz w:val="14"/>
                <w:szCs w:val="18"/>
              </w:rPr>
              <w:t xml:space="preserve"> Kvalifikovaný klient je oprávněn vypovědět Smlouvu o Platebních službách kdykoli (i v případě, že byla uzavřena na dobu určitou). Výpovědní doba činí 30 kalendářních dnů a počíná běžet okamžikem jejího doručení do Klientova obchodního místa.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1 rok po jejím uzavření.</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Vypovězení smlouvy jiným než Kvalifikovaným klientem.</w:t>
            </w:r>
            <w:r w:rsidRPr="006F1C2D">
              <w:rPr>
                <w:rFonts w:cs="Arial"/>
                <w:sz w:val="14"/>
                <w:szCs w:val="18"/>
              </w:rPr>
              <w:t xml:space="preserve"> Klient, který není Kvalifikovaným klientem, je oprávněn vypovědět Smlouvu o Platebních službách uzavřenou na dobu neurčitou kdykoli, přičemž výpovědní doba činí 3 měsíce a počíná běžet okamžikem jejího doručení do Klientova obchodního místa. Tím nejsou dotčena ustanovení článku 12.2 VOP.</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18.3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Vypovězení smlouvy Bankou. </w:t>
            </w:r>
            <w:r w:rsidRPr="006F1C2D">
              <w:rPr>
                <w:rFonts w:cs="Arial"/>
                <w:sz w:val="14"/>
                <w:szCs w:val="18"/>
              </w:rPr>
              <w:t>Banka je oprávněna Smlouvu o Platebních službách uzavřenou na dobu neurčitou vypovědět kdykoli, a</w:t>
            </w:r>
            <w:r>
              <w:rPr>
                <w:rFonts w:cs="Arial"/>
                <w:sz w:val="14"/>
                <w:szCs w:val="18"/>
              </w:rPr>
              <w:t> </w:t>
            </w:r>
            <w:r w:rsidRPr="006F1C2D">
              <w:rPr>
                <w:rFonts w:cs="Arial"/>
                <w:sz w:val="14"/>
                <w:szCs w:val="18"/>
              </w:rPr>
              <w:t>to</w:t>
            </w:r>
            <w:r>
              <w:rPr>
                <w:rFonts w:cs="Arial"/>
                <w:sz w:val="14"/>
                <w:szCs w:val="18"/>
              </w:rPr>
              <w:t> </w:t>
            </w:r>
            <w:r w:rsidRPr="006F1C2D">
              <w:rPr>
                <w:rFonts w:cs="Arial"/>
                <w:sz w:val="14"/>
                <w:szCs w:val="18"/>
              </w:rPr>
              <w:t>i bez udání důvodu. U Kvalifikovaných klientů činí výpovědní doba 2 měsíce, nestanoví-li Banka ve výpovědi dobu delší, a počíná běžet okamžikem doručení výpovědi Klientovi. U ostatních Klientů činí výpovědní doba 30 kalendářních dnů, nestanoví-li Banka ve výpovědi dobu delší, a počíná běžet okamžikem doručení výpovědi Klientovi. Tím nejsou dotčena ustanovení článku 31.6 VOP.</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19. Dokumentární platby a záruky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 xml:space="preserve">Banka může provést příkaz k obstarání či změně dokumentárního inkasa předaný jí Klientem. Smlouva o obstarání či změně dokumentárního inkasa bude mezi Klientem a Bankou uzavřena konkludentně v okamžiku provedení příkazu Bankou. </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Za správnost instrukcí uvedených v příkazu zodpovídá Klient.</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Podpis Klienta uvedený na příkazu ověřuje Banka dle Podpisového vzoru Klienta k Účtu, který Klient na příkazu uvede.</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oznámit (avizovat) Klientovi vystavení finanční (bankovní) záruky v jeho prospěch jinou osobou, případně změnu finanční (bankovní) záruky, a tuto Bankovní službu zpoplatnit dle Sazebníku.</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19.5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Je-li ve prospěch Klienta vystaven exportní dokumentární akreditiv, je Banka oprávněna ověřit podpis Klienta na průvodním dopise k předkládaným dokumentům obsahujícím číslo účtu, na který má být provedeno plnění z akreditivu, a to podle Podpisového vzoru k některému z jeho Účtů u Banky. Pokud podpis Klienta nesouhlasí s Podpisovým vzorem, je Banka oprávněna plnění z akreditivu neprovést a dohodnout s Klientem další postup.</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20. Šeky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k vystavení bankovního šeku v cizí měně nebo v Kč. Bankovní šek může být vystaven ve prospěch příjemce uvedeného na příkazu (tj. na řad) nebo na doručitele, po splnění stanovených podmínek. Banka je oprávněna stanovit měny, ve kterých vystavuje bankovní šeky.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je oprávněn dát Bance příkaz formou soukromého šeku Banky, aby k tíži jeho účtu zaplatila určitou částku ve prospěch osoby uvedené na šeku (tj. příjemce šeku). O vydání soukromého šeku Banky musí Klient požádat písemnou formou. Šeky mohou být vydány osobě jednající jménem nebo za Klienta. Držitel šeků je musí uchovávat odděleně od svého průkazu totožnosti a je povinen je chránit před ztrátou, poškozením a zneužitím.</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neodpovídá za škody vzniklé proplacením ztraceného, odcizeného, padělaného nebo pozměněného šeku nebo peněžní poukázky.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si vyhrazuje právo pozastavit proplacení šeku nebo peněžní poukázky do doby jejich ověření u vystavující nebo proplácející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20.6</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Smlouvu týkající se šeků a peněžních poukázek může Klient i Banka vypovědět s výpovědní dobou 30 kalendářních dnů. Výpovědní doba počíná běžet prvním dnem následujícím po doručení písemné výpovědi.</w:t>
            </w:r>
          </w:p>
        </w:tc>
      </w:tr>
      <w:tr w:rsidR="00EA6627" w:rsidRPr="00EB16B3" w:rsidTr="00E472BC">
        <w:tblPrEx>
          <w:tblBorders>
            <w:insideV w:val="single" w:sz="6" w:space="0" w:color="DCDADA"/>
          </w:tblBorders>
          <w:tblLook w:val="04A0" w:firstRow="1" w:lastRow="0" w:firstColumn="1" w:lastColumn="0" w:noHBand="0" w:noVBand="1"/>
        </w:tblPrEx>
        <w:trPr>
          <w:trHeight w:val="479"/>
        </w:trPr>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20.7</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Na tuzemské soukromé i bankovní šeky a právní vztahy z nich vyplývající se vedle příslušných právních předpisů</w:t>
            </w:r>
            <w:r w:rsidRPr="00EA6627">
              <w:rPr>
                <w:rFonts w:cs="Arial"/>
                <w:sz w:val="14"/>
                <w:szCs w:val="18"/>
                <w:vertAlign w:val="superscript"/>
              </w:rPr>
              <w:footnoteReference w:id="14"/>
            </w:r>
            <w:r w:rsidRPr="006F1C2D">
              <w:rPr>
                <w:rFonts w:cs="Arial"/>
                <w:sz w:val="14"/>
                <w:szCs w:val="18"/>
              </w:rPr>
              <w:t xml:space="preserve"> vztahují i Všeobecné obchodní podmínky ČNB v části, která se týká šeků. Další podmínky a informace týkající se šeků jsou uvedeny v Oznámení o provádění platebního styku.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21. Transakce a úvěry v cizí měně</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Bezhotovostní platby.</w:t>
            </w:r>
            <w:r w:rsidRPr="006F1C2D">
              <w:rPr>
                <w:rFonts w:cs="Arial"/>
                <w:sz w:val="14"/>
                <w:szCs w:val="18"/>
              </w:rPr>
              <w:t xml:space="preserve"> Banka prodává Klientovi peněžní prostředky v cizí měně v bezhotovostní formě za české koruny Kurzem „deviza prodej“ a nakupuje je od Klienta za české koruny Kurzem „deviza nákup“.</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Hotovost.</w:t>
            </w:r>
            <w:r w:rsidRPr="006F1C2D">
              <w:rPr>
                <w:rFonts w:cs="Arial"/>
                <w:sz w:val="14"/>
                <w:szCs w:val="18"/>
              </w:rPr>
              <w:t xml:space="preserve"> V případě nákupu hotovosti v cizí měně od Klienta za Kč Banka použije Kurz „valuta nákup“, při prodeji hotovosti v cizí měně Klientovi za Kč Banka použije Kurz „valuta prodej“.</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Přepočet mezi cizími měnami bude proveden přes české koruny postupem uvedeným v článcích 21.1 a 21.2 VOP.</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Kurzy jsou uvedeny v kurzovním lístku Banky, který je Banka oprávněna jednostranně měnit. Změny Kurzů jsou účinné od jejich vyhlášení a uveřejnění Bankou a nejsou Klientovi předem oznamovány.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21.5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bCs/>
                <w:color w:val="000000"/>
                <w:sz w:val="14"/>
                <w:szCs w:val="14"/>
              </w:rPr>
              <w:t>Měnová rizika.</w:t>
            </w:r>
            <w:r w:rsidRPr="006F1C2D">
              <w:rPr>
                <w:rFonts w:cs="Arial"/>
                <w:color w:val="000000"/>
                <w:sz w:val="14"/>
                <w:szCs w:val="14"/>
              </w:rPr>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22. Reklamace</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22.1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Reklamace se vyřizují podle reklamačního řádu Banky. Pokud nebude v reklamačním řádu uvedeno jinak či pokud nedojde k jiné dohodě, Klient uplatňuje své reklamace či požadavky v Klientově obchodním místě.</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23. Ombudsman</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případě, kdy se jedná o opakovanou reklamaci, která nebyla vyřešena ke spokojenosti Klienta v rámci reklamačního řízení dle reklamačního řádu Banky a pravidel pro řešení stížností, se Klient může obrátit na nezávislého ombudsmana.</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23.2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Činnost ombudsmana se řídí Chartou ombudsmana, která je k dispozici v obchodních místech Banky nebo na jejích internetových stránkách.</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24. Ceny bankovních služeb a úhrada nákladů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Výše ceny.</w:t>
            </w:r>
            <w:r w:rsidRPr="006F1C2D">
              <w:rPr>
                <w:rFonts w:cs="Arial"/>
                <w:sz w:val="14"/>
                <w:szCs w:val="18"/>
              </w:rPr>
              <w:t xml:space="preserve"> Klient je povinen platit Bance ceny a další úhrady za poskytované Bankovní služby a za úkony s Bankovními službami souvisejícími, které Banka účtuje v souladu se Sazebníkem účinným v době poskytnutí dané Bankovní služby nebo provedení úkonu, pokud se Klient s Bankou nedohodne jinak. Klient je povinen platit účtované ceny řádně a včas. Banka je oprávněna vázat poskytnutí Bankovní služby na zaplacení ceny nebo její části.</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Způsob úhrady ceny.</w:t>
            </w:r>
            <w:r w:rsidRPr="006F1C2D">
              <w:rPr>
                <w:rFonts w:cs="Arial"/>
                <w:sz w:val="14"/>
                <w:szCs w:val="18"/>
              </w:rPr>
              <w:t xml:space="preserve"> Nebude-li výslovně sjednáno jinak, je Banka oprávněna odepsat částku odpovídající ceně nebo jiné úhradě za poskytované Bankovní služby a za úkony s Bankovními službami souvisejícími z Účtu Klienta, k němuž nebo v souvislosti s nímž jsou Bankovní služby poskytnuty, jinak z jakéhokoli jiného Účtu Klienta vedeného u Banky, a to v termínech určených Bankou. Ceny a další úhrady jsou splatné k poslednímu dni období, za které se účtují</w:t>
            </w:r>
            <w:r>
              <w:rPr>
                <w:rFonts w:cs="Arial"/>
                <w:sz w:val="14"/>
                <w:szCs w:val="18"/>
              </w:rPr>
              <w:t>, není-li v Sazebníku uvedeno jinak</w:t>
            </w:r>
            <w:r w:rsidRPr="006F1C2D">
              <w:rPr>
                <w:rFonts w:cs="Arial"/>
                <w:sz w:val="14"/>
                <w:szCs w:val="18"/>
              </w:rPr>
              <w:t>. Ceny se účtují v měně Bankovní služby nebo v měně, ve které je veden Účet, pokud nebude sjednáno jinak.</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24.3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Náklady.</w:t>
            </w:r>
            <w:r w:rsidRPr="006F1C2D">
              <w:rPr>
                <w:rFonts w:cs="Arial"/>
                <w:sz w:val="14"/>
                <w:szCs w:val="18"/>
              </w:rPr>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25. Úhrada pohledávek banky, úroky z prodlení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Započtení.</w:t>
            </w:r>
            <w:r w:rsidRPr="006F1C2D">
              <w:rPr>
                <w:rFonts w:cs="Arial"/>
                <w:sz w:val="14"/>
                <w:szCs w:val="18"/>
              </w:rPr>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 které nelze postihnout výkonem rozhodnutí. Za účelem započtení je Banka oprávněna provést konverzi jedné měny do druhé za použití příslušného Kurzu Banky v souladu s článkem 21 VOP</w:t>
            </w:r>
            <w:r>
              <w:rPr>
                <w:rFonts w:cs="Arial"/>
                <w:sz w:val="14"/>
                <w:szCs w:val="18"/>
              </w:rPr>
              <w:t>. K</w:t>
            </w:r>
            <w:r w:rsidRPr="00A07937">
              <w:rPr>
                <w:rFonts w:cs="Arial"/>
                <w:sz w:val="14"/>
                <w:szCs w:val="18"/>
              </w:rPr>
              <w:t>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Pr="006F1C2D">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Úroky z prodlení.</w:t>
            </w:r>
            <w:r w:rsidRPr="006F1C2D">
              <w:rPr>
                <w:rFonts w:cs="Arial"/>
                <w:sz w:val="14"/>
                <w:szCs w:val="18"/>
              </w:rPr>
              <w:t xml:space="preserve"> V případě prodlení Klienta s úhradou splatných pohledávek Banky je Banka oprávněna Klientovi účtovat úroky z prodlení ve výši stanovené v Oznámení o úrokových sazbách. Úhrada úroků z prodlení a případných dalších sankčních plateb, zejména smluvní pokuty, nemá vliv na náhradu případné škody vzniklé Bance, jakož i na úhradu nákladů spojených s vymáháním pohledávky.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25.3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Plnění třetí osobou.</w:t>
            </w:r>
            <w:r w:rsidRPr="006F1C2D">
              <w:rPr>
                <w:rFonts w:cs="Arial"/>
                <w:sz w:val="14"/>
                <w:szCs w:val="18"/>
              </w:rPr>
              <w:t xml:space="preserve"> Banka je oprávněna i bez souhlasu Klienta přijmout</w:t>
            </w:r>
            <w:r w:rsidRPr="00592F20">
              <w:rPr>
                <w:rFonts w:cs="Arial"/>
                <w:sz w:val="14"/>
                <w:szCs w:val="18"/>
              </w:rPr>
              <w:t>, nebo i přes souhlas Klienta odmítnout,</w:t>
            </w:r>
            <w:r w:rsidRPr="006F1C2D">
              <w:rPr>
                <w:rFonts w:cs="Arial"/>
                <w:sz w:val="14"/>
                <w:szCs w:val="18"/>
              </w:rPr>
              <w:t xml:space="preserve"> plnění nabídnuté třetí osobou za účelem splnění závazku Klienta vůči Bance, a to včetně částečného plnění.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26. Postoupení a zástava</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FitText/>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26.1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w:t>
            </w:r>
            <w:r>
              <w:rPr>
                <w:rFonts w:cs="Arial"/>
                <w:sz w:val="14"/>
                <w:szCs w:val="18"/>
              </w:rPr>
              <w:t> </w:t>
            </w:r>
            <w:r w:rsidRPr="006F1C2D">
              <w:rPr>
                <w:rFonts w:cs="Arial"/>
                <w:sz w:val="14"/>
                <w:szCs w:val="18"/>
              </w:rPr>
              <w:t>Bankou na Banku a na zastavení těchto pohledávek ve prospěch Banky a dále na zákonem předvídané postoupení pohledávky na</w:t>
            </w:r>
            <w:r>
              <w:rPr>
                <w:rFonts w:cs="Arial"/>
                <w:sz w:val="14"/>
                <w:szCs w:val="18"/>
              </w:rPr>
              <w:t> </w:t>
            </w:r>
            <w:r w:rsidRPr="006F1C2D">
              <w:rPr>
                <w:rFonts w:cs="Arial"/>
                <w:sz w:val="14"/>
                <w:szCs w:val="18"/>
              </w:rPr>
              <w:t>základě odkazu zůstavitele z dědice obtíženého odkazem (Klienta) na odkazovníka.</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26.2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souhlasí s tím, že Banka je oprávněna postoupit Smlouvu na třetí osobu.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27. Pojištění vkladů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27.1</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sz w:val="14"/>
                <w:szCs w:val="18"/>
              </w:rPr>
              <w:t>Vklady Klientů v Bance jsou pojištěny v souladu s právními předpisy</w:t>
            </w:r>
            <w:r w:rsidRPr="006F1C2D">
              <w:rPr>
                <w:rFonts w:cs="Arial"/>
                <w:position w:val="4"/>
                <w:sz w:val="12"/>
                <w:szCs w:val="18"/>
              </w:rPr>
              <w:footnoteReference w:id="15"/>
            </w:r>
            <w:r w:rsidRPr="006F1C2D">
              <w:rPr>
                <w:rFonts w:cs="Arial"/>
                <w:sz w:val="14"/>
                <w:szCs w:val="18"/>
              </w:rPr>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 </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28. Bankovní tajemství, ochrana osobních údajů a souhlasy klienta</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Bankovní tajemství a výjimky z něj.</w:t>
            </w:r>
            <w:r w:rsidRPr="006F1C2D">
              <w:rPr>
                <w:rFonts w:cs="Arial"/>
                <w:sz w:val="14"/>
                <w:szCs w:val="18"/>
              </w:rPr>
              <w:t xml:space="preserve"> Na všechny Bankovní služby se vztahuje bankovní tajemství v souladu s právními předpisy. Zprávy o záležitostech, které jsou předmětem bankovního tajemství, podá Banka bez souhlasu Klienta pouze v případech a v rozsahu vyplývajícím z právních předpisů. </w:t>
            </w:r>
            <w:r>
              <w:rPr>
                <w:sz w:val="14"/>
              </w:rPr>
              <w:t xml:space="preserve">Klient bere z důvodu povahy produktů na vědomí, že Banka je oprávněna sdělovat </w:t>
            </w:r>
            <w:r w:rsidRPr="006F1C2D">
              <w:rPr>
                <w:rFonts w:cs="Arial"/>
                <w:sz w:val="14"/>
                <w:szCs w:val="18"/>
              </w:rPr>
              <w:t>in</w:t>
            </w:r>
            <w:r w:rsidR="00E472BC">
              <w:rPr>
                <w:rFonts w:cs="Arial"/>
                <w:sz w:val="14"/>
                <w:szCs w:val="18"/>
              </w:rPr>
              <w:t>formace o zůstatku prostředků a </w:t>
            </w:r>
            <w:r w:rsidRPr="006F1C2D">
              <w:rPr>
                <w:rFonts w:cs="Arial"/>
                <w:sz w:val="14"/>
                <w:szCs w:val="18"/>
              </w:rPr>
              <w:t xml:space="preserve">cenných papírů stejně jako o provedených transakcích ve smyslu příslušné Smlouvy Oprávněné osobě zmocněné k nakládání s prostředky, cennými papíry nebo k provádění či uzavírání transakcí. </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Zpracování údajů na základě zákona.</w:t>
            </w:r>
            <w:r w:rsidRPr="006F1C2D">
              <w:rPr>
                <w:rFonts w:cs="Arial"/>
                <w:sz w:val="14"/>
                <w:szCs w:val="18"/>
              </w:rPr>
              <w:t xml:space="preserve"> Banka je povinna pro účely Bankovních služeb zjišťovat a zpracovávat údaje o Klientech a dalších osobách, včetně </w:t>
            </w:r>
            <w:r>
              <w:rPr>
                <w:rFonts w:cs="Arial"/>
                <w:sz w:val="14"/>
                <w:szCs w:val="18"/>
              </w:rPr>
              <w:t>o</w:t>
            </w:r>
            <w:r w:rsidRPr="006F1C2D">
              <w:rPr>
                <w:rFonts w:cs="Arial"/>
                <w:sz w:val="14"/>
                <w:szCs w:val="18"/>
              </w:rPr>
              <w:t xml:space="preserve">sobních údajů, potřebné k tomu, aby bylo možné Bankovní službu </w:t>
            </w:r>
            <w:r>
              <w:rPr>
                <w:rFonts w:cs="Arial"/>
                <w:sz w:val="14"/>
                <w:szCs w:val="18"/>
              </w:rPr>
              <w:t>poskytnout</w:t>
            </w:r>
            <w:r w:rsidRPr="006F1C2D">
              <w:rPr>
                <w:rFonts w:cs="Arial"/>
                <w:sz w:val="14"/>
                <w:szCs w:val="18"/>
              </w:rPr>
              <w:t xml:space="preserve"> bez nepřiměřených právních a věcných rizik pro Banku. V případě, že Klient odmítne takové údaje Bance poskytnout, je Banka oprávněna odmítnout poskytnutí požadované Bankovní služby Klientovi.</w:t>
            </w:r>
            <w:r>
              <w:rPr>
                <w:rFonts w:cs="Arial"/>
                <w:sz w:val="14"/>
                <w:szCs w:val="18"/>
              </w:rPr>
              <w:t xml:space="preserve"> </w:t>
            </w:r>
            <w:r>
              <w:rPr>
                <w:sz w:val="14"/>
              </w:rPr>
              <w:t>Podrobné informace o zpracování osobních údajů Klientů a souvisejících právech jsou uvedeny na internetových stránkách Banky v dokumentu Informace o zpracování osobních údajů.</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28.3</w:t>
            </w:r>
          </w:p>
        </w:tc>
        <w:tc>
          <w:tcPr>
            <w:tcW w:w="9009" w:type="dxa"/>
            <w:noWrap/>
            <w:tcMar>
              <w:left w:w="113" w:type="dxa"/>
              <w:right w:w="113" w:type="dxa"/>
            </w:tcMar>
          </w:tcPr>
          <w:p w:rsidR="00EA6627" w:rsidRPr="006F1C2D" w:rsidRDefault="00EA6627" w:rsidP="00E472BC">
            <w:pPr>
              <w:tabs>
                <w:tab w:val="num" w:pos="567"/>
              </w:tabs>
              <w:spacing w:before="40" w:after="40"/>
              <w:jc w:val="both"/>
              <w:rPr>
                <w:rFonts w:cs="Arial"/>
                <w:sz w:val="14"/>
                <w:szCs w:val="18"/>
              </w:rPr>
            </w:pPr>
            <w:r w:rsidRPr="006F1C2D">
              <w:rPr>
                <w:rFonts w:cs="Arial"/>
                <w:b/>
                <w:sz w:val="14"/>
                <w:szCs w:val="18"/>
              </w:rPr>
              <w:t>Souhlasy se zpracováním údajů</w:t>
            </w:r>
            <w:r>
              <w:rPr>
                <w:rFonts w:cs="Arial"/>
                <w:b/>
                <w:sz w:val="14"/>
                <w:szCs w:val="18"/>
              </w:rPr>
              <w:t xml:space="preserve"> </w:t>
            </w:r>
            <w:r>
              <w:rPr>
                <w:b/>
                <w:sz w:val="14"/>
              </w:rPr>
              <w:t>Klienta – právnické osoby</w:t>
            </w:r>
            <w:r w:rsidRPr="00072C02">
              <w:rPr>
                <w:rFonts w:cs="Arial"/>
                <w:b/>
                <w:sz w:val="14"/>
                <w:szCs w:val="18"/>
              </w:rPr>
              <w:t>.</w:t>
            </w:r>
            <w:r w:rsidRPr="00072C02">
              <w:rPr>
                <w:sz w:val="14"/>
              </w:rPr>
              <w:t xml:space="preserve"> K</w:t>
            </w:r>
            <w:r w:rsidRPr="00307EAA">
              <w:rPr>
                <w:sz w:val="14"/>
              </w:rPr>
              <w:t xml:space="preserve">lient – právnická osoba souhlasí s tím, aby jeho </w:t>
            </w:r>
            <w:r w:rsidRPr="00486F0E">
              <w:rPr>
                <w:sz w:val="14"/>
              </w:rPr>
              <w:t>údaje (včetně údajů charakterizujících Klientovu bonitu a důvěryhodnost a příslušných podkladů pro jejich vyhodnocení, napříkla</w:t>
            </w:r>
            <w:r w:rsidR="00E472BC">
              <w:rPr>
                <w:sz w:val="14"/>
              </w:rPr>
              <w:t>d účetní výkazy Klienta) byly i </w:t>
            </w:r>
            <w:r w:rsidRPr="00486F0E">
              <w:rPr>
                <w:sz w:val="14"/>
              </w:rPr>
              <w:t xml:space="preserve">spolu s dalšími informacemi získanými od </w:t>
            </w:r>
            <w:r>
              <w:rPr>
                <w:sz w:val="14"/>
              </w:rPr>
              <w:t>Správců</w:t>
            </w:r>
            <w:r w:rsidRPr="00486F0E">
              <w:rPr>
                <w:sz w:val="14"/>
              </w:rPr>
              <w:t xml:space="preserve"> v rámci jejich činnosti, z veřejných zdrojů (například veřejné seznamy a rejstříky, internetové aplikace, jiné veřejné informační zdroje) nebo od třetích stran zpracovávány </w:t>
            </w:r>
            <w:r>
              <w:rPr>
                <w:sz w:val="14"/>
              </w:rPr>
              <w:t xml:space="preserve">Správci a </w:t>
            </w:r>
            <w:r w:rsidRPr="00486F0E">
              <w:rPr>
                <w:sz w:val="14"/>
              </w:rPr>
              <w:t xml:space="preserve">předávány mezi </w:t>
            </w:r>
            <w:r>
              <w:rPr>
                <w:sz w:val="14"/>
              </w:rPr>
              <w:t>nimi</w:t>
            </w:r>
            <w:r w:rsidRPr="00486F0E">
              <w:rPr>
                <w:sz w:val="14"/>
              </w:rPr>
              <w:t xml:space="preserve"> za účelem zkvalitnění péče o Klienta, provádění Marketingových činností, informování ostatních </w:t>
            </w:r>
            <w:r>
              <w:rPr>
                <w:sz w:val="14"/>
              </w:rPr>
              <w:t>Správců</w:t>
            </w:r>
            <w:r w:rsidRPr="00486F0E">
              <w:rPr>
                <w:sz w:val="14"/>
              </w:rPr>
              <w:t xml:space="preserve"> o bonitě a důvěryhodnosti Klienta a analyzování těchto údajů. Klient souhlasí</w:t>
            </w:r>
            <w:r w:rsidRPr="00EB16B3">
              <w:rPr>
                <w:sz w:val="14"/>
              </w:rPr>
              <w:t xml:space="preserve"> s tím, aby </w:t>
            </w:r>
            <w:r>
              <w:rPr>
                <w:sz w:val="14"/>
              </w:rPr>
              <w:t>Správce</w:t>
            </w:r>
            <w:r w:rsidRPr="00EB16B3">
              <w:rPr>
                <w:sz w:val="14"/>
              </w:rPr>
              <w:t xml:space="preserve"> zpracovával výše uvedené údaje za účelem a v rozsahu shora uvedeném po dobu od udělení tohoto souhlasu do uplynutí čtyř let od ukončení posledního smluvního nebo jiného právního vztahu mezi ním a kter</w:t>
            </w:r>
            <w:r>
              <w:rPr>
                <w:sz w:val="14"/>
              </w:rPr>
              <w:t>ým</w:t>
            </w:r>
            <w:r w:rsidRPr="00EB16B3">
              <w:rPr>
                <w:sz w:val="14"/>
              </w:rPr>
              <w:t xml:space="preserve">koli ze </w:t>
            </w:r>
            <w:r>
              <w:rPr>
                <w:sz w:val="14"/>
              </w:rPr>
              <w:t>Správců</w:t>
            </w:r>
            <w:r w:rsidRPr="00EB16B3">
              <w:rPr>
                <w:sz w:val="14"/>
              </w:rPr>
              <w:t xml:space="preserve">. Tento souhlas se zpracováním údajů, udělený v souladu </w:t>
            </w:r>
            <w:r>
              <w:rPr>
                <w:sz w:val="14"/>
              </w:rPr>
              <w:t>s právními předpisy</w:t>
            </w:r>
            <w:r w:rsidRPr="00E472BC">
              <w:rPr>
                <w:rFonts w:cs="Arial"/>
                <w:sz w:val="14"/>
                <w:szCs w:val="18"/>
                <w:vertAlign w:val="superscript"/>
              </w:rPr>
              <w:footnoteReference w:id="16"/>
            </w:r>
            <w:r w:rsidRPr="006F1C2D">
              <w:rPr>
                <w:rFonts w:cs="Arial"/>
                <w:sz w:val="14"/>
                <w:szCs w:val="18"/>
              </w:rPr>
              <w:t xml:space="preserve">, </w:t>
            </w:r>
            <w:r w:rsidRPr="00EB16B3">
              <w:rPr>
                <w:sz w:val="14"/>
              </w:rPr>
              <w:t>je dobrovolný a Klient je oprávněn jej kdykoli odvolat ve vztahu k jaké</w:t>
            </w:r>
            <w:r>
              <w:rPr>
                <w:sz w:val="14"/>
              </w:rPr>
              <w:t>mu</w:t>
            </w:r>
            <w:r w:rsidRPr="00EB16B3">
              <w:rPr>
                <w:sz w:val="14"/>
              </w:rPr>
              <w:t xml:space="preserve">koli </w:t>
            </w:r>
            <w:r>
              <w:rPr>
                <w:sz w:val="14"/>
              </w:rPr>
              <w:t>Správci</w:t>
            </w:r>
            <w:r w:rsidRPr="00EB16B3">
              <w:rPr>
                <w:sz w:val="14"/>
              </w:rPr>
              <w:t>. Odvolání souhlasu musí být učiněno písemně.</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29. Odpovědnost banky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neodpovídá Klientovi za škodu když:</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protiprávním jednáním Klienta nebo třetí osoby,</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porušením povinností osob jednajících jménem či za Klienta dle Smlouvy,</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postupem Banky v souladu s příkazy a žádostmi Klienta nebo jí Klient utrpěl v důsledku svých vlastních obchodních či jiných rozhodnutí,</w:t>
            </w:r>
          </w:p>
          <w:p w:rsidR="00EA6627" w:rsidRDefault="00EA6627" w:rsidP="00E472BC">
            <w:pPr>
              <w:numPr>
                <w:ilvl w:val="0"/>
                <w:numId w:val="5"/>
              </w:numPr>
              <w:spacing w:after="40"/>
              <w:ind w:left="227" w:hanging="227"/>
              <w:jc w:val="both"/>
              <w:rPr>
                <w:rFonts w:cs="Arial"/>
                <w:sz w:val="14"/>
                <w:szCs w:val="18"/>
              </w:rPr>
            </w:pPr>
            <w:r w:rsidRPr="006F1C2D">
              <w:rPr>
                <w:rFonts w:cs="Arial"/>
                <w:sz w:val="14"/>
                <w:szCs w:val="18"/>
              </w:rPr>
              <w:t>škoda byla způsobena tím, že Banka jednala v souladu se Smlouvou, nebo tím, že Klient porušil Smlouvu,</w:t>
            </w:r>
          </w:p>
          <w:p w:rsidR="00EA6627" w:rsidRPr="006F1C2D" w:rsidRDefault="00EA6627" w:rsidP="00E472BC">
            <w:pPr>
              <w:numPr>
                <w:ilvl w:val="0"/>
                <w:numId w:val="5"/>
              </w:numPr>
              <w:spacing w:after="40"/>
              <w:ind w:left="227" w:hanging="227"/>
              <w:jc w:val="both"/>
              <w:rPr>
                <w:rFonts w:cs="Arial"/>
                <w:sz w:val="14"/>
                <w:szCs w:val="18"/>
              </w:rPr>
            </w:pPr>
            <w:r w:rsidRPr="00A07937">
              <w:rPr>
                <w:rFonts w:cs="Arial"/>
                <w:sz w:val="14"/>
                <w:szCs w:val="18"/>
              </w:rPr>
              <w:t xml:space="preserve">škoda byla způsobena jinak než úmyslně </w:t>
            </w:r>
            <w:r>
              <w:rPr>
                <w:rFonts w:cs="Arial"/>
                <w:sz w:val="14"/>
                <w:szCs w:val="18"/>
              </w:rPr>
              <w:t>nebo z hrubé nedbalosti</w:t>
            </w:r>
            <w:r w:rsidRPr="00A07937">
              <w:rPr>
                <w:rFonts w:cs="Arial"/>
                <w:sz w:val="14"/>
                <w:szCs w:val="18"/>
              </w:rPr>
              <w:t>,</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povinnosti Banky bylo způsobeno jednáním Klienta nebo nedostatkem součinnosti ze strany Klienta.</w:t>
            </w:r>
          </w:p>
          <w:p w:rsidR="00EA6627" w:rsidRPr="006F1C2D" w:rsidRDefault="00EA6627" w:rsidP="00E472BC">
            <w:pPr>
              <w:numPr>
                <w:ilvl w:val="0"/>
                <w:numId w:val="5"/>
              </w:numPr>
              <w:spacing w:after="40"/>
              <w:ind w:left="227" w:hanging="227"/>
              <w:jc w:val="both"/>
              <w:rPr>
                <w:rFonts w:cs="Arial"/>
                <w:sz w:val="14"/>
                <w:szCs w:val="18"/>
              </w:rPr>
            </w:pPr>
            <w:r w:rsidRPr="006F1C2D">
              <w:rPr>
                <w:rFonts w:cs="Arial"/>
                <w:sz w:val="14"/>
                <w:szCs w:val="18"/>
              </w:rPr>
              <w:t>porušení dané povinnosti bylo způsobeno mimořádnou nepředvídatelnou a nepřekonatelnou překážkou vzniklou nezávisle na vůli Banky nebo okolnostmi vylučujícími odpovědnost tam, kde se pro daný právní vztah použije právní úprava platná před účinností občanského zákoníku</w:t>
            </w:r>
            <w:r w:rsidRPr="00E472BC">
              <w:rPr>
                <w:rFonts w:cs="Arial"/>
                <w:sz w:val="14"/>
                <w:szCs w:val="18"/>
                <w:vertAlign w:val="superscript"/>
              </w:rPr>
              <w:footnoteReference w:id="17"/>
            </w:r>
            <w:r w:rsidRPr="006F1C2D">
              <w:rPr>
                <w:rFonts w:cs="Arial"/>
                <w:sz w:val="14"/>
                <w:szCs w:val="18"/>
              </w:rPr>
              <w:t xml:space="preserve">. </w:t>
            </w:r>
          </w:p>
          <w:p w:rsidR="00EA6627" w:rsidRPr="006F1C2D" w:rsidRDefault="00EA6627" w:rsidP="00E472BC">
            <w:pPr>
              <w:spacing w:before="40" w:after="40"/>
              <w:jc w:val="both"/>
              <w:rPr>
                <w:rFonts w:cs="Arial"/>
                <w:sz w:val="14"/>
                <w:szCs w:val="18"/>
              </w:rPr>
            </w:pPr>
            <w:r w:rsidRPr="006F1C2D">
              <w:rPr>
                <w:rFonts w:cs="Arial"/>
                <w:sz w:val="14"/>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29.3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Odpovědnost Banky za neautorizované nebo nesprávně provedené platební transakce je uvedena v Oznámení o provádění platebního styku nebo v Produktových podmínkách k příslušnému Platebnímu prostředku.</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2"/>
                <w:szCs w:val="2"/>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30. Zajištění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tabs>
                <w:tab w:val="center" w:pos="383"/>
                <w:tab w:val="right" w:pos="766"/>
              </w:tabs>
              <w:spacing w:before="40" w:after="40"/>
              <w:jc w:val="right"/>
              <w:rPr>
                <w:rFonts w:cs="Arial"/>
                <w:b/>
                <w:sz w:val="14"/>
                <w:szCs w:val="18"/>
              </w:rPr>
            </w:pPr>
            <w:r w:rsidRPr="006F1C2D">
              <w:rPr>
                <w:rFonts w:cs="Arial"/>
                <w:b/>
                <w:sz w:val="14"/>
                <w:szCs w:val="18"/>
              </w:rPr>
              <w:t>30.1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souvislosti s poskytováním Bankovní služby je Banka oprávněna žádat poskytnutí přiměřeného zajištění či dozajištění dluhů Klienta vůči Bance, a to i v průběhu poskytování příslušné Bankovní služby, zejména pak v případě, kdy dojde k výraznému zhoršení finanční situace Klienta či k zásadní změně v jeho právním postavení. Neposkytnutí takovéhoto zajištění či dozajištění může Banka považovat za podstatné porušení Smlouvy s Klientem.</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Banka je oprávněna realizovat zajištění za podmínek stanovených příslušnou Smlouvou.</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se zavazuje, že ve vztahu k předmětu zajištění, který slouží k zajištění dluhů Klienta vůči Bance, takový předmět zajištění nepřevede, nepostoupí, nezcizí ani jinak neumožní nabytí jakéhokoliv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jakéhokoliv věcného práva k takovému předmětu zajištění třetí osobě ani ho nevyčlení do svěřenského fondu ani ho neposkytne jako jistotu ve prospěch osoby rozdílné od Banky bez předchozího písemného souhlasu Banky.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Bez předchozího výslovného písemného souhlasu Banky nepřechází zajišťovaný dluh na nabyvatele předmětu zajištění.</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30.5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31. Změna smlouvy</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Právo navrhovat změny.</w:t>
            </w:r>
            <w:r w:rsidRPr="006F1C2D">
              <w:rPr>
                <w:rFonts w:cs="Arial"/>
                <w:sz w:val="14"/>
                <w:szCs w:val="18"/>
              </w:rPr>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6"/>
              </w:rPr>
              <w:t>31.2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highlight w:val="lightGray"/>
              </w:rPr>
            </w:pPr>
            <w:r w:rsidRPr="006F1C2D">
              <w:rPr>
                <w:rFonts w:cs="Arial"/>
                <w:b/>
                <w:sz w:val="14"/>
                <w:szCs w:val="16"/>
              </w:rPr>
              <w:t>Informace o navrhované změně.</w:t>
            </w:r>
            <w:r w:rsidRPr="006F1C2D">
              <w:rPr>
                <w:rFonts w:cs="Arial"/>
                <w:sz w:val="14"/>
                <w:szCs w:val="16"/>
              </w:rPr>
              <w:t xml:space="preserve"> </w:t>
            </w:r>
            <w:r>
              <w:rPr>
                <w:sz w:val="14"/>
                <w:szCs w:val="14"/>
              </w:rPr>
              <w:t xml:space="preserve">Banka Klienta informuje o navrhované změně VOP nejméně 2 měsíce před navrhovaným dnem jejich účinnosti. O navrhované změně Sazebníku ve vztahu k Platebním službám informuje Banka Klienta, který není Kvalifikovaným klientem, nejméně 30 kalendářních dnů před navrhovaným dnem jeho účinnosti. O navrhované změně a navrhovaném dni účinnosti, informuje Banka způsobem dle článku 8.4 VOP či ve výpise z účtu. </w:t>
            </w:r>
            <w:r w:rsidRPr="006F1C2D">
              <w:rPr>
                <w:rFonts w:cs="Arial"/>
                <w:sz w:val="14"/>
                <w:szCs w:val="18"/>
              </w:rPr>
              <w:t>Klient je povinen se s navrhovaným zněním seznámit. Banka je povinna mít navrhované znění VOP k dispozici v obchodních místech Banky a vyvěsit je na internetových stránkách Banky.</w:t>
            </w:r>
          </w:p>
        </w:tc>
      </w:tr>
      <w:tr w:rsidR="00E472BC" w:rsidRPr="00EB16B3" w:rsidTr="00E472BC">
        <w:tblPrEx>
          <w:tblBorders>
            <w:insideV w:val="single" w:sz="6" w:space="0" w:color="DCDADA"/>
          </w:tblBorders>
          <w:tblLook w:val="04A0" w:firstRow="1" w:lastRow="0" w:firstColumn="1" w:lastColumn="0" w:noHBand="0" w:noVBand="1"/>
        </w:tblPrEx>
        <w:trPr>
          <w:trHeight w:val="1207"/>
        </w:trPr>
        <w:tc>
          <w:tcPr>
            <w:tcW w:w="630" w:type="dxa"/>
            <w:noWrap/>
            <w:tcMar>
              <w:left w:w="113" w:type="dxa"/>
              <w:right w:w="113" w:type="dxa"/>
            </w:tcMar>
          </w:tcPr>
          <w:p w:rsidR="00E472BC" w:rsidRPr="006F1C2D" w:rsidRDefault="00E472BC" w:rsidP="00E472BC">
            <w:pPr>
              <w:spacing w:before="40" w:after="40"/>
              <w:jc w:val="right"/>
              <w:rPr>
                <w:rFonts w:cs="Arial"/>
                <w:b/>
                <w:sz w:val="14"/>
                <w:szCs w:val="18"/>
              </w:rPr>
            </w:pPr>
            <w:r w:rsidRPr="006F1C2D">
              <w:rPr>
                <w:rFonts w:cs="Arial"/>
                <w:b/>
                <w:sz w:val="14"/>
                <w:szCs w:val="18"/>
              </w:rPr>
              <w:t>31.</w:t>
            </w:r>
            <w:r>
              <w:rPr>
                <w:rFonts w:cs="Arial"/>
                <w:b/>
                <w:sz w:val="14"/>
                <w:szCs w:val="18"/>
              </w:rPr>
              <w:t>3</w:t>
            </w:r>
          </w:p>
        </w:tc>
        <w:tc>
          <w:tcPr>
            <w:tcW w:w="9009" w:type="dxa"/>
            <w:noWrap/>
            <w:tcMar>
              <w:left w:w="113" w:type="dxa"/>
              <w:right w:w="113" w:type="dxa"/>
            </w:tcMar>
          </w:tcPr>
          <w:p w:rsidR="00E472BC" w:rsidRPr="006F1C2D" w:rsidRDefault="00E472BC" w:rsidP="00E472BC">
            <w:pPr>
              <w:spacing w:before="40" w:after="40"/>
              <w:jc w:val="both"/>
              <w:rPr>
                <w:rFonts w:cs="Arial"/>
                <w:sz w:val="14"/>
                <w:szCs w:val="18"/>
              </w:rPr>
            </w:pPr>
            <w:r w:rsidRPr="006F1C2D">
              <w:rPr>
                <w:rFonts w:cs="Arial"/>
                <w:b/>
                <w:sz w:val="14"/>
                <w:szCs w:val="18"/>
              </w:rPr>
              <w:t>Účinnost a odmítnutí změny u Platebních služeb.</w:t>
            </w:r>
            <w:r w:rsidRPr="006F1C2D">
              <w:rPr>
                <w:rFonts w:cs="Arial"/>
                <w:sz w:val="14"/>
                <w:szCs w:val="18"/>
              </w:rPr>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w:t>
            </w:r>
            <w:r>
              <w:rPr>
                <w:rFonts w:cs="Arial"/>
                <w:sz w:val="14"/>
                <w:szCs w:val="18"/>
              </w:rPr>
              <w:t xml:space="preserve"> </w:t>
            </w:r>
            <w:r w:rsidRPr="006F1C2D">
              <w:rPr>
                <w:rFonts w:cs="Arial"/>
                <w:sz w:val="14"/>
                <w:szCs w:val="18"/>
              </w:rPr>
              <w:t>Pokud návrh na změnu VOP ve vztahu k Platebním službám písemně odmítne</w:t>
            </w:r>
            <w:r>
              <w:rPr>
                <w:rFonts w:cs="Arial"/>
                <w:sz w:val="14"/>
                <w:szCs w:val="18"/>
              </w:rPr>
              <w:t>,</w:t>
            </w:r>
            <w:r w:rsidRPr="006F1C2D">
              <w:rPr>
                <w:rFonts w:cs="Arial"/>
                <w:sz w:val="14"/>
                <w:szCs w:val="18"/>
              </w:rPr>
              <w:t xml:space="preserve"> Kvalifikovaný klient je oprávněn bezúplatně vypovědět Smlouvu s okamžitou účinností. </w:t>
            </w:r>
            <w:r>
              <w:rPr>
                <w:rFonts w:cs="Arial"/>
                <w:sz w:val="14"/>
                <w:szCs w:val="18"/>
              </w:rPr>
              <w:t xml:space="preserve">Pokud takový návrh odmítne Klient, který není Kvalifikovaným klientem, mají Klient i Banka právo vypovědět Smlouvu s účinností ke dni účinnosti změny VOP. </w:t>
            </w:r>
            <w:r w:rsidRPr="006F1C2D">
              <w:rPr>
                <w:rFonts w:cs="Arial"/>
                <w:sz w:val="14"/>
                <w:szCs w:val="18"/>
              </w:rPr>
              <w:t>Výpověď musí být doručena druhé smluvní straně přede dnem, kdy má navrhovaná změna nabýt účinnosti.</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4</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Účinnost a odmítnutí změny u jiných</w:t>
            </w:r>
            <w:r>
              <w:rPr>
                <w:rFonts w:cs="Arial"/>
                <w:b/>
                <w:sz w:val="14"/>
                <w:szCs w:val="18"/>
              </w:rPr>
              <w:t xml:space="preserve"> než</w:t>
            </w:r>
            <w:r w:rsidRPr="006F1C2D">
              <w:rPr>
                <w:rFonts w:cs="Arial"/>
                <w:b/>
                <w:sz w:val="14"/>
                <w:szCs w:val="18"/>
              </w:rPr>
              <w:t xml:space="preserve"> </w:t>
            </w:r>
            <w:r>
              <w:rPr>
                <w:rFonts w:cs="Arial"/>
                <w:b/>
                <w:sz w:val="14"/>
                <w:szCs w:val="18"/>
              </w:rPr>
              <w:t>Plateb</w:t>
            </w:r>
            <w:r w:rsidRPr="006F1C2D">
              <w:rPr>
                <w:rFonts w:cs="Arial"/>
                <w:b/>
                <w:sz w:val="14"/>
                <w:szCs w:val="18"/>
              </w:rPr>
              <w:t>ních služeb.</w:t>
            </w:r>
            <w:r w:rsidRPr="006F1C2D">
              <w:rPr>
                <w:rFonts w:cs="Arial"/>
                <w:sz w:val="14"/>
                <w:szCs w:val="18"/>
              </w:rPr>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 účinností ode dne účinnosti navrženého Bankou.</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Forma odmítnutí a výpovědi.</w:t>
            </w:r>
            <w:r w:rsidRPr="006F1C2D">
              <w:rPr>
                <w:rFonts w:cs="Arial"/>
                <w:sz w:val="14"/>
                <w:szCs w:val="18"/>
              </w:rPr>
              <w:t xml:space="preserve"> Výpověď a oznámení o odmítnutí navrhovaných změn učiněné Klientem podle článků 31.</w:t>
            </w:r>
            <w:r>
              <w:rPr>
                <w:rFonts w:cs="Arial"/>
                <w:sz w:val="14"/>
                <w:szCs w:val="18"/>
              </w:rPr>
              <w:t>3</w:t>
            </w:r>
            <w:r w:rsidRPr="006F1C2D">
              <w:rPr>
                <w:rFonts w:cs="Arial"/>
                <w:sz w:val="14"/>
                <w:szCs w:val="18"/>
              </w:rPr>
              <w:t xml:space="preserve"> a 31.</w:t>
            </w:r>
            <w:r>
              <w:rPr>
                <w:rFonts w:cs="Arial"/>
                <w:sz w:val="14"/>
                <w:szCs w:val="18"/>
              </w:rPr>
              <w:t>4</w:t>
            </w:r>
            <w:r w:rsidRPr="006F1C2D">
              <w:rPr>
                <w:rFonts w:cs="Arial"/>
                <w:sz w:val="14"/>
                <w:szCs w:val="18"/>
              </w:rPr>
              <w:t xml:space="preserve"> VOP musí mít písemnou formu, podpis Klienta na nich musí být úředně ověřen nebo učiněn před zaměstnancem Banky (neakceptuje-li Banka jiný způsob ověření) a musí být doručeny Bance dle článku 8</w:t>
            </w:r>
            <w:r>
              <w:rPr>
                <w:rFonts w:cs="Arial"/>
                <w:sz w:val="14"/>
                <w:szCs w:val="18"/>
              </w:rPr>
              <w:t>.3</w:t>
            </w:r>
            <w:r w:rsidRPr="006F1C2D">
              <w:rPr>
                <w:rFonts w:cs="Arial"/>
                <w:sz w:val="14"/>
                <w:szCs w:val="18"/>
              </w:rPr>
              <w:t xml:space="preserve"> VOP.</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6</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 xml:space="preserve">Omezení práva odmítnout změnu. </w:t>
            </w:r>
            <w:r w:rsidRPr="006F1C2D">
              <w:rPr>
                <w:rFonts w:cs="Arial"/>
                <w:sz w:val="14"/>
                <w:szCs w:val="18"/>
              </w:rPr>
              <w:t>V případě změny VOP má Klient právo odmítnout navrhovanou změnu a případně vypovědět Smlouvu pouze, pokud se navrhovaná změna přímo týká Bankovní služby poskytované Klientovi na základě této Smlouvy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7</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b/>
                <w:sz w:val="14"/>
                <w:szCs w:val="18"/>
              </w:rPr>
              <w:t>Podstatné zvýšení ceny.</w:t>
            </w:r>
            <w:r w:rsidRPr="006F1C2D">
              <w:rPr>
                <w:rFonts w:cs="Arial"/>
                <w:sz w:val="14"/>
                <w:szCs w:val="18"/>
              </w:rPr>
              <w:t xml:space="preserve"> Klient spotřebitel je při podstatném zvýšení ceny za poskytované Bankovní služby oprávněn toto zvýšení odmítnout. Pro odmítnutí a odstoupení Klienta od Smlouvy platí obdobně postup dle článků 31.</w:t>
            </w:r>
            <w:r>
              <w:rPr>
                <w:rFonts w:cs="Arial"/>
                <w:sz w:val="14"/>
                <w:szCs w:val="18"/>
              </w:rPr>
              <w:t>3</w:t>
            </w:r>
            <w:r w:rsidRPr="006F1C2D">
              <w:rPr>
                <w:rFonts w:cs="Arial"/>
                <w:sz w:val="14"/>
                <w:szCs w:val="18"/>
              </w:rPr>
              <w:t xml:space="preserve"> a</w:t>
            </w:r>
            <w:r>
              <w:rPr>
                <w:rFonts w:cs="Arial"/>
                <w:sz w:val="14"/>
                <w:szCs w:val="18"/>
              </w:rPr>
              <w:t>ž</w:t>
            </w:r>
            <w:r w:rsidRPr="006F1C2D">
              <w:rPr>
                <w:rFonts w:cs="Arial"/>
                <w:sz w:val="14"/>
                <w:szCs w:val="18"/>
              </w:rPr>
              <w:t xml:space="preserve"> 31.</w:t>
            </w:r>
            <w:r>
              <w:rPr>
                <w:rFonts w:cs="Arial"/>
                <w:sz w:val="14"/>
                <w:szCs w:val="18"/>
              </w:rPr>
              <w:t>6</w:t>
            </w:r>
            <w:r w:rsidRPr="006F1C2D">
              <w:rPr>
                <w:rFonts w:cs="Arial"/>
                <w:sz w:val="14"/>
                <w:szCs w:val="18"/>
              </w:rPr>
              <w:t xml:space="preserve"> VOP.</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31.</w:t>
            </w:r>
            <w:r>
              <w:rPr>
                <w:rFonts w:cs="Arial"/>
                <w:b/>
                <w:sz w:val="14"/>
                <w:szCs w:val="18"/>
              </w:rPr>
              <w:t>8</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067596">
              <w:rPr>
                <w:rFonts w:cs="Arial"/>
                <w:b/>
                <w:sz w:val="14"/>
                <w:szCs w:val="18"/>
              </w:rPr>
              <w:t>Změny s okamžitou účinností.</w:t>
            </w:r>
            <w:r w:rsidRPr="006F1C2D">
              <w:rPr>
                <w:rFonts w:cs="Arial"/>
                <w:sz w:val="14"/>
                <w:szCs w:val="18"/>
              </w:rPr>
              <w:t xml:space="preserve"> </w:t>
            </w:r>
            <w:r>
              <w:rPr>
                <w:rFonts w:cs="Arial"/>
                <w:sz w:val="14"/>
                <w:szCs w:val="18"/>
              </w:rPr>
              <w:t>O</w:t>
            </w:r>
            <w:r w:rsidRPr="006F1C2D">
              <w:rPr>
                <w:rFonts w:cs="Arial"/>
                <w:sz w:val="14"/>
                <w:szCs w:val="18"/>
              </w:rPr>
              <w:t xml:space="preserve">dchylně od </w:t>
            </w:r>
            <w:r>
              <w:rPr>
                <w:rFonts w:cs="Arial"/>
                <w:sz w:val="14"/>
                <w:szCs w:val="18"/>
              </w:rPr>
              <w:t xml:space="preserve">předchozích </w:t>
            </w:r>
            <w:r w:rsidRPr="006F1C2D">
              <w:rPr>
                <w:rFonts w:cs="Arial"/>
                <w:sz w:val="14"/>
                <w:szCs w:val="18"/>
              </w:rPr>
              <w:t>článků</w:t>
            </w:r>
            <w:r w:rsidR="007538ED">
              <w:rPr>
                <w:rFonts w:cs="Arial"/>
                <w:sz w:val="14"/>
                <w:szCs w:val="18"/>
              </w:rPr>
              <w:t xml:space="preserve"> </w:t>
            </w:r>
            <w:r w:rsidRPr="006F1C2D">
              <w:rPr>
                <w:rFonts w:cs="Arial"/>
                <w:sz w:val="14"/>
                <w:szCs w:val="18"/>
              </w:rPr>
              <w:t>je Banka oprávněna provést s okamžitou účinností jednostrannou změnu:</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VOP, Produktových podmínek, Oznámení a Sazebníku, je-li tato změna výhradně ve prospěch Klienta, nebo je-li změna vyvolána doplněním nové Bankovní služby a nemá vliv na stávající poplatky,</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obchodního názvu Bankovní služby, která nemá vliv na práva a povinnosti smluvních stran vyplývající ze Smlouvy,</w:t>
            </w:r>
          </w:p>
          <w:p w:rsidR="00EA6627" w:rsidRPr="006F1C2D" w:rsidRDefault="00EA6627" w:rsidP="00E472BC">
            <w:pPr>
              <w:numPr>
                <w:ilvl w:val="0"/>
                <w:numId w:val="6"/>
              </w:numPr>
              <w:spacing w:after="40"/>
              <w:ind w:left="227" w:hanging="227"/>
              <w:jc w:val="both"/>
              <w:rPr>
                <w:rFonts w:cs="Arial"/>
                <w:sz w:val="14"/>
                <w:szCs w:val="18"/>
              </w:rPr>
            </w:pPr>
            <w:r w:rsidRPr="006F1C2D">
              <w:rPr>
                <w:rFonts w:cs="Arial"/>
                <w:sz w:val="14"/>
                <w:szCs w:val="18"/>
              </w:rPr>
              <w:t xml:space="preserve">údajů, které jsou čistě informačního charakteru a nejsou určeny dohodou smluvních stran (např. sídlo Banky, obchodní firma Členů finanční skupiny Banky). </w:t>
            </w:r>
          </w:p>
          <w:p w:rsidR="00EA6627" w:rsidRPr="006F1C2D" w:rsidRDefault="00EA6627" w:rsidP="00E472BC">
            <w:pPr>
              <w:spacing w:before="40" w:after="40"/>
              <w:jc w:val="both"/>
              <w:rPr>
                <w:rFonts w:cs="Arial"/>
                <w:sz w:val="14"/>
                <w:szCs w:val="18"/>
              </w:rPr>
            </w:pPr>
            <w:r w:rsidRPr="006F1C2D">
              <w:rPr>
                <w:rFonts w:cs="Arial"/>
                <w:sz w:val="14"/>
                <w:szCs w:val="18"/>
              </w:rPr>
              <w:t>O změnách dle tohoto článku informuje Banka Klienta způsobem dle článku 31.2 VOP.</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2</w:t>
            </w:r>
            <w:r w:rsidRPr="006F1C2D">
              <w:rPr>
                <w:rFonts w:eastAsia="Times New Roman" w:cs="Arial"/>
                <w:b/>
                <w:bCs/>
                <w:color w:val="FFFFFF"/>
                <w:szCs w:val="18"/>
              </w:rPr>
              <w:t>. Rozhodné právo a řešení sporů</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2"/>
                <w:szCs w:val="2"/>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Právní vztahy mezi Bankou a Klientem se řídí právním řádem České republiky. Pro účely Smluv, na které se použije právní úprava platná před účinností občanského zákoníku,</w:t>
            </w:r>
            <w:r w:rsidRPr="00E472BC">
              <w:rPr>
                <w:rFonts w:cs="Arial"/>
                <w:sz w:val="14"/>
                <w:szCs w:val="18"/>
                <w:vertAlign w:val="superscript"/>
              </w:rPr>
              <w:footnoteReference w:id="18"/>
            </w:r>
            <w:r w:rsidRPr="006F1C2D">
              <w:rPr>
                <w:rFonts w:cs="Arial"/>
                <w:sz w:val="14"/>
                <w:szCs w:val="18"/>
              </w:rPr>
              <w:t xml:space="preserve"> platí, že se právní vztahy mezi Klientem a Bankou řídí obchodním zákoníkem</w:t>
            </w:r>
            <w:r w:rsidRPr="00E472BC">
              <w:rPr>
                <w:rFonts w:cs="Arial"/>
                <w:sz w:val="14"/>
                <w:szCs w:val="18"/>
                <w:vertAlign w:val="superscript"/>
              </w:rPr>
              <w:footnoteReference w:id="19"/>
            </w:r>
            <w:r w:rsidRPr="006F1C2D">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.2</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Klient i Banka vynaloží maximální úsilí k tomu, aby jakékoli sporné záležitosti vyřešili smírnou cestou, s přihlédnutím k oprávněným zájmům Klienta i Banky. Není-li mezi Klientem a Bankou dohodnuto jinak, jsou k řešení sporů příslušné soudy České republiky.</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.3</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lang w:eastAsia="cs-CZ"/>
              </w:rPr>
              <w:t>V</w:t>
            </w:r>
            <w:r w:rsidR="007538ED">
              <w:rPr>
                <w:rFonts w:cs="Arial"/>
                <w:sz w:val="14"/>
                <w:szCs w:val="18"/>
                <w:lang w:eastAsia="cs-CZ"/>
              </w:rPr>
              <w:t xml:space="preserve"> </w:t>
            </w:r>
            <w:r w:rsidRPr="006F1C2D">
              <w:rPr>
                <w:rFonts w:cs="Arial"/>
                <w:sz w:val="14"/>
                <w:szCs w:val="18"/>
                <w:lang w:eastAsia="cs-CZ"/>
              </w:rPr>
              <w:t>případech stanovených zákonem (např. spory z platebního styku nebo ze spotřebitelských úvěrů) se může Klient obrátit na finančního arbitra za podmínek stanovených příslušným právním předpisem.</w:t>
            </w:r>
            <w:r w:rsidRPr="00E472BC">
              <w:rPr>
                <w:rFonts w:cs="Arial"/>
                <w:sz w:val="14"/>
                <w:szCs w:val="18"/>
                <w:vertAlign w:val="superscript"/>
              </w:rPr>
              <w:footnoteReference w:id="20"/>
            </w:r>
            <w:r w:rsidRPr="006F1C2D">
              <w:rPr>
                <w:rFonts w:cs="Arial"/>
                <w:sz w:val="14"/>
                <w:szCs w:val="18"/>
                <w:lang w:eastAsia="cs-CZ"/>
              </w:rPr>
              <w:t xml:space="preserve"> Právo Klienta obrátit se na soud tímto není dotčeno.</w:t>
            </w:r>
          </w:p>
        </w:tc>
      </w:tr>
      <w:tr w:rsidR="00EA6627" w:rsidRPr="006F1C2D"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32.4</w:t>
            </w:r>
          </w:p>
        </w:tc>
        <w:tc>
          <w:tcPr>
            <w:tcW w:w="9009" w:type="dxa"/>
            <w:tcBorders>
              <w:left w:val="single" w:sz="6" w:space="0" w:color="DCDADA"/>
            </w:tcBorders>
            <w:noWrap/>
            <w:tcMar>
              <w:left w:w="113" w:type="dxa"/>
              <w:right w:w="113" w:type="dxa"/>
            </w:tcMar>
          </w:tcPr>
          <w:p w:rsidR="00EA6627" w:rsidRPr="006F1C2D" w:rsidRDefault="00EA6627" w:rsidP="00E472BC">
            <w:pPr>
              <w:spacing w:before="40" w:after="40"/>
              <w:jc w:val="both"/>
              <w:rPr>
                <w:rFonts w:cs="Arial"/>
                <w:sz w:val="14"/>
                <w:szCs w:val="18"/>
                <w:lang w:eastAsia="cs-CZ"/>
              </w:rPr>
            </w:pPr>
            <w:r w:rsidRPr="007B4461">
              <w:rPr>
                <w:rFonts w:cs="Arial"/>
                <w:sz w:val="14"/>
                <w:szCs w:val="18"/>
                <w:lang w:eastAsia="cs-CZ"/>
              </w:rPr>
              <w:t xml:space="preserve">Pro mimosoudní řešení spotřebitelských sporů v oblasti finančních služeb je věcně příslušný </w:t>
            </w:r>
            <w:r w:rsidRPr="00A07937">
              <w:rPr>
                <w:rFonts w:cs="Arial"/>
                <w:sz w:val="14"/>
                <w:szCs w:val="18"/>
                <w:lang w:eastAsia="cs-CZ"/>
              </w:rPr>
              <w:t>finanční arbitr (www.finarbitr.cz), a to v rozsahu působnosti stanoveném v zákoně č. 229/2002 Sb., o finančním arbitrovi, ve znění pozdějších předpisů</w:t>
            </w:r>
            <w:r w:rsidRPr="00E472BC">
              <w:rPr>
                <w:rFonts w:cs="Arial"/>
                <w:sz w:val="14"/>
                <w:szCs w:val="18"/>
                <w:vertAlign w:val="superscript"/>
              </w:rPr>
              <w:footnoteReference w:id="21"/>
            </w:r>
            <w:r>
              <w:rPr>
                <w:rFonts w:cs="Arial"/>
                <w:sz w:val="14"/>
                <w:szCs w:val="18"/>
                <w:lang w:eastAsia="cs-CZ"/>
              </w:rPr>
              <w:t>.</w:t>
            </w:r>
            <w:r w:rsidRPr="00A07937">
              <w:rPr>
                <w:rFonts w:cs="Arial"/>
                <w:sz w:val="14"/>
                <w:szCs w:val="18"/>
                <w:lang w:eastAsia="cs-CZ"/>
              </w:rPr>
              <w:t xml:space="preserve"> V případech, kdy není dána působnost finančního arbitra, je pro řešení spotřebitelských sporů věcně příslušná Česká obchodní inspekce (www.coi.cz) nebo subjekt pověřený Ministerstvem průmyslu a obchodu a zveřejněný na jeho internetových stránkách (www.mpo.cz).</w:t>
            </w:r>
            <w:r w:rsidR="007538ED">
              <w:rPr>
                <w:rFonts w:cs="Arial"/>
                <w:sz w:val="14"/>
                <w:szCs w:val="18"/>
                <w:lang w:eastAsia="cs-CZ"/>
              </w:rPr>
              <w:t xml:space="preserve"> </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2</w:t>
            </w:r>
            <w:r w:rsidRPr="006F1C2D">
              <w:rPr>
                <w:rFonts w:cs="Arial"/>
                <w:b/>
                <w:sz w:val="14"/>
                <w:szCs w:val="18"/>
              </w:rPr>
              <w:t>.</w:t>
            </w:r>
            <w:r>
              <w:rPr>
                <w:rFonts w:cs="Arial"/>
                <w:b/>
                <w:sz w:val="14"/>
                <w:szCs w:val="18"/>
              </w:rPr>
              <w:t>5</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V případě porušení právních povinností vyplývajících ze Smlouvy nebo právních předpisů ze strany Banky má Klient právo podat stížnost na postup Banky u orgánu dohledu uvedeným v čl. 1.3 VOP.</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3</w:t>
            </w:r>
            <w:r w:rsidRPr="006F1C2D">
              <w:rPr>
                <w:rFonts w:eastAsia="Times New Roman" w:cs="Arial"/>
                <w:b/>
                <w:bCs/>
                <w:color w:val="FFFFFF"/>
                <w:szCs w:val="18"/>
              </w:rPr>
              <w:t>. Přechodná ustanovení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3</w:t>
            </w:r>
            <w:r w:rsidRPr="006F1C2D">
              <w:rPr>
                <w:rFonts w:cs="Arial"/>
                <w:b/>
                <w:sz w:val="14"/>
                <w:szCs w:val="18"/>
              </w:rPr>
              <w:t>.1</w:t>
            </w:r>
          </w:p>
        </w:tc>
        <w:tc>
          <w:tcPr>
            <w:tcW w:w="9009" w:type="dxa"/>
            <w:noWrap/>
            <w:tcMar>
              <w:left w:w="113" w:type="dxa"/>
              <w:right w:w="113" w:type="dxa"/>
            </w:tcMar>
          </w:tcPr>
          <w:p w:rsidR="00EA6627" w:rsidRPr="006F1C2D" w:rsidRDefault="00EA6627" w:rsidP="00E472BC">
            <w:pPr>
              <w:tabs>
                <w:tab w:val="num" w:pos="426"/>
              </w:tabs>
              <w:spacing w:before="40" w:after="40"/>
              <w:jc w:val="both"/>
              <w:rPr>
                <w:rFonts w:cs="Arial"/>
                <w:sz w:val="14"/>
                <w:szCs w:val="18"/>
              </w:rPr>
            </w:pPr>
            <w:r w:rsidRPr="006F1C2D">
              <w:rPr>
                <w:rFonts w:cs="Arial"/>
                <w:sz w:val="14"/>
                <w:szCs w:val="18"/>
              </w:rPr>
              <w:t>Pro Smlouvy, na které se použije právní úprava platná před účinností občanského zákoníku,</w:t>
            </w:r>
            <w:r w:rsidRPr="00E472BC">
              <w:rPr>
                <w:rFonts w:cs="Arial"/>
                <w:sz w:val="14"/>
                <w:szCs w:val="18"/>
                <w:vertAlign w:val="superscript"/>
              </w:rPr>
              <w:footnoteReference w:id="22"/>
            </w:r>
            <w:r w:rsidRPr="006F1C2D">
              <w:rPr>
                <w:rFonts w:cs="Arial"/>
                <w:sz w:val="14"/>
                <w:szCs w:val="18"/>
              </w:rPr>
              <w:t xml:space="preserve"> platí, že Kontaktní adresou Klienta je adresa uvedená v příslušné Smlouvě, ve smlouvě související s poskytovanou Bankovní službou nebo Klientem Bance jinak písemně oznámena jako adresa pro doručování. </w:t>
            </w: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33.2</w:t>
            </w:r>
          </w:p>
        </w:tc>
        <w:tc>
          <w:tcPr>
            <w:tcW w:w="9009" w:type="dxa"/>
            <w:noWrap/>
            <w:tcMar>
              <w:left w:w="113" w:type="dxa"/>
              <w:right w:w="113" w:type="dxa"/>
            </w:tcMar>
          </w:tcPr>
          <w:p w:rsidR="00EA6627" w:rsidRPr="006F1C2D" w:rsidRDefault="00EA6627" w:rsidP="00E472BC">
            <w:pPr>
              <w:tabs>
                <w:tab w:val="num" w:pos="426"/>
              </w:tabs>
              <w:spacing w:before="40" w:after="40"/>
              <w:jc w:val="both"/>
              <w:rPr>
                <w:rFonts w:cs="Arial"/>
                <w:sz w:val="14"/>
                <w:szCs w:val="18"/>
              </w:rPr>
            </w:pPr>
            <w:r w:rsidRPr="00FE7310">
              <w:rPr>
                <w:rFonts w:cs="Arial"/>
                <w:sz w:val="14"/>
                <w:szCs w:val="18"/>
              </w:rPr>
              <w:t xml:space="preserve">Banka poskytne informace o úplatě </w:t>
            </w:r>
            <w:r>
              <w:rPr>
                <w:rFonts w:cs="Arial"/>
                <w:sz w:val="14"/>
                <w:szCs w:val="18"/>
              </w:rPr>
              <w:t xml:space="preserve">a roční přehled o úplatě </w:t>
            </w:r>
            <w:r w:rsidRPr="00FE7310">
              <w:rPr>
                <w:rFonts w:cs="Arial"/>
                <w:sz w:val="14"/>
                <w:szCs w:val="18"/>
              </w:rPr>
              <w:t>dle čl. 17.2 VOP</w:t>
            </w:r>
            <w:r>
              <w:rPr>
                <w:rFonts w:cs="Arial"/>
                <w:sz w:val="14"/>
                <w:szCs w:val="18"/>
              </w:rPr>
              <w:t xml:space="preserve"> od účinnosti příslušné zákonné úpravy a v souladu s ní</w:t>
            </w:r>
            <w:r w:rsidRPr="00FE7310">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4</w:t>
            </w:r>
            <w:r w:rsidRPr="006F1C2D">
              <w:rPr>
                <w:rFonts w:eastAsia="Times New Roman" w:cs="Arial"/>
                <w:b/>
                <w:bCs/>
                <w:color w:val="FFFFFF"/>
                <w:szCs w:val="18"/>
              </w:rPr>
              <w:t>. Oddělitelnost ustanovení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4</w:t>
            </w:r>
            <w:r w:rsidRPr="006F1C2D">
              <w:rPr>
                <w:rFonts w:cs="Arial"/>
                <w:b/>
                <w:sz w:val="14"/>
                <w:szCs w:val="18"/>
              </w:rPr>
              <w:t>.1</w:t>
            </w:r>
          </w:p>
        </w:tc>
        <w:tc>
          <w:tcPr>
            <w:tcW w:w="9009" w:type="dxa"/>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5</w:t>
            </w:r>
            <w:r w:rsidRPr="006F1C2D">
              <w:rPr>
                <w:rFonts w:eastAsia="Times New Roman" w:cs="Arial"/>
                <w:b/>
                <w:bCs/>
                <w:color w:val="FFFFFF"/>
                <w:szCs w:val="18"/>
              </w:rPr>
              <w:t>. Vymezení pojmů a výkladová pravidla</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5</w:t>
            </w:r>
            <w:r w:rsidRPr="006F1C2D">
              <w:rPr>
                <w:rFonts w:cs="Arial"/>
                <w:b/>
                <w:sz w:val="14"/>
                <w:szCs w:val="18"/>
              </w:rPr>
              <w:t>.1</w:t>
            </w:r>
          </w:p>
        </w:tc>
        <w:tc>
          <w:tcPr>
            <w:tcW w:w="9009" w:type="dxa"/>
            <w:tcBorders>
              <w:left w:val="single" w:sz="6" w:space="0" w:color="C8C8C8"/>
            </w:tcBorders>
            <w:noWrap/>
            <w:tcMar>
              <w:left w:w="113" w:type="dxa"/>
              <w:right w:w="113" w:type="dxa"/>
            </w:tcMar>
          </w:tcPr>
          <w:p w:rsidR="00EA6627" w:rsidRPr="00FA545E" w:rsidRDefault="00EA6627" w:rsidP="00E472BC">
            <w:pPr>
              <w:spacing w:before="40" w:after="40"/>
              <w:jc w:val="both"/>
              <w:rPr>
                <w:rFonts w:cs="Arial"/>
                <w:sz w:val="14"/>
                <w:szCs w:val="18"/>
                <w:lang w:eastAsia="cs-CZ"/>
              </w:rPr>
            </w:pPr>
            <w:r w:rsidRPr="00FA545E">
              <w:rPr>
                <w:rFonts w:cs="Arial"/>
                <w:sz w:val="14"/>
                <w:szCs w:val="18"/>
                <w:lang w:eastAsia="cs-CZ"/>
              </w:rPr>
              <w:t xml:space="preserve">Pojmy s velkým počátečním písmenem mají ve VOP následující význam: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Banka</w:t>
            </w:r>
            <w:r w:rsidRPr="00FA545E">
              <w:rPr>
                <w:rFonts w:cs="Arial"/>
                <w:sz w:val="14"/>
                <w:szCs w:val="18"/>
                <w:lang w:eastAsia="cs-CZ"/>
              </w:rPr>
              <w:t>“ je Komerční banka, a.s., se sídlem Praha 1, Na Příkopě 33, čp. 969, PSČ 114 07, IČO: 45317054, zapsaná v obchodním rejstříku vedeném Městským soudem v Praze, oddíl B, vložka 1360.</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Bankovní služby</w:t>
            </w:r>
            <w:r w:rsidRPr="00FA545E">
              <w:rPr>
                <w:rFonts w:cs="Arial"/>
                <w:sz w:val="14"/>
                <w:szCs w:val="18"/>
                <w:lang w:eastAsia="cs-CZ"/>
              </w:rPr>
              <w:t>“ jsou jakékoli bankovní obchody, služby a produkty poskytované Bankou na základě bankovní licence Banky, včetně investičních služeb poskytovaných Bankou jako obchodníkem s cennými papíry.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ČBA</w:t>
            </w:r>
            <w:r w:rsidRPr="00FA545E">
              <w:rPr>
                <w:rFonts w:cs="Arial"/>
                <w:sz w:val="14"/>
                <w:szCs w:val="18"/>
                <w:lang w:eastAsia="cs-CZ"/>
              </w:rPr>
              <w:t>“ je Česká bankovní asociace.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ČNB</w:t>
            </w:r>
            <w:r w:rsidRPr="00FA545E">
              <w:rPr>
                <w:rFonts w:cs="Arial"/>
                <w:sz w:val="14"/>
                <w:szCs w:val="18"/>
                <w:lang w:eastAsia="cs-CZ"/>
              </w:rPr>
              <w:t>“ je Česká národní banka</w:t>
            </w:r>
            <w:r w:rsidRPr="00FA545E">
              <w:rPr>
                <w:rFonts w:cs="Arial"/>
                <w:sz w:val="14"/>
                <w:szCs w:val="18"/>
              </w:rPr>
              <w:t>, se sídlem Na Příkopě 28, 115 03 Praha 1</w:t>
            </w:r>
            <w:r w:rsidRPr="00FA545E">
              <w:rPr>
                <w:rFonts w:cs="Arial"/>
                <w:sz w:val="14"/>
                <w:szCs w:val="18"/>
                <w:lang w:eastAsia="cs-CZ"/>
              </w:rPr>
              <w:t>.</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Člen finanční skupiny Banky</w:t>
            </w:r>
            <w:r w:rsidRPr="00FA545E">
              <w:rPr>
                <w:rFonts w:cs="Arial"/>
                <w:sz w:val="14"/>
                <w:szCs w:val="18"/>
                <w:lang w:eastAsia="cs-CZ"/>
              </w:rPr>
              <w:t>“ nebo „</w:t>
            </w:r>
            <w:r w:rsidRPr="00FA545E">
              <w:rPr>
                <w:rFonts w:cs="Arial"/>
                <w:b/>
                <w:sz w:val="14"/>
                <w:szCs w:val="18"/>
                <w:lang w:eastAsia="cs-CZ"/>
              </w:rPr>
              <w:t>Člen FSKB</w:t>
            </w:r>
            <w:r w:rsidRPr="00FA545E">
              <w:rPr>
                <w:rFonts w:cs="Arial"/>
                <w:sz w:val="14"/>
                <w:szCs w:val="18"/>
                <w:lang w:eastAsia="cs-CZ"/>
              </w:rPr>
              <w:t xml:space="preserve">“ je Komerční pojišťovna, a.s., IČO: 63998017; Modrá pyramida stavební spořitelna, a.s., IČO: 60192852; KB Penzijní společnost, a.s., IČO: 61860018; ESSOX s.r.o., IČO: 26764652, Factoring KB, a.s., IČO: 25148290 a další subjekty, v nichž Banka má či nabude majetkovou účast spočívající v přímém či nepřímém podílu na jejich základním kapitálu.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Elektronické výpisy</w:t>
            </w:r>
            <w:r w:rsidRPr="00FA545E">
              <w:rPr>
                <w:rFonts w:cs="Arial"/>
                <w:sz w:val="14"/>
                <w:szCs w:val="18"/>
                <w:lang w:eastAsia="cs-CZ"/>
              </w:rPr>
              <w:t>“ jsou zprávy o zúčtování, kterými Banka informuje Klienta o provedených transakcích a o zůstatku na příslušném Účtu, a to v elektronickém formátu PDF, doručované Klientovi prostřednictvím služby přímého bankovnictví nebo jiným dohodnutým způsobem (např. e-mailem).</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Jedinečný identifikátor</w:t>
            </w:r>
            <w:r w:rsidRPr="00FA545E">
              <w:rPr>
                <w:rFonts w:cs="Arial"/>
                <w:sz w:val="14"/>
                <w:szCs w:val="18"/>
                <w:lang w:eastAsia="cs-CZ"/>
              </w:rPr>
              <w:t xml:space="preserve">“ je bankovní spojení ve formátu IBAN (příp. číslo účtu) a BIC anebo v tuzemském platebním styku ve formátu čísla účtu a kódu banky.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Jednající osoba</w:t>
            </w:r>
            <w:r w:rsidRPr="00FA545E">
              <w:rPr>
                <w:rFonts w:cs="Arial"/>
                <w:sz w:val="14"/>
                <w:szCs w:val="18"/>
                <w:lang w:eastAsia="cs-CZ"/>
              </w:rPr>
              <w:t xml:space="preserve">“ je statutární orgán právnické osoby, případně členové statutárního orgánu právnické osoby, kteří jsou oprávněni jednat za právnickou osobu navenek.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w:t>
            </w:r>
            <w:r w:rsidRPr="00FA545E">
              <w:rPr>
                <w:rFonts w:cs="Arial"/>
                <w:sz w:val="14"/>
                <w:szCs w:val="18"/>
                <w:lang w:eastAsia="cs-CZ"/>
              </w:rPr>
              <w:t>“ je jakákoli osoba, která využívá Bankovní služby, případně žádá o poskytnutí Bankovních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 spotřebitel</w:t>
            </w:r>
            <w:r w:rsidRPr="00FA545E">
              <w:rPr>
                <w:rFonts w:cs="Arial"/>
                <w:sz w:val="14"/>
                <w:szCs w:val="18"/>
                <w:lang w:eastAsia="cs-CZ"/>
              </w:rPr>
              <w:t>“ je fyzická osoba, která při uzavírání a plnění Smlouvy nejedná v rámci své podnikatelské činnosti anebo v rámci samostatného výkonu svého povolání, případně osoba, která žádá o poskytnutí Bankovní služby.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Klientovo obchodní místo</w:t>
            </w:r>
            <w:r w:rsidRPr="00FA545E">
              <w:rPr>
                <w:rFonts w:cs="Arial"/>
                <w:sz w:val="14"/>
                <w:szCs w:val="18"/>
                <w:lang w:eastAsia="cs-CZ"/>
              </w:rPr>
              <w:t>“ je obchodní místo Banky, které vede Klientovi Účet nebo kde Klient uzavřel příslušnou Smlouvu.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Kontaktní adresa</w:t>
            </w:r>
            <w:r w:rsidRPr="00FA545E">
              <w:rPr>
                <w:rFonts w:cs="Arial"/>
                <w:sz w:val="14"/>
                <w:szCs w:val="18"/>
                <w:lang w:eastAsia="cs-CZ"/>
              </w:rPr>
              <w:t>“ je adresa sjednaná ve Smlouvě nebo v jiné smlouvě související s poskytovanými Bankovními službami, nebo adresa, kterou Klient sdělil Bance pro účely doručování Zásilek. Kontaktní adresou je též P. O. BOX.</w:t>
            </w:r>
          </w:p>
          <w:p w:rsidR="00EA6627" w:rsidRPr="00FA545E" w:rsidRDefault="00EA6627" w:rsidP="00E472BC">
            <w:pPr>
              <w:spacing w:after="40"/>
              <w:jc w:val="both"/>
              <w:rPr>
                <w:rFonts w:cs="Arial"/>
                <w:i/>
                <w:sz w:val="14"/>
                <w:szCs w:val="18"/>
                <w:lang w:eastAsia="cs-CZ"/>
              </w:rPr>
            </w:pPr>
            <w:r w:rsidRPr="00FA545E">
              <w:rPr>
                <w:rFonts w:cs="Arial"/>
                <w:sz w:val="14"/>
                <w:szCs w:val="18"/>
                <w:lang w:eastAsia="cs-CZ"/>
              </w:rPr>
              <w:t>„</w:t>
            </w:r>
            <w:r w:rsidRPr="00FA545E">
              <w:rPr>
                <w:rFonts w:cs="Arial"/>
                <w:b/>
                <w:sz w:val="14"/>
                <w:szCs w:val="18"/>
                <w:lang w:eastAsia="cs-CZ"/>
              </w:rPr>
              <w:t>Kurz</w:t>
            </w:r>
            <w:r w:rsidRPr="00FA545E">
              <w:rPr>
                <w:rFonts w:cs="Arial"/>
                <w:sz w:val="14"/>
                <w:szCs w:val="18"/>
                <w:lang w:eastAsia="cs-CZ"/>
              </w:rPr>
              <w:t xml:space="preserve">“ je směnný kurz vyhlašovaný Bankou.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Kvalifikovaný klient</w:t>
            </w:r>
            <w:r w:rsidRPr="00FA545E">
              <w:rPr>
                <w:rFonts w:cs="Arial"/>
                <w:sz w:val="14"/>
                <w:szCs w:val="18"/>
                <w:lang w:eastAsia="cs-CZ"/>
              </w:rPr>
              <w:t>“</w:t>
            </w:r>
            <w:r w:rsidRPr="00FA545E">
              <w:rPr>
                <w:rFonts w:cs="Arial"/>
                <w:i/>
                <w:sz w:val="14"/>
                <w:szCs w:val="18"/>
                <w:lang w:eastAsia="cs-CZ"/>
              </w:rPr>
              <w:t xml:space="preserve"> </w:t>
            </w:r>
            <w:r w:rsidRPr="00FA545E">
              <w:rPr>
                <w:rFonts w:cs="Arial"/>
                <w:sz w:val="14"/>
                <w:szCs w:val="18"/>
                <w:lang w:eastAsia="cs-CZ"/>
              </w:rPr>
              <w:t>je Klient spotřebitel v souvislosti s poskytováním Platebních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Marketingová činnost</w:t>
            </w:r>
            <w:r w:rsidRPr="00FA545E">
              <w:rPr>
                <w:rFonts w:cs="Arial"/>
                <w:sz w:val="14"/>
                <w:szCs w:val="18"/>
                <w:lang w:eastAsia="cs-CZ"/>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w:t>
            </w:r>
            <w:r w:rsidR="007538ED" w:rsidRPr="00FA545E">
              <w:rPr>
                <w:rFonts w:cs="Arial"/>
                <w:sz w:val="14"/>
                <w:szCs w:val="18"/>
                <w:lang w:eastAsia="cs-CZ"/>
              </w:rPr>
              <w:t xml:space="preserve"> </w:t>
            </w:r>
            <w:r w:rsidRPr="00FA545E">
              <w:rPr>
                <w:rFonts w:cs="Arial"/>
                <w:sz w:val="14"/>
                <w:szCs w:val="18"/>
                <w:lang w:eastAsia="cs-CZ"/>
              </w:rPr>
              <w:t>3) předkládání cílené nabídky k jejich objednání, zprostředkování či pořízení; 4) a vyhodnocování příslušných údajů k těmto účelům, a to i prostřednictvím elektronických prostředků.</w:t>
            </w:r>
            <w:r w:rsidRPr="00FA545E" w:rsidDel="00844DB6">
              <w:rPr>
                <w:rFonts w:cs="Arial"/>
                <w:sz w:val="14"/>
                <w:szCs w:val="18"/>
                <w:lang w:eastAsia="cs-CZ"/>
              </w:rPr>
              <w:t xml:space="preserve">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Obchodní den</w:t>
            </w:r>
            <w:r w:rsidRPr="00FA545E">
              <w:rPr>
                <w:rFonts w:cs="Arial"/>
                <w:sz w:val="14"/>
                <w:szCs w:val="18"/>
                <w:lang w:eastAsia="cs-CZ"/>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Oprávněná osoba</w:t>
            </w:r>
            <w:r w:rsidRPr="00FA545E">
              <w:rPr>
                <w:rFonts w:cs="Arial"/>
                <w:sz w:val="14"/>
                <w:szCs w:val="18"/>
                <w:lang w:eastAsia="cs-CZ"/>
              </w:rPr>
              <w:t xml:space="preserve">“ je osoba uvedená na Podpisovém vzoru Klienta.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se zvláštním vztahem k Bance</w:t>
            </w:r>
            <w:r w:rsidRPr="00FA545E">
              <w:rPr>
                <w:rFonts w:cs="Arial"/>
                <w:sz w:val="14"/>
                <w:szCs w:val="18"/>
                <w:lang w:eastAsia="cs-CZ"/>
              </w:rPr>
              <w:t>“ je osoba uvedená v § 19 z. č. 21/1992 Sb., zákon o bankách, ve znění pozdějších předpisů.</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Osoba ovládaná SG</w:t>
            </w:r>
            <w:r w:rsidRPr="00FA545E">
              <w:rPr>
                <w:rFonts w:cs="Arial"/>
                <w:sz w:val="14"/>
                <w:szCs w:val="18"/>
                <w:lang w:eastAsia="cs-CZ"/>
              </w:rPr>
              <w:t xml:space="preserve">“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 </w:t>
            </w:r>
          </w:p>
          <w:p w:rsidR="00EA6627" w:rsidRPr="00FA545E" w:rsidRDefault="00EA6627" w:rsidP="00E472BC">
            <w:pPr>
              <w:spacing w:after="40"/>
              <w:jc w:val="both"/>
              <w:rPr>
                <w:rFonts w:cs="Arial"/>
                <w:sz w:val="14"/>
                <w:szCs w:val="18"/>
                <w:lang w:eastAsia="cs-CZ"/>
              </w:rPr>
            </w:pPr>
            <w:r w:rsidRPr="00FA545E">
              <w:rPr>
                <w:rFonts w:cs="Arial"/>
                <w:b/>
                <w:sz w:val="14"/>
                <w:szCs w:val="18"/>
                <w:lang w:eastAsia="cs-CZ"/>
              </w:rPr>
              <w:t>Oznámení</w:t>
            </w:r>
            <w:r w:rsidRPr="00FA545E">
              <w:rPr>
                <w:rFonts w:cs="Arial"/>
                <w:sz w:val="14"/>
                <w:szCs w:val="18"/>
                <w:lang w:eastAsia="cs-CZ"/>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provádění platebního styku</w:t>
            </w:r>
            <w:r w:rsidRPr="00FA545E">
              <w:rPr>
                <w:rFonts w:cs="Arial"/>
                <w:sz w:val="14"/>
                <w:szCs w:val="18"/>
                <w:lang w:eastAsia="cs-CZ"/>
              </w:rPr>
              <w:t>“ je Oznámením, v němž jsou stanoveny podmínky poskytování služeb platebního styku, zejména lhůty pro provádění platebních transakcí.</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Oznámení o úrokových sazbách</w:t>
            </w:r>
            <w:r w:rsidRPr="00FA545E">
              <w:rPr>
                <w:rFonts w:cs="Arial"/>
                <w:sz w:val="14"/>
                <w:szCs w:val="18"/>
                <w:lang w:eastAsia="cs-CZ"/>
              </w:rPr>
              <w:t xml:space="preserve">“ je přehled všech úrokových sazeb vkladů a úvěrů a sazeb s nimi souvisejících. Tento přehled není Oznámením.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prostředek</w:t>
            </w:r>
            <w:r w:rsidRPr="00FA545E">
              <w:rPr>
                <w:rFonts w:cs="Arial"/>
                <w:sz w:val="14"/>
                <w:szCs w:val="18"/>
                <w:lang w:eastAsia="cs-CZ"/>
              </w:rPr>
              <w:t xml:space="preserve">“ je zařízení nebo soubor postupů dohodnutých mezi Bankou a Klientem, které se týkají Klienta a kterými Klient dává platební příkaz. Platebním prostředkem není zejména Příkaz doručený Bance v papírové podobě.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služby</w:t>
            </w:r>
            <w:r w:rsidRPr="00FA545E">
              <w:rPr>
                <w:rFonts w:cs="Arial"/>
                <w:sz w:val="14"/>
                <w:szCs w:val="18"/>
                <w:lang w:eastAsia="cs-CZ"/>
              </w:rPr>
              <w:t xml:space="preserve">“ jsou Bankovní služby, které jsou platebními službami ve smyslu zákona o platebním styku (např. úhrady z Platebních Účtů, vydávání Platebních prostředků a vklady hotovosti na Platební Účty).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Platební Účet</w:t>
            </w:r>
            <w:r w:rsidRPr="00FA545E">
              <w:rPr>
                <w:rFonts w:cs="Arial"/>
                <w:sz w:val="14"/>
                <w:szCs w:val="18"/>
                <w:lang w:eastAsia="cs-CZ"/>
              </w:rPr>
              <w:t xml:space="preserve">“ je Účet, který je platebním účtem ve smyslu zákona o platebním styku, tj. účet, který slouží k provádění platebních transakcí.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Podpisový vzor</w:t>
            </w:r>
            <w:r w:rsidRPr="00FA545E">
              <w:rPr>
                <w:rFonts w:cs="Arial"/>
                <w:sz w:val="14"/>
                <w:szCs w:val="18"/>
                <w:lang w:eastAsia="cs-CZ"/>
              </w:rPr>
              <w:t xml:space="preserve">“ je Bankou akceptovaný vzor podpisu Oprávněné osoby, obsahující grafickou podobu jména nebo grafickou podobu jména spolu s dalším ochranným prvkem, sloužící k její identifikaci pro účely nakládání s prostředky na Účtu či za účelem podání žádosti o poskytnutí Bankovní služby či k provedení jiného dohodnutého úkonu souvisejícího s Bankovní službou. Podpisový vzor musí mít náležitosti plné moci. </w:t>
            </w:r>
          </w:p>
          <w:p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Politicky exponovaná osoba</w:t>
            </w:r>
            <w:r w:rsidRPr="00FA545E">
              <w:rPr>
                <w:rFonts w:cs="Arial"/>
                <w:bCs/>
                <w:sz w:val="14"/>
                <w:szCs w:val="18"/>
                <w:lang w:eastAsia="cs-CZ"/>
              </w:rPr>
              <w:t>“</w:t>
            </w:r>
            <w:r w:rsidRPr="00FA545E">
              <w:rPr>
                <w:rFonts w:cs="Arial"/>
                <w:sz w:val="14"/>
                <w:szCs w:val="18"/>
                <w:lang w:eastAsia="cs-CZ"/>
              </w:rPr>
              <w:t xml:space="preserve"> je fyzická osoba, která je nebo byla ve významné veřejné funkci s celostátní nebo regionální působností nebo má k této osobě jiný vztah (osoba blízká, společník nebo skutečný majitel právnické osoby, případně jiného právního uspořádání nebo jiný blízký podnikatelský vztah k fyzické osobě zastávající významnou veřejnou funkci). </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Produktové podmínky</w:t>
            </w:r>
            <w:r w:rsidRPr="00FA545E">
              <w:rPr>
                <w:rFonts w:cs="Arial"/>
                <w:sz w:val="14"/>
                <w:szCs w:val="18"/>
                <w:lang w:eastAsia="cs-CZ"/>
              </w:rPr>
              <w:t>“ jsou podmínky Banky upravující poskytování jednotlivých Bankovních služeb.</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Příkaz</w:t>
            </w:r>
            <w:r w:rsidRPr="00FA545E">
              <w:rPr>
                <w:rFonts w:cs="Arial"/>
                <w:sz w:val="14"/>
                <w:szCs w:val="18"/>
                <w:lang w:eastAsia="cs-CZ"/>
              </w:rPr>
              <w:t>“ je platební příkaz, tj. pokyn Klienta, jímž Banku žádá o provedení platební transakce.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Rozhodný den</w:t>
            </w:r>
            <w:r w:rsidRPr="00FA545E">
              <w:rPr>
                <w:rFonts w:cs="Arial"/>
                <w:sz w:val="14"/>
                <w:szCs w:val="18"/>
                <w:lang w:eastAsia="cs-CZ"/>
              </w:rPr>
              <w:t>“ je den, kdy se Banka hodnověrným způsobem dozví o úmrtí Klienta nebo o jeho prohlášení za nezvěstného, tj. den, kdy jsou Klientovu obchodnímu místu Banky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Sazebník</w:t>
            </w:r>
            <w:r w:rsidRPr="00FA545E">
              <w:rPr>
                <w:rFonts w:cs="Arial"/>
                <w:sz w:val="14"/>
                <w:szCs w:val="18"/>
                <w:lang w:eastAsia="cs-CZ"/>
              </w:rPr>
              <w:t>“ je přehled všech poplatků, ostatních cen a jiných plateb za Bankovní služby a za úkony s Bankovními službami související.</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SG</w:t>
            </w:r>
            <w:r w:rsidRPr="00FA545E">
              <w:rPr>
                <w:rFonts w:cs="Arial"/>
                <w:sz w:val="14"/>
                <w:szCs w:val="18"/>
                <w:lang w:eastAsia="cs-CZ"/>
              </w:rPr>
              <w:t>“ je Société Générale SA, B 552 120 222, se sídlem 29, Boulevard Haussmann, 75009 Paříž, Francie.</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Skutečný majitel</w:t>
            </w:r>
            <w:r w:rsidRPr="00FA545E">
              <w:rPr>
                <w:rFonts w:cs="Arial"/>
                <w:sz w:val="14"/>
                <w:szCs w:val="18"/>
                <w:lang w:eastAsia="cs-CZ"/>
              </w:rPr>
              <w:t>“ je fyzická osoba, která má fakticky nebo právně možnost vykonávat přímo nebo nepřímo rozhodující vliv v právnické osobě, ve svěřenském fondu nebo v jiném právním uspořádání bez právní osobnosti. Skutečný majitelem je</w:t>
            </w:r>
          </w:p>
          <w:p w:rsidR="00EA6627" w:rsidRPr="00FA545E" w:rsidRDefault="00EA6627" w:rsidP="00E472BC">
            <w:pPr>
              <w:numPr>
                <w:ilvl w:val="0"/>
                <w:numId w:val="39"/>
              </w:numPr>
              <w:spacing w:after="40"/>
              <w:ind w:left="250" w:hanging="250"/>
              <w:jc w:val="both"/>
              <w:rPr>
                <w:rFonts w:cs="Arial"/>
                <w:sz w:val="14"/>
                <w:szCs w:val="18"/>
              </w:rPr>
            </w:pPr>
            <w:r w:rsidRPr="00FA545E">
              <w:rPr>
                <w:rFonts w:cs="Arial"/>
                <w:sz w:val="14"/>
                <w:szCs w:val="18"/>
              </w:rPr>
              <w:t xml:space="preserve">u </w:t>
            </w:r>
            <w:r w:rsidRPr="00FA545E">
              <w:rPr>
                <w:rFonts w:cs="Arial"/>
                <w:b/>
                <w:sz w:val="14"/>
                <w:szCs w:val="18"/>
              </w:rPr>
              <w:t xml:space="preserve">obchodní korporace </w:t>
            </w:r>
            <w:r w:rsidRPr="00FA545E">
              <w:rPr>
                <w:rFonts w:cs="Arial"/>
                <w:sz w:val="14"/>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spolku, obecně prospěšné společnosti, společenství vlastníků jednotek, církve, náboženské společnosti nebo jiné právnické osoby podle zákona upravujícího postavení církví a náboženských společností</w:t>
            </w:r>
            <w:r w:rsidRPr="00FA545E">
              <w:rPr>
                <w:rFonts w:cs="Arial"/>
                <w:sz w:val="14"/>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p>
          <w:p w:rsidR="00EA6627" w:rsidRPr="00FA545E" w:rsidRDefault="00EA6627" w:rsidP="00E472BC">
            <w:pPr>
              <w:numPr>
                <w:ilvl w:val="0"/>
                <w:numId w:val="39"/>
              </w:numPr>
              <w:spacing w:after="40"/>
              <w:ind w:left="227" w:hanging="227"/>
              <w:jc w:val="both"/>
              <w:rPr>
                <w:rFonts w:cs="Arial"/>
                <w:sz w:val="14"/>
                <w:szCs w:val="18"/>
              </w:rPr>
            </w:pPr>
            <w:r w:rsidRPr="00FA545E">
              <w:rPr>
                <w:rFonts w:cs="Arial"/>
                <w:sz w:val="14"/>
                <w:szCs w:val="18"/>
              </w:rPr>
              <w:t xml:space="preserve">u </w:t>
            </w:r>
            <w:r w:rsidRPr="00FA545E">
              <w:rPr>
                <w:rFonts w:cs="Arial"/>
                <w:b/>
                <w:sz w:val="14"/>
                <w:szCs w:val="18"/>
              </w:rPr>
              <w:t>nadace, ústavu, nadačního fondu, svěřenského fondu nebo jiného právního uspořádání bez právní osobnosti</w:t>
            </w:r>
            <w:r w:rsidRPr="00FA545E">
              <w:rPr>
                <w:rFonts w:cs="Arial"/>
                <w:sz w:val="14"/>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w:t>
            </w:r>
            <w:r w:rsidRPr="00FA545E">
              <w:rPr>
                <w:rFonts w:cs="Arial"/>
                <w:sz w:val="14"/>
                <w:szCs w:val="18"/>
                <w:lang w:eastAsia="cs-CZ"/>
              </w:rPr>
              <w:t>“ je smlouva nebo dohoda o poskytnutí Bankovní služby uzavřená mezi Klientem a Bankou.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Smlouva o Platebních službách</w:t>
            </w:r>
            <w:r w:rsidRPr="00FA545E">
              <w:rPr>
                <w:rFonts w:cs="Arial"/>
                <w:sz w:val="14"/>
                <w:szCs w:val="18"/>
                <w:lang w:eastAsia="cs-CZ"/>
              </w:rPr>
              <w:t>“ je jakákoli Smlouva, bez ohledu na její označení, jejímž předmětem je poskytování Platebních služeb (např. smlouva o běžném Účtu, smlouva o vydání a užívání platební karty).</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Správce</w:t>
            </w:r>
            <w:r w:rsidRPr="00FA545E">
              <w:rPr>
                <w:rFonts w:cs="Arial"/>
                <w:sz w:val="14"/>
                <w:szCs w:val="18"/>
                <w:lang w:eastAsia="cs-CZ"/>
              </w:rPr>
              <w:t xml:space="preserve">“ </w:t>
            </w:r>
            <w:r w:rsidR="00FA545E" w:rsidRPr="00FA545E">
              <w:rPr>
                <w:rFonts w:cs="Arial"/>
                <w:sz w:val="14"/>
                <w:szCs w:val="18"/>
                <w:lang w:eastAsia="cs-CZ"/>
              </w:rPr>
              <w:t>je SG, Banka, Členové FSKB a Osoby ovládané SG a Amundi Czech Republic, investiční společnost, a.s</w:t>
            </w:r>
            <w:r w:rsidR="00FA545E" w:rsidRPr="00FA545E">
              <w:rPr>
                <w:sz w:val="14"/>
              </w:rPr>
              <w:t>.</w:t>
            </w:r>
            <w:r w:rsidR="00FA545E" w:rsidRPr="00FA545E">
              <w:rPr>
                <w:rFonts w:cs="Arial"/>
                <w:sz w:val="14"/>
                <w:szCs w:val="18"/>
                <w:lang w:eastAsia="cs-CZ"/>
              </w:rPr>
              <w:t>, IČO: 60196769</w:t>
            </w:r>
            <w:r w:rsidRPr="00FA545E">
              <w:rPr>
                <w:rFonts w:cs="Arial"/>
                <w:sz w:val="14"/>
                <w:szCs w:val="18"/>
                <w:lang w:eastAsia="cs-CZ"/>
              </w:rPr>
              <w:t>.</w:t>
            </w:r>
          </w:p>
          <w:p w:rsidR="00EA6627" w:rsidRPr="00FA545E" w:rsidRDefault="00EA6627" w:rsidP="00E472BC">
            <w:pPr>
              <w:spacing w:after="40"/>
              <w:rPr>
                <w:sz w:val="14"/>
              </w:rPr>
            </w:pPr>
            <w:r w:rsidRPr="00FA545E">
              <w:rPr>
                <w:b/>
                <w:sz w:val="14"/>
              </w:rPr>
              <w:t>Transakce</w:t>
            </w:r>
            <w:r w:rsidRPr="00FA545E">
              <w:rPr>
                <w:sz w:val="14"/>
              </w:rPr>
              <w:t xml:space="preserve"> </w:t>
            </w:r>
            <w:r w:rsidRPr="00FA545E">
              <w:rPr>
                <w:b/>
                <w:sz w:val="14"/>
              </w:rPr>
              <w:t>mimo</w:t>
            </w:r>
            <w:r w:rsidRPr="00FA545E">
              <w:rPr>
                <w:sz w:val="14"/>
              </w:rPr>
              <w:t xml:space="preserve"> </w:t>
            </w:r>
            <w:r w:rsidRPr="00FA545E">
              <w:rPr>
                <w:b/>
                <w:sz w:val="14"/>
              </w:rPr>
              <w:t>EHP</w:t>
            </w:r>
            <w:r w:rsidRPr="00FA545E">
              <w:rPr>
                <w:sz w:val="14"/>
              </w:rPr>
              <w:t>“ jsou platební transakce z nebo do státu, který není členem Evropského hospodářského prostoru.</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Účet</w:t>
            </w:r>
            <w:r w:rsidRPr="00FA545E">
              <w:rPr>
                <w:rFonts w:cs="Arial"/>
                <w:sz w:val="14"/>
                <w:szCs w:val="18"/>
                <w:lang w:eastAsia="cs-CZ"/>
              </w:rPr>
              <w:t>“ je běžný, spořící nebo termínovaný účet Klienta vedený Bankou.</w:t>
            </w:r>
          </w:p>
          <w:p w:rsidR="00EA6627" w:rsidRPr="00FA545E" w:rsidRDefault="00EA6627" w:rsidP="00E472BC">
            <w:pPr>
              <w:spacing w:after="40"/>
              <w:jc w:val="both"/>
              <w:rPr>
                <w:rFonts w:cs="Arial"/>
                <w:sz w:val="14"/>
                <w:szCs w:val="18"/>
                <w:lang w:eastAsia="cs-CZ"/>
              </w:rPr>
            </w:pPr>
            <w:r w:rsidRPr="00FA545E">
              <w:rPr>
                <w:rFonts w:cs="Arial"/>
                <w:bCs/>
                <w:sz w:val="14"/>
                <w:szCs w:val="18"/>
                <w:lang w:eastAsia="cs-CZ"/>
              </w:rPr>
              <w:t>„</w:t>
            </w:r>
            <w:r w:rsidRPr="00FA545E">
              <w:rPr>
                <w:rFonts w:cs="Arial"/>
                <w:b/>
                <w:bCs/>
                <w:sz w:val="14"/>
                <w:szCs w:val="18"/>
                <w:lang w:eastAsia="cs-CZ"/>
              </w:rPr>
              <w:t>U.S. osoba</w:t>
            </w:r>
            <w:r w:rsidRPr="00FA545E">
              <w:rPr>
                <w:rFonts w:cs="Arial"/>
                <w:bCs/>
                <w:sz w:val="14"/>
                <w:szCs w:val="18"/>
                <w:lang w:eastAsia="cs-CZ"/>
              </w:rPr>
              <w:t>“</w:t>
            </w:r>
            <w:r w:rsidRPr="00FA545E">
              <w:rPr>
                <w:rFonts w:cs="Arial"/>
                <w:sz w:val="14"/>
                <w:szCs w:val="18"/>
                <w:lang w:eastAsia="cs-CZ"/>
              </w:rPr>
              <w:t xml:space="preserve"> je </w:t>
            </w:r>
          </w:p>
          <w:p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fyzická osoba, která má státní občanství Spojených států amerických (dále jen jako „USA“) a/nebo je rezidentem USA. Rezident USA je definován jako osoba, která</w:t>
            </w:r>
          </w:p>
          <w:p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je držitelem zelené karty (bez ohledu na státní občanství kterékoli jiné země) a/nebo</w:t>
            </w:r>
          </w:p>
          <w:p w:rsidR="00EA6627" w:rsidRPr="00FA545E" w:rsidRDefault="00EA6627" w:rsidP="00E472BC">
            <w:pPr>
              <w:pStyle w:val="Odstavecseseznamem"/>
              <w:numPr>
                <w:ilvl w:val="0"/>
                <w:numId w:val="1"/>
              </w:numPr>
              <w:spacing w:after="40"/>
              <w:ind w:left="454" w:hanging="227"/>
              <w:contextualSpacing w:val="0"/>
              <w:jc w:val="both"/>
              <w:rPr>
                <w:rFonts w:cs="Arial"/>
                <w:sz w:val="14"/>
                <w:szCs w:val="18"/>
                <w:lang w:eastAsia="cs-CZ"/>
              </w:rPr>
            </w:pPr>
            <w:r w:rsidRPr="00FA545E">
              <w:rPr>
                <w:rFonts w:cs="Arial"/>
                <w:sz w:val="14"/>
                <w:szCs w:val="18"/>
                <w:lang w:eastAsia="cs-CZ"/>
              </w:rPr>
              <w:t>splňuje tzv. test významné přítomnosti v USA, tj. v USA je fyzicky přítomna alespoň 31 dní během aktuálního roku a 183 dní během období 3 let, do kterých se započítává rok aktuální a dva předcházející roky. Do tohoto počtu se započítávají všechny dny, během nichž byla osoba přítomna v USA v aktuálním roce, včetně 1/3 počtu dní, během nichž byla osoba přítomna v USA v prvním roce bezprostředně předcházejícím aktuálnímu roku a 1/6 počtu dní, během nichž byla osoba přítomna v USA v druhém roce předcházejícím rok aktuální,</w:t>
            </w:r>
          </w:p>
          <w:p w:rsidR="00EA6627" w:rsidRPr="00FA545E" w:rsidRDefault="00EA6627" w:rsidP="00E472BC">
            <w:pPr>
              <w:numPr>
                <w:ilvl w:val="0"/>
                <w:numId w:val="8"/>
              </w:numPr>
              <w:spacing w:after="40"/>
              <w:ind w:left="227" w:hanging="227"/>
              <w:jc w:val="both"/>
              <w:rPr>
                <w:rFonts w:cs="Arial"/>
                <w:sz w:val="14"/>
                <w:szCs w:val="18"/>
              </w:rPr>
            </w:pPr>
            <w:r w:rsidRPr="00FA545E">
              <w:rPr>
                <w:rFonts w:cs="Arial"/>
                <w:sz w:val="14"/>
                <w:szCs w:val="18"/>
              </w:rPr>
              <w:t>právnická osoba, která má sídlo v USA (korporace se sídlem v USA, osoba typu partnership se sídlem v USA nebo trust, pokud nad ním mohou soudy USA vykonávat dohled a pokud jedna či více U.S. osob má pod kontrolou všechna důležitá rozhodnutí v trustu (tj. trust ovládá).</w:t>
            </w:r>
          </w:p>
          <w:p w:rsidR="00EA6627" w:rsidRPr="00FA545E" w:rsidRDefault="00EA6627" w:rsidP="00E472BC">
            <w:pPr>
              <w:spacing w:after="40"/>
              <w:jc w:val="both"/>
              <w:rPr>
                <w:rFonts w:cs="Arial"/>
                <w:sz w:val="14"/>
                <w:szCs w:val="18"/>
                <w:lang w:eastAsia="cs-CZ"/>
              </w:rPr>
            </w:pPr>
            <w:r w:rsidRPr="00FA545E">
              <w:rPr>
                <w:rFonts w:cs="Arial"/>
                <w:sz w:val="14"/>
                <w:szCs w:val="18"/>
                <w:lang w:eastAsia="cs-CZ"/>
              </w:rPr>
              <w:t>„</w:t>
            </w:r>
            <w:r w:rsidRPr="00FA545E">
              <w:rPr>
                <w:rFonts w:cs="Arial"/>
                <w:b/>
                <w:sz w:val="14"/>
                <w:szCs w:val="18"/>
                <w:lang w:eastAsia="cs-CZ"/>
              </w:rPr>
              <w:t>Zásilky</w:t>
            </w:r>
            <w:r w:rsidRPr="00FA545E">
              <w:rPr>
                <w:rFonts w:cs="Arial"/>
                <w:sz w:val="14"/>
                <w:szCs w:val="18"/>
                <w:lang w:eastAsia="cs-CZ"/>
              </w:rPr>
              <w:t xml:space="preserve">“ jsou zprávy (včetně zpráv o zúčtování), písemnosti a jiná korespondence či jiné zásilky mezi Bankou a Klientem související s poskytováním Bankovních služeb. </w:t>
            </w:r>
          </w:p>
          <w:p w:rsidR="00EA6627" w:rsidRPr="00FA545E" w:rsidRDefault="00EA6627" w:rsidP="00E472BC">
            <w:pPr>
              <w:spacing w:after="40"/>
              <w:jc w:val="both"/>
              <w:rPr>
                <w:rFonts w:cs="Arial"/>
                <w:sz w:val="14"/>
                <w:szCs w:val="18"/>
              </w:rPr>
            </w:pPr>
            <w:r w:rsidRPr="00FA545E">
              <w:rPr>
                <w:rFonts w:cs="Arial"/>
                <w:sz w:val="14"/>
                <w:szCs w:val="18"/>
                <w:lang w:eastAsia="cs-CZ"/>
              </w:rPr>
              <w:t>„</w:t>
            </w:r>
            <w:r w:rsidRPr="00FA545E">
              <w:rPr>
                <w:rFonts w:cs="Arial"/>
                <w:b/>
                <w:sz w:val="14"/>
                <w:szCs w:val="18"/>
                <w:lang w:eastAsia="cs-CZ"/>
              </w:rPr>
              <w:t>Zmocněnec</w:t>
            </w:r>
            <w:r w:rsidRPr="00FA545E">
              <w:rPr>
                <w:rFonts w:cs="Arial"/>
                <w:sz w:val="14"/>
                <w:szCs w:val="18"/>
                <w:lang w:eastAsia="cs-CZ"/>
              </w:rPr>
              <w:t xml:space="preserve">“ je fyzická nebo právnická osoba, kterou Klient zmocnil plnou mocí, aby jej zastupovala ve vztahu k Bance v rozsahu stanoveném touto plnou mocí, nebo která je zmocněna zastupovat Klienta na základě právního předpisu nebo rozhodnutí soudu. </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5</w:t>
            </w:r>
            <w:r w:rsidRPr="006F1C2D">
              <w:rPr>
                <w:rFonts w:cs="Arial"/>
                <w:b/>
                <w:sz w:val="14"/>
                <w:szCs w:val="18"/>
              </w:rPr>
              <w:t>.2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lang w:eastAsia="cs-CZ"/>
              </w:rPr>
            </w:pPr>
            <w:r w:rsidRPr="006F1C2D">
              <w:rPr>
                <w:rFonts w:cs="Arial"/>
                <w:sz w:val="14"/>
                <w:szCs w:val="18"/>
                <w:lang w:eastAsia="cs-CZ"/>
              </w:rPr>
              <w:t xml:space="preserve">Pokud z kontextu nevyplývá jinak, platí při výkladu VOP a Smlouvy následující pravidla: </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na internetové stránky Banky jsou odkazy na adresu www.kb.cz, případně na jiné internetové adresy, které Banka používá nebo bude používat v souvislosti s poskytováním Bankovních služeb;</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odkazy ve Smlouvě nebo jiných dokumentech na články VOP nebo jiných dokumentů uvedené římskými číslicemi znamenají odkazy na stejné číslo článku příslušného dokumentu uvedené arabskými číslicemi;</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Smlouvou se rozumí Smlouva včetně všech jejích nedílných součástí, zejména včetně VOP, příslušných Produktových podmínek, Oznámení a Sazebníku;</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pojmem „příkaz“ se rozumí jak Příkaz, tak případně i jiný pokyn Klienta Bance;</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platební transakcí se rozumí vklad peněžních prostředků na Účet nebo výběr peněžních prostředků z Účtu nebo bezhotovostní převod peněžních prostředků z Účtu nebo na Účet;</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 přezkoumání zdrojů peněžních prostředků;</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poštou se rozumí provozovatel poštovních služeb;</w:t>
            </w:r>
          </w:p>
          <w:p w:rsidR="00EA6627" w:rsidRPr="006F1C2D" w:rsidRDefault="00EA6627" w:rsidP="00EA6627">
            <w:pPr>
              <w:numPr>
                <w:ilvl w:val="0"/>
                <w:numId w:val="40"/>
              </w:numPr>
              <w:spacing w:after="40"/>
              <w:ind w:left="227" w:hanging="227"/>
              <w:jc w:val="both"/>
              <w:rPr>
                <w:rFonts w:cs="Arial"/>
                <w:sz w:val="14"/>
                <w:szCs w:val="18"/>
              </w:rPr>
            </w:pPr>
            <w:r w:rsidRPr="006F1C2D">
              <w:rPr>
                <w:rFonts w:cs="Arial"/>
                <w:sz w:val="14"/>
                <w:szCs w:val="18"/>
              </w:rPr>
              <w:t>osobami jednajícími jménem či za Klienta se rozumí Zmocněnec, Jednající osoba a Oprávněna osoba.</w:t>
            </w:r>
          </w:p>
          <w:p w:rsidR="00EA6627" w:rsidRPr="00510446" w:rsidRDefault="00EA6627" w:rsidP="00EA6627">
            <w:pPr>
              <w:numPr>
                <w:ilvl w:val="0"/>
                <w:numId w:val="40"/>
              </w:numPr>
              <w:spacing w:after="40"/>
              <w:ind w:left="227" w:hanging="227"/>
              <w:jc w:val="both"/>
              <w:rPr>
                <w:rFonts w:cs="Arial"/>
                <w:sz w:val="14"/>
                <w:szCs w:val="18"/>
                <w:lang w:eastAsia="cs-CZ"/>
              </w:rPr>
            </w:pPr>
            <w:r w:rsidRPr="006F1C2D">
              <w:rPr>
                <w:rFonts w:cs="Arial"/>
                <w:sz w:val="14"/>
                <w:szCs w:val="18"/>
              </w:rPr>
              <w:t>obchodními místy Banky se rozumí organizační útvary Banky, v nichž jsou poskytovány Bankovní služby, označované zejména jako pobočky nebo obchodní divize</w:t>
            </w:r>
            <w:r w:rsidRPr="00510446">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spacing w:before="40" w:after="40"/>
              <w:jc w:val="right"/>
              <w:rPr>
                <w:rFonts w:cs="Arial"/>
                <w:sz w:val="8"/>
                <w:szCs w:val="8"/>
              </w:rPr>
            </w:pPr>
          </w:p>
        </w:tc>
      </w:tr>
      <w:tr w:rsidR="00EA6627" w:rsidRPr="00EB16B3" w:rsidTr="00E472BC">
        <w:tblPrEx>
          <w:tblBorders>
            <w:insideV w:val="single" w:sz="6" w:space="0" w:color="DCDADA"/>
          </w:tblBorders>
          <w:shd w:val="clear" w:color="auto" w:fill="EF6D63"/>
          <w:tblLook w:val="0680" w:firstRow="0" w:lastRow="0" w:firstColumn="1" w:lastColumn="0" w:noHBand="1" w:noVBand="1"/>
        </w:tblPrEx>
        <w:trPr>
          <w:trHeight w:hRule="exact" w:val="369"/>
        </w:trPr>
        <w:tc>
          <w:tcPr>
            <w:tcW w:w="9639" w:type="dxa"/>
            <w:gridSpan w:val="2"/>
            <w:shd w:val="clear" w:color="auto" w:fill="ED6B61"/>
            <w:tcMar>
              <w:left w:w="113" w:type="dxa"/>
              <w:right w:w="113" w:type="dxa"/>
            </w:tcMar>
            <w:vAlign w:val="center"/>
          </w:tcPr>
          <w:p w:rsidR="00EA6627" w:rsidRPr="006F1C2D" w:rsidRDefault="00EA6627" w:rsidP="00E472BC">
            <w:pPr>
              <w:keepNext/>
              <w:autoSpaceDE w:val="0"/>
              <w:autoSpaceDN w:val="0"/>
              <w:adjustRightInd w:val="0"/>
              <w:spacing w:before="40" w:after="40"/>
              <w:jc w:val="both"/>
              <w:rPr>
                <w:rFonts w:eastAsia="Times New Roman" w:cs="Arial"/>
                <w:b/>
                <w:bCs/>
                <w:color w:val="FFFFFF"/>
                <w:szCs w:val="18"/>
              </w:rPr>
            </w:pPr>
            <w:r w:rsidRPr="006F1C2D">
              <w:rPr>
                <w:rFonts w:eastAsia="Times New Roman" w:cs="Arial"/>
                <w:b/>
                <w:bCs/>
                <w:color w:val="FFFFFF"/>
                <w:szCs w:val="18"/>
              </w:rPr>
              <w:t>Článek 3</w:t>
            </w:r>
            <w:r>
              <w:rPr>
                <w:rFonts w:eastAsia="Times New Roman" w:cs="Arial"/>
                <w:b/>
                <w:bCs/>
                <w:color w:val="FFFFFF"/>
                <w:szCs w:val="18"/>
              </w:rPr>
              <w:t>6</w:t>
            </w:r>
            <w:r w:rsidRPr="006F1C2D">
              <w:rPr>
                <w:rFonts w:eastAsia="Times New Roman" w:cs="Arial"/>
                <w:b/>
                <w:bCs/>
                <w:color w:val="FFFFFF"/>
                <w:szCs w:val="18"/>
              </w:rPr>
              <w:t>. Zrušovací ustanovení</w:t>
            </w:r>
          </w:p>
        </w:tc>
      </w:tr>
      <w:tr w:rsidR="00EA6627" w:rsidRPr="00EB16B3" w:rsidTr="00E472BC">
        <w:tblPrEx>
          <w:tblBorders>
            <w:insideV w:val="single" w:sz="6" w:space="0" w:color="DCDADA"/>
          </w:tblBorders>
          <w:tblLook w:val="04A0" w:firstRow="1" w:lastRow="0" w:firstColumn="1" w:lastColumn="0" w:noHBand="0" w:noVBand="1"/>
        </w:tblPrEx>
        <w:trPr>
          <w:trHeight w:hRule="exact" w:val="57"/>
        </w:trPr>
        <w:tc>
          <w:tcPr>
            <w:tcW w:w="9639" w:type="dxa"/>
            <w:gridSpan w:val="2"/>
            <w:tcMar>
              <w:left w:w="113" w:type="dxa"/>
              <w:right w:w="113" w:type="dxa"/>
            </w:tcMar>
          </w:tcPr>
          <w:p w:rsidR="00EA6627" w:rsidRPr="006F1C2D" w:rsidRDefault="00EA6627" w:rsidP="00E472BC">
            <w:pPr>
              <w:keepNext/>
              <w:spacing w:before="40" w:after="40"/>
              <w:jc w:val="right"/>
              <w:rPr>
                <w:rFonts w:cs="Arial"/>
                <w:sz w:val="8"/>
                <w:szCs w:val="8"/>
              </w:rPr>
            </w:pP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sidRPr="006F1C2D">
              <w:rPr>
                <w:rFonts w:cs="Arial"/>
                <w:b/>
                <w:sz w:val="14"/>
                <w:szCs w:val="18"/>
              </w:rPr>
              <w:t>3</w:t>
            </w:r>
            <w:r>
              <w:rPr>
                <w:rFonts w:cs="Arial"/>
                <w:b/>
                <w:sz w:val="14"/>
                <w:szCs w:val="18"/>
              </w:rPr>
              <w:t>6</w:t>
            </w:r>
            <w:r w:rsidRPr="006F1C2D">
              <w:rPr>
                <w:rFonts w:cs="Arial"/>
                <w:b/>
                <w:sz w:val="14"/>
                <w:szCs w:val="18"/>
              </w:rPr>
              <w:t>.1</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sidRPr="006F1C2D">
              <w:rPr>
                <w:rFonts w:cs="Arial"/>
                <w:sz w:val="14"/>
                <w:szCs w:val="18"/>
              </w:rPr>
              <w:t>Tyto VOP nabývají účinnosti dne</w:t>
            </w:r>
            <w:r>
              <w:rPr>
                <w:rFonts w:cs="Arial"/>
                <w:sz w:val="14"/>
                <w:szCs w:val="18"/>
              </w:rPr>
              <w:t xml:space="preserve"> 5</w:t>
            </w:r>
            <w:r w:rsidRPr="006F1C2D">
              <w:rPr>
                <w:rFonts w:cs="Arial"/>
                <w:sz w:val="14"/>
                <w:szCs w:val="18"/>
              </w:rPr>
              <w:t>.</w:t>
            </w:r>
            <w:r>
              <w:rPr>
                <w:rFonts w:cs="Arial"/>
                <w:sz w:val="14"/>
                <w:szCs w:val="18"/>
              </w:rPr>
              <w:t xml:space="preserve"> 12</w:t>
            </w:r>
            <w:r w:rsidRPr="006F1C2D">
              <w:rPr>
                <w:rFonts w:cs="Arial"/>
                <w:sz w:val="14"/>
                <w:szCs w:val="18"/>
              </w:rPr>
              <w:t>.</w:t>
            </w:r>
            <w:r>
              <w:rPr>
                <w:rFonts w:cs="Arial"/>
                <w:sz w:val="14"/>
                <w:szCs w:val="18"/>
              </w:rPr>
              <w:t xml:space="preserve"> </w:t>
            </w:r>
            <w:r w:rsidRPr="006F1C2D">
              <w:rPr>
                <w:rFonts w:cs="Arial"/>
                <w:sz w:val="14"/>
                <w:szCs w:val="18"/>
              </w:rPr>
              <w:t>20</w:t>
            </w:r>
            <w:r>
              <w:rPr>
                <w:rFonts w:cs="Arial"/>
                <w:sz w:val="14"/>
                <w:szCs w:val="18"/>
              </w:rPr>
              <w:t>17, s výjimkou odstranění ujednání upravujících status Mikropodnikatele z čl. 17.2 a 36.1, které nabývají účinnosti ke dni účinnosti zákona, který zapracovává příslušný předpis Evropské unie</w:t>
            </w:r>
            <w:r w:rsidRPr="00E472BC">
              <w:rPr>
                <w:rStyle w:val="Znakapoznpodarou"/>
                <w:rFonts w:cs="Arial"/>
                <w:position w:val="0"/>
                <w:sz w:val="14"/>
                <w:szCs w:val="14"/>
                <w:vertAlign w:val="superscript"/>
              </w:rPr>
              <w:footnoteReference w:id="23"/>
            </w:r>
            <w:r>
              <w:rPr>
                <w:rFonts w:cs="Arial"/>
                <w:sz w:val="14"/>
                <w:szCs w:val="18"/>
              </w:rPr>
              <w:t>.</w:t>
            </w:r>
          </w:p>
        </w:tc>
      </w:tr>
      <w:tr w:rsidR="00EA6627" w:rsidRPr="00EB16B3" w:rsidTr="00E472BC">
        <w:tblPrEx>
          <w:tblBorders>
            <w:insideV w:val="single" w:sz="6" w:space="0" w:color="DCDADA"/>
          </w:tblBorders>
          <w:tblLook w:val="04A0" w:firstRow="1" w:lastRow="0" w:firstColumn="1" w:lastColumn="0" w:noHBand="0" w:noVBand="1"/>
        </w:tblPrEx>
        <w:tc>
          <w:tcPr>
            <w:tcW w:w="630" w:type="dxa"/>
            <w:tcBorders>
              <w:right w:val="single" w:sz="6" w:space="0" w:color="C8C8C8"/>
            </w:tcBorders>
            <w:noWrap/>
            <w:tcMar>
              <w:left w:w="113" w:type="dxa"/>
              <w:right w:w="113" w:type="dxa"/>
            </w:tcMar>
          </w:tcPr>
          <w:p w:rsidR="00EA6627" w:rsidRPr="006F1C2D" w:rsidRDefault="00EA6627" w:rsidP="00E472BC">
            <w:pPr>
              <w:spacing w:before="40" w:after="40"/>
              <w:jc w:val="right"/>
              <w:rPr>
                <w:rFonts w:cs="Arial"/>
                <w:b/>
                <w:sz w:val="14"/>
                <w:szCs w:val="18"/>
              </w:rPr>
            </w:pPr>
            <w:r>
              <w:rPr>
                <w:rFonts w:cs="Arial"/>
                <w:b/>
                <w:sz w:val="14"/>
                <w:szCs w:val="18"/>
              </w:rPr>
              <w:t>36.2</w:t>
            </w:r>
          </w:p>
        </w:tc>
        <w:tc>
          <w:tcPr>
            <w:tcW w:w="9009" w:type="dxa"/>
            <w:tcBorders>
              <w:left w:val="single" w:sz="6" w:space="0" w:color="C8C8C8"/>
            </w:tcBorders>
            <w:noWrap/>
            <w:tcMar>
              <w:left w:w="113" w:type="dxa"/>
              <w:right w:w="113" w:type="dxa"/>
            </w:tcMar>
          </w:tcPr>
          <w:p w:rsidR="00EA6627" w:rsidRPr="006F1C2D" w:rsidRDefault="00EA6627" w:rsidP="00E472BC">
            <w:pPr>
              <w:spacing w:before="40" w:after="40"/>
              <w:jc w:val="both"/>
              <w:rPr>
                <w:rFonts w:cs="Arial"/>
                <w:sz w:val="14"/>
                <w:szCs w:val="18"/>
              </w:rPr>
            </w:pPr>
            <w:r>
              <w:rPr>
                <w:rFonts w:cs="Arial"/>
                <w:sz w:val="14"/>
                <w:szCs w:val="18"/>
              </w:rPr>
              <w:t xml:space="preserve">Tyto VOP </w:t>
            </w:r>
            <w:r w:rsidRPr="006F1C2D">
              <w:rPr>
                <w:rFonts w:cs="Arial"/>
                <w:sz w:val="14"/>
                <w:szCs w:val="18"/>
              </w:rPr>
              <w:t xml:space="preserve">ruší a nahrazují VOP účinné od </w:t>
            </w:r>
            <w:r>
              <w:rPr>
                <w:rFonts w:cs="Arial"/>
                <w:sz w:val="14"/>
                <w:szCs w:val="18"/>
              </w:rPr>
              <w:t>1</w:t>
            </w:r>
            <w:r w:rsidRPr="006F1C2D">
              <w:rPr>
                <w:rFonts w:cs="Arial"/>
                <w:sz w:val="14"/>
                <w:szCs w:val="18"/>
              </w:rPr>
              <w:t xml:space="preserve">. </w:t>
            </w:r>
            <w:r>
              <w:rPr>
                <w:rFonts w:cs="Arial"/>
                <w:sz w:val="14"/>
                <w:szCs w:val="18"/>
              </w:rPr>
              <w:t>9</w:t>
            </w:r>
            <w:r w:rsidRPr="006F1C2D">
              <w:rPr>
                <w:rFonts w:cs="Arial"/>
                <w:sz w:val="14"/>
                <w:szCs w:val="18"/>
              </w:rPr>
              <w:t>. 201</w:t>
            </w:r>
            <w:r>
              <w:rPr>
                <w:rFonts w:cs="Arial"/>
                <w:sz w:val="14"/>
                <w:szCs w:val="18"/>
              </w:rPr>
              <w:t>6</w:t>
            </w:r>
            <w:r w:rsidRPr="006F1C2D">
              <w:rPr>
                <w:rFonts w:cs="Arial"/>
                <w:sz w:val="14"/>
                <w:szCs w:val="18"/>
              </w:rPr>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tc>
      </w:tr>
      <w:tr w:rsidR="006A5C74" w:rsidTr="00EA6627">
        <w:tc>
          <w:tcPr>
            <w:tcW w:w="9639" w:type="dxa"/>
            <w:gridSpan w:val="2"/>
            <w:tcBorders>
              <w:top w:val="nil"/>
              <w:left w:val="nil"/>
              <w:bottom w:val="nil"/>
              <w:right w:val="nil"/>
            </w:tcBorders>
            <w:noWrap/>
            <w:tcMar>
              <w:left w:w="0" w:type="dxa"/>
              <w:right w:w="0" w:type="dxa"/>
            </w:tcMar>
          </w:tcPr>
          <w:p w:rsidR="000E329A" w:rsidRDefault="000E329A" w:rsidP="00EA6627">
            <w:pPr>
              <w:rPr>
                <w:sz w:val="14"/>
                <w:lang w:val="en-GB"/>
              </w:rPr>
            </w:pPr>
          </w:p>
        </w:tc>
      </w:tr>
      <w:bookmarkEnd w:id="0"/>
    </w:tbl>
    <w:p w:rsidR="00D033B9" w:rsidRPr="007107ED" w:rsidRDefault="00D033B9" w:rsidP="00B043A9">
      <w:pPr>
        <w:rPr>
          <w:sz w:val="6"/>
          <w:szCs w:val="6"/>
          <w:lang w:val="en-GB"/>
        </w:rPr>
      </w:pPr>
    </w:p>
    <w:bookmarkEnd w:id="1"/>
    <w:p w:rsidR="00D033B9" w:rsidRPr="003B3A84" w:rsidRDefault="00D033B9" w:rsidP="00D033B9">
      <w:pPr>
        <w:jc w:val="both"/>
        <w:rPr>
          <w:vanish/>
          <w:color w:val="FF0000"/>
          <w:lang w:val="en-GB"/>
        </w:rPr>
      </w:pPr>
    </w:p>
    <w:sectPr w:rsidR="00D033B9" w:rsidRPr="003B3A84" w:rsidSect="00E95D3B">
      <w:headerReference w:type="default" r:id="rId9"/>
      <w:footerReference w:type="default" r:id="rId10"/>
      <w:headerReference w:type="first" r:id="rId11"/>
      <w:footerReference w:type="first" r:id="rId12"/>
      <w:type w:val="continuous"/>
      <w:pgSz w:w="11906" w:h="16838" w:code="9"/>
      <w:pgMar w:top="1871" w:right="1134" w:bottom="1588" w:left="1134" w:header="103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24" w:rsidRDefault="00F30424" w:rsidP="005D6E7E">
      <w:r>
        <w:separator/>
      </w:r>
    </w:p>
  </w:endnote>
  <w:endnote w:type="continuationSeparator" w:id="0">
    <w:p w:rsidR="00F30424" w:rsidRDefault="00F30424"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ecisionID C128 04">
    <w:charset w:val="EE"/>
    <w:family w:val="auto"/>
    <w:pitch w:val="variable"/>
    <w:sig w:usb0="80002A87" w:usb1="00000040" w:usb2="00000010" w:usb3="00000000" w:csb0="0000007F" w:csb1="00000000"/>
  </w:font>
  <w:font w:name="Arial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DC7E2E" w:rsidRPr="00EB16B3" w:rsidTr="008C1233">
      <w:trPr>
        <w:trHeight w:hRule="exact" w:val="907"/>
      </w:trPr>
      <w:tc>
        <w:tcPr>
          <w:tcW w:w="4820" w:type="dxa"/>
          <w:shd w:val="clear" w:color="auto" w:fill="auto"/>
          <w:vAlign w:val="bottom"/>
        </w:tcPr>
        <w:p w:rsidR="00DC7E2E" w:rsidRDefault="00DC7E2E" w:rsidP="008C1233">
          <w:pPr>
            <w:pStyle w:val="kbFixedtext"/>
          </w:pPr>
          <w:bookmarkStart w:id="6" w:name="SR_D1_optJazykCZ_Z2" w:colFirst="0" w:colLast="2"/>
          <w:bookmarkStart w:id="7" w:name="cj_4" w:colFirst="0" w:colLast="1"/>
          <w:r>
            <w:t xml:space="preserve">Komerční banka, a. s., se sídlem: </w:t>
          </w:r>
        </w:p>
        <w:p w:rsidR="00DC7E2E" w:rsidRDefault="00DC7E2E" w:rsidP="008C1233">
          <w:pPr>
            <w:pStyle w:val="kbFixedtext"/>
          </w:pPr>
          <w:r>
            <w:t>Praha 1, Na Příkopě 33 čp. 969, PSČ 114 07, IČO: 45317054</w:t>
          </w:r>
        </w:p>
        <w:p w:rsidR="00DC7E2E" w:rsidRDefault="00DC7E2E" w:rsidP="008C1233">
          <w:pPr>
            <w:pStyle w:val="kbRegistration"/>
          </w:pPr>
          <w:r>
            <w:t>ZAPSANÁ V OBCHODNÍM REJSTŘÍKU VEDENÉM MĚSTSKÝm SOUDEM V PRAZE, ODDÍL B, VLOŽKA 1360</w:t>
          </w:r>
        </w:p>
      </w:tc>
      <w:tc>
        <w:tcPr>
          <w:tcW w:w="4819" w:type="dxa"/>
          <w:shd w:val="clear" w:color="auto" w:fill="auto"/>
          <w:vAlign w:val="bottom"/>
        </w:tcPr>
        <w:p w:rsidR="00DC7E2E" w:rsidRDefault="00DC7E2E" w:rsidP="008C1233">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F96E5F">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96E5F">
            <w:rPr>
              <w:rStyle w:val="slostrnky"/>
              <w:noProof/>
            </w:rPr>
            <w:t>11</w:t>
          </w:r>
          <w:r>
            <w:rPr>
              <w:rStyle w:val="slostrnky"/>
            </w:rPr>
            <w:fldChar w:fldCharType="end"/>
          </w:r>
        </w:p>
        <w:p w:rsidR="00DC7E2E" w:rsidRDefault="00DC7E2E" w:rsidP="008C1233">
          <w:pPr>
            <w:pStyle w:val="Registration"/>
            <w:jc w:val="right"/>
          </w:pPr>
          <w:r>
            <w:t>Datum účinnosti šablony 5. 12. 2017</w:t>
          </w:r>
        </w:p>
        <w:p w:rsidR="00DC7E2E" w:rsidRDefault="00DC7E2E" w:rsidP="008C1233">
          <w:pPr>
            <w:pStyle w:val="Registration"/>
            <w:jc w:val="right"/>
          </w:pPr>
          <w:r>
            <w:t xml:space="preserve">VER F </w:t>
          </w:r>
          <w:r w:rsidRPr="006F1C2D">
            <w:t>VOPKB</w:t>
          </w:r>
          <w:r>
            <w:t xml:space="preserve">.doT </w:t>
          </w:r>
          <w:r w:rsidRPr="00C314F7">
            <w:fldChar w:fldCharType="begin"/>
          </w:r>
          <w:r w:rsidRPr="00C314F7">
            <w:instrText>\DATE</w:instrText>
          </w:r>
          <w:r w:rsidRPr="00C314F7">
            <w:fldChar w:fldCharType="separate"/>
          </w:r>
          <w:r w:rsidR="00F96E5F">
            <w:rPr>
              <w:noProof/>
            </w:rPr>
            <w:t>30.1.2018</w:t>
          </w:r>
          <w:r w:rsidRPr="00C314F7">
            <w:fldChar w:fldCharType="end"/>
          </w:r>
          <w:r w:rsidRPr="00C314F7">
            <w:t xml:space="preserve"> </w:t>
          </w:r>
          <w:r w:rsidRPr="00C314F7">
            <w:fldChar w:fldCharType="begin"/>
          </w:r>
          <w:r w:rsidRPr="00C314F7">
            <w:instrText>\TIME</w:instrText>
          </w:r>
          <w:r w:rsidRPr="00C314F7">
            <w:fldChar w:fldCharType="separate"/>
          </w:r>
          <w:r w:rsidR="00F96E5F">
            <w:rPr>
              <w:noProof/>
            </w:rPr>
            <w:t>12:31 odp.</w:t>
          </w:r>
          <w:r w:rsidRPr="00C314F7">
            <w:fldChar w:fldCharType="end"/>
          </w:r>
        </w:p>
      </w:tc>
    </w:tr>
    <w:bookmarkEnd w:id="6"/>
    <w:bookmarkEnd w:id="7"/>
  </w:tbl>
  <w:p w:rsidR="00DC7E2E" w:rsidRPr="00E95D3B" w:rsidRDefault="00DC7E2E">
    <w:pPr>
      <w:pStyle w:val="Zpat"/>
      <w:rPr>
        <w:vanish/>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5811"/>
      <w:gridCol w:w="3828"/>
    </w:tblGrid>
    <w:tr w:rsidR="00DC7E2E" w:rsidRPr="00EB16B3" w:rsidTr="00F30424">
      <w:trPr>
        <w:trHeight w:hRule="exact" w:val="907"/>
      </w:trPr>
      <w:tc>
        <w:tcPr>
          <w:tcW w:w="5811" w:type="dxa"/>
          <w:shd w:val="clear" w:color="auto" w:fill="auto"/>
          <w:vAlign w:val="bottom"/>
        </w:tcPr>
        <w:p w:rsidR="00DC7E2E" w:rsidRDefault="00DC7E2E" w:rsidP="008C1233">
          <w:pPr>
            <w:pStyle w:val="kbFixedtext"/>
          </w:pPr>
          <w:bookmarkStart w:id="10" w:name="SR_D1_optJazykCZ_Z1" w:colFirst="0" w:colLast="2"/>
          <w:bookmarkStart w:id="11" w:name="cj_3" w:colFirst="0" w:colLast="1"/>
          <w:r>
            <w:t xml:space="preserve">Komerční banka, a. s., se sídlem: </w:t>
          </w:r>
        </w:p>
        <w:p w:rsidR="00DC7E2E" w:rsidRDefault="00DC7E2E" w:rsidP="008C1233">
          <w:pPr>
            <w:pStyle w:val="kbFixedtext"/>
          </w:pPr>
          <w:r>
            <w:t>Praha 1, Na Příkopě 33 čp. 969, PSČ 114 07, IČO: 45317054</w:t>
          </w:r>
        </w:p>
        <w:p w:rsidR="00DC7E2E" w:rsidRDefault="00DC7E2E" w:rsidP="008C1233">
          <w:pPr>
            <w:pStyle w:val="kbRegistration"/>
          </w:pPr>
          <w:r>
            <w:t>ZAPSANÁ V OBCHODNÍM REJSTŘÍKU VEDENÉM MĚSTSKÝm SOUDEM V PRAZE, ODDÍL B, VLOŽKA 1360</w:t>
          </w:r>
        </w:p>
      </w:tc>
      <w:tc>
        <w:tcPr>
          <w:tcW w:w="3828" w:type="dxa"/>
          <w:shd w:val="clear" w:color="auto" w:fill="auto"/>
          <w:vAlign w:val="bottom"/>
        </w:tcPr>
        <w:p w:rsidR="00DC7E2E" w:rsidRDefault="00DC7E2E" w:rsidP="008C1233">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sidR="00F96E5F">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F96E5F">
            <w:rPr>
              <w:rStyle w:val="slostrnky"/>
              <w:noProof/>
            </w:rPr>
            <w:t>11</w:t>
          </w:r>
          <w:r>
            <w:rPr>
              <w:rStyle w:val="slostrnky"/>
            </w:rPr>
            <w:fldChar w:fldCharType="end"/>
          </w:r>
        </w:p>
        <w:p w:rsidR="00DC7E2E" w:rsidRDefault="00DC7E2E" w:rsidP="008C1233">
          <w:pPr>
            <w:pStyle w:val="Registration"/>
            <w:jc w:val="right"/>
          </w:pPr>
          <w:r>
            <w:t>Datum účinnosti šablony 5. 12. 2017</w:t>
          </w:r>
        </w:p>
        <w:p w:rsidR="00DC7E2E" w:rsidRDefault="00DC7E2E" w:rsidP="008C1233">
          <w:pPr>
            <w:pStyle w:val="Registration"/>
            <w:jc w:val="right"/>
          </w:pPr>
          <w:r>
            <w:t xml:space="preserve">VER F </w:t>
          </w:r>
          <w:r w:rsidRPr="006F1C2D">
            <w:t>VOPKB</w:t>
          </w:r>
          <w:r>
            <w:t xml:space="preserve">.doT </w:t>
          </w:r>
          <w:r w:rsidRPr="00C314F7">
            <w:fldChar w:fldCharType="begin"/>
          </w:r>
          <w:r w:rsidRPr="00C314F7">
            <w:instrText>\DATE</w:instrText>
          </w:r>
          <w:r w:rsidRPr="00C314F7">
            <w:fldChar w:fldCharType="separate"/>
          </w:r>
          <w:r w:rsidR="00F96E5F">
            <w:rPr>
              <w:noProof/>
            </w:rPr>
            <w:t>30.1.2018</w:t>
          </w:r>
          <w:r w:rsidRPr="00C314F7">
            <w:fldChar w:fldCharType="end"/>
          </w:r>
          <w:r w:rsidRPr="00C314F7">
            <w:t xml:space="preserve"> </w:t>
          </w:r>
          <w:r w:rsidRPr="00C314F7">
            <w:fldChar w:fldCharType="begin"/>
          </w:r>
          <w:r w:rsidRPr="00C314F7">
            <w:instrText>\TIME</w:instrText>
          </w:r>
          <w:r w:rsidRPr="00C314F7">
            <w:fldChar w:fldCharType="separate"/>
          </w:r>
          <w:r w:rsidR="00F96E5F">
            <w:rPr>
              <w:noProof/>
            </w:rPr>
            <w:t>12:31 odp.</w:t>
          </w:r>
          <w:r w:rsidRPr="00C314F7">
            <w:fldChar w:fldCharType="end"/>
          </w:r>
        </w:p>
      </w:tc>
    </w:tr>
    <w:bookmarkEnd w:id="10"/>
    <w:bookmarkEnd w:id="11"/>
  </w:tbl>
  <w:p w:rsidR="00DC7E2E" w:rsidRPr="00E95D3B" w:rsidRDefault="00DC7E2E" w:rsidP="00DD204B">
    <w:pPr>
      <w:pStyle w:val="Zpat"/>
      <w:rPr>
        <w:vanish/>
        <w:color w:val="FF000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24" w:rsidRDefault="00F30424" w:rsidP="005D6E7E">
      <w:r>
        <w:separator/>
      </w:r>
    </w:p>
  </w:footnote>
  <w:footnote w:type="continuationSeparator" w:id="0">
    <w:p w:rsidR="00F30424" w:rsidRDefault="00F30424" w:rsidP="005D6E7E">
      <w:r>
        <w:continuationSeparator/>
      </w:r>
    </w:p>
  </w:footnote>
  <w:footnote w:id="1">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sidRPr="00C050A5">
        <w:rPr>
          <w:position w:val="4"/>
          <w:sz w:val="14"/>
          <w:szCs w:val="14"/>
        </w:rPr>
        <w:t xml:space="preserve"> </w:t>
      </w:r>
      <w:r>
        <w:rPr>
          <w:position w:val="4"/>
          <w:sz w:val="14"/>
          <w:szCs w:val="14"/>
        </w:rPr>
        <w:tab/>
      </w:r>
      <w:r w:rsidRPr="00E328F7">
        <w:rPr>
          <w:color w:val="000000"/>
          <w:sz w:val="14"/>
          <w:szCs w:val="14"/>
        </w:rPr>
        <w:t>z</w:t>
      </w:r>
      <w:r w:rsidRPr="006C25FF">
        <w:rPr>
          <w:color w:val="000000"/>
          <w:sz w:val="14"/>
          <w:szCs w:val="14"/>
        </w:rPr>
        <w:t xml:space="preserve">ejména </w:t>
      </w:r>
      <w:r w:rsidRPr="00125F3B">
        <w:rPr>
          <w:color w:val="000000"/>
          <w:sz w:val="14"/>
          <w:szCs w:val="14"/>
        </w:rPr>
        <w:t>z. č.</w:t>
      </w:r>
      <w:r>
        <w:rPr>
          <w:color w:val="000000"/>
          <w:sz w:val="14"/>
          <w:szCs w:val="14"/>
          <w:lang w:val="cs-CZ"/>
        </w:rPr>
        <w:t xml:space="preserve"> 340/2015 Sb.</w:t>
      </w:r>
      <w:r w:rsidRPr="00125F3B">
        <w:rPr>
          <w:color w:val="000000"/>
          <w:sz w:val="14"/>
          <w:szCs w:val="14"/>
        </w:rPr>
        <w:t xml:space="preserve">, </w:t>
      </w:r>
      <w:r w:rsidRPr="00E328F7">
        <w:rPr>
          <w:color w:val="000000"/>
          <w:sz w:val="14"/>
          <w:szCs w:val="14"/>
        </w:rPr>
        <w:t>o zvláštních podmínkách účinnosti některých smluv, uveřejňování těchto smluv a o registru smluv (zákon o registru smluv)</w:t>
      </w:r>
      <w:r>
        <w:rPr>
          <w:color w:val="000000"/>
          <w:sz w:val="14"/>
          <w:szCs w:val="14"/>
          <w:lang w:val="cs-CZ"/>
        </w:rPr>
        <w:t>, ve znění pozdějších předpisů;</w:t>
      </w:r>
      <w:r w:rsidRPr="00CD50D8">
        <w:rPr>
          <w:color w:val="000000"/>
          <w:sz w:val="14"/>
          <w:szCs w:val="14"/>
        </w:rPr>
        <w:t xml:space="preserve"> z. č. 211/2000 Z.z., o slobodnom prístupe k informáciám a o zmene a doplnení niektorých zákonov (zákon o slobode informácií), v znění neskorších predpisov</w:t>
      </w:r>
    </w:p>
  </w:footnote>
  <w:footnote w:id="2">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3">
    <w:p w:rsidR="00DC7E2E" w:rsidRPr="00125F3B" w:rsidRDefault="00DC7E2E" w:rsidP="00EA6627">
      <w:pPr>
        <w:pStyle w:val="Textpoznpodarou"/>
        <w:ind w:left="142" w:hanging="142"/>
        <w:jc w:val="both"/>
        <w:rPr>
          <w:sz w:val="14"/>
          <w:szCs w:val="14"/>
        </w:rPr>
      </w:pPr>
      <w:r w:rsidRPr="00C050A5">
        <w:rPr>
          <w:rStyle w:val="Znakapoznpodarou"/>
          <w:position w:val="4"/>
          <w:sz w:val="14"/>
          <w:szCs w:val="14"/>
        </w:rPr>
        <w:footnoteRef/>
      </w:r>
      <w:r>
        <w:rPr>
          <w:position w:val="4"/>
          <w:sz w:val="14"/>
          <w:szCs w:val="14"/>
        </w:rPr>
        <w:tab/>
      </w:r>
      <w:r w:rsidRPr="00125F3B">
        <w:rPr>
          <w:sz w:val="14"/>
          <w:szCs w:val="14"/>
        </w:rPr>
        <w:t xml:space="preserve">zejména </w:t>
      </w:r>
      <w:r>
        <w:rPr>
          <w:color w:val="000000"/>
          <w:sz w:val="14"/>
          <w:szCs w:val="14"/>
        </w:rPr>
        <w:t>nařízení EU č. 2016/679</w:t>
      </w:r>
      <w:r w:rsidRPr="00125F3B">
        <w:rPr>
          <w:color w:val="000000"/>
          <w:sz w:val="14"/>
          <w:szCs w:val="14"/>
        </w:rPr>
        <w:t>, o ochraně osobních údajů, ve znění pozdějších předpisů</w:t>
      </w:r>
    </w:p>
  </w:footnote>
  <w:footnote w:id="4">
    <w:p w:rsidR="00DC7E2E" w:rsidRPr="000264AC" w:rsidRDefault="00DC7E2E" w:rsidP="00EA6627">
      <w:pPr>
        <w:pStyle w:val="Textpoznpodarou"/>
        <w:tabs>
          <w:tab w:val="left" w:pos="170"/>
        </w:tabs>
        <w:spacing w:after="40"/>
        <w:rPr>
          <w:sz w:val="12"/>
          <w:szCs w:val="12"/>
        </w:rPr>
      </w:pPr>
      <w:r w:rsidRPr="00C050A5">
        <w:rPr>
          <w:rStyle w:val="Znakapoznpodarou"/>
          <w:position w:val="4"/>
          <w:sz w:val="14"/>
          <w:szCs w:val="14"/>
        </w:rPr>
        <w:footnoteRef/>
      </w:r>
      <w:r>
        <w:rPr>
          <w:sz w:val="14"/>
          <w:szCs w:val="14"/>
        </w:rPr>
        <w:tab/>
      </w:r>
      <w:r w:rsidRPr="005042B0">
        <w:rPr>
          <w:sz w:val="14"/>
        </w:rPr>
        <w:t xml:space="preserve">§ 1828 </w:t>
      </w:r>
      <w:r w:rsidRPr="00125F3B">
        <w:rPr>
          <w:sz w:val="14"/>
          <w:szCs w:val="14"/>
        </w:rPr>
        <w:t>z. č. 89/2012 Sb., občanský zákoník, ve znění pozdějších předpisů</w:t>
      </w:r>
    </w:p>
  </w:footnote>
  <w:footnote w:id="5">
    <w:p w:rsidR="00DC7E2E" w:rsidRPr="00125F3B" w:rsidRDefault="00DC7E2E" w:rsidP="00EA6627">
      <w:pPr>
        <w:pStyle w:val="Textpoznpodarou"/>
        <w:tabs>
          <w:tab w:val="left" w:pos="170"/>
        </w:tabs>
        <w:spacing w:after="40"/>
        <w:jc w:val="both"/>
        <w:rPr>
          <w:sz w:val="14"/>
          <w:szCs w:val="14"/>
        </w:rPr>
      </w:pPr>
      <w:r w:rsidRPr="00C050A5">
        <w:rPr>
          <w:rStyle w:val="Znakapoznpodarou"/>
          <w:position w:val="4"/>
          <w:sz w:val="14"/>
          <w:szCs w:val="14"/>
        </w:rPr>
        <w:footnoteRef/>
      </w:r>
      <w:r>
        <w:rPr>
          <w:sz w:val="14"/>
          <w:szCs w:val="14"/>
        </w:rPr>
        <w:tab/>
      </w:r>
      <w:r w:rsidRPr="00125F3B">
        <w:rPr>
          <w:color w:val="000000"/>
          <w:sz w:val="14"/>
          <w:szCs w:val="14"/>
        </w:rPr>
        <w:t>zejména z. č. 253/2008 Sb., o některých opatřeních proti legalizaci výnosů z trestné činnosti a financování terorismu, ve znění pozdějších předpisů</w:t>
      </w:r>
    </w:p>
  </w:footnote>
  <w:footnote w:id="6">
    <w:p w:rsidR="00DC7E2E" w:rsidRPr="00B02685" w:rsidRDefault="00DC7E2E" w:rsidP="00EA6627">
      <w:pPr>
        <w:pStyle w:val="Textpoznpodarou"/>
        <w:tabs>
          <w:tab w:val="left" w:pos="170"/>
        </w:tabs>
        <w:rPr>
          <w:sz w:val="14"/>
          <w:szCs w:val="14"/>
        </w:rPr>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7">
    <w:p w:rsidR="00DC7E2E" w:rsidRDefault="00DC7E2E" w:rsidP="00EA6627">
      <w:pPr>
        <w:pStyle w:val="Textpoznpodarou"/>
        <w:tabs>
          <w:tab w:val="left" w:pos="170"/>
        </w:tabs>
        <w:spacing w:after="40"/>
      </w:pPr>
      <w:r w:rsidRPr="00C050A5">
        <w:rPr>
          <w:rStyle w:val="Znakapoznpodarou"/>
          <w:position w:val="4"/>
          <w:sz w:val="14"/>
          <w:szCs w:val="14"/>
        </w:rPr>
        <w:footnoteRef/>
      </w:r>
      <w:r>
        <w:rPr>
          <w:sz w:val="14"/>
          <w:szCs w:val="14"/>
        </w:rPr>
        <w:tab/>
      </w:r>
      <w:r w:rsidRPr="00B02685">
        <w:rPr>
          <w:sz w:val="14"/>
          <w:szCs w:val="14"/>
        </w:rPr>
        <w:t>z. č. 89/2012 Sb., občanský zákoník, ve znění pozdějších předpisů</w:t>
      </w:r>
    </w:p>
  </w:footnote>
  <w:footnote w:id="8">
    <w:p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r>
      <w:r w:rsidRPr="00EA6627">
        <w:rPr>
          <w:sz w:val="14"/>
          <w:szCs w:val="14"/>
          <w:lang w:val="cs-CZ"/>
        </w:rPr>
        <w:t>z. č. 257/2016 Sb., o spotřebitelském úvěru, ve znění pozdějších předpisů</w:t>
      </w:r>
    </w:p>
  </w:footnote>
  <w:footnote w:id="9">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 304b z. č. 99/1963 Sb., občanský soudní řád, ve znění pozdějších předpisů</w:t>
      </w:r>
    </w:p>
  </w:footnote>
  <w:footnote w:id="10">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position w:val="4"/>
          <w:sz w:val="14"/>
          <w:szCs w:val="14"/>
        </w:rPr>
        <w:tab/>
      </w:r>
      <w:r w:rsidRPr="00EA6627">
        <w:rPr>
          <w:sz w:val="14"/>
          <w:szCs w:val="14"/>
        </w:rPr>
        <w:t>z. č. 21/1992 Sb., o bankách, ve znění pozdějších předpisů</w:t>
      </w:r>
    </w:p>
  </w:footnote>
  <w:footnote w:id="11">
    <w:p w:rsidR="00DC7E2E" w:rsidRPr="00EA6627" w:rsidRDefault="00DC7E2E" w:rsidP="00EA6627">
      <w:pPr>
        <w:pStyle w:val="Textpoznpodarou"/>
        <w:ind w:left="284" w:hanging="284"/>
        <w:jc w:val="both"/>
        <w:rPr>
          <w:sz w:val="14"/>
          <w:szCs w:val="14"/>
        </w:rPr>
      </w:pPr>
      <w:r w:rsidRPr="00EA6627">
        <w:rPr>
          <w:rStyle w:val="Znakapoznpodarou"/>
          <w:position w:val="4"/>
          <w:sz w:val="14"/>
          <w:szCs w:val="14"/>
        </w:rPr>
        <w:footnoteRef/>
      </w:r>
      <w:r w:rsidRPr="00EA6627">
        <w:rPr>
          <w:sz w:val="14"/>
          <w:szCs w:val="14"/>
        </w:rPr>
        <w:tab/>
        <w:t>z. č. 284/2009 Sb., o platebním styku, ve znění pozdějších předpisů</w:t>
      </w:r>
    </w:p>
  </w:footnote>
  <w:footnote w:id="12">
    <w:p w:rsidR="00DC7E2E" w:rsidRPr="00EA6627" w:rsidRDefault="00DC7E2E" w:rsidP="00EA6627">
      <w:pPr>
        <w:pStyle w:val="Textpoznpodarou"/>
        <w:ind w:left="284" w:hanging="284"/>
        <w:jc w:val="both"/>
        <w:rPr>
          <w:sz w:val="14"/>
          <w:szCs w:val="14"/>
          <w:lang w:val="cs-CZ"/>
        </w:rPr>
      </w:pPr>
      <w:r w:rsidRPr="00EA6627">
        <w:rPr>
          <w:rStyle w:val="Znakapoznpodarou"/>
          <w:sz w:val="14"/>
          <w:szCs w:val="14"/>
        </w:rPr>
        <w:footnoteRef/>
      </w:r>
      <w:r w:rsidRPr="00EA6627">
        <w:rPr>
          <w:sz w:val="14"/>
          <w:szCs w:val="14"/>
        </w:rPr>
        <w:tab/>
        <w:t>z</w:t>
      </w:r>
      <w:r w:rsidRPr="00EA6627">
        <w:rPr>
          <w:sz w:val="14"/>
          <w:szCs w:val="14"/>
          <w:lang w:val="cs-CZ"/>
        </w:rPr>
        <w:t>. č. 186/2016 Sb., o hazardních hrách, ve znění pozdějších předpisů</w:t>
      </w:r>
    </w:p>
  </w:footnote>
  <w:footnote w:id="13">
    <w:p w:rsidR="00DC7E2E" w:rsidRDefault="00DC7E2E" w:rsidP="00EA6627">
      <w:pPr>
        <w:pStyle w:val="Textpoznpodarou"/>
        <w:ind w:left="284" w:hanging="284"/>
      </w:pPr>
      <w:r w:rsidRPr="00573CDB">
        <w:rPr>
          <w:rStyle w:val="Znakapoznpodarou"/>
          <w:position w:val="4"/>
          <w:sz w:val="14"/>
          <w:szCs w:val="14"/>
        </w:rPr>
        <w:footnoteRef/>
      </w:r>
      <w:r>
        <w:rPr>
          <w:sz w:val="14"/>
          <w:szCs w:val="14"/>
        </w:rPr>
        <w:tab/>
      </w:r>
      <w:r w:rsidRPr="00BD6CF3">
        <w:rPr>
          <w:sz w:val="14"/>
          <w:szCs w:val="14"/>
        </w:rPr>
        <w:t>z. č. 284/2009 Sb., o platebním styku, ve znění pozdějších předpisů</w:t>
      </w:r>
    </w:p>
  </w:footnote>
  <w:footnote w:id="14">
    <w:p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position w:val="4"/>
          <w:sz w:val="14"/>
          <w:szCs w:val="14"/>
        </w:rPr>
        <w:tab/>
      </w:r>
      <w:r w:rsidRPr="0022107D">
        <w:rPr>
          <w:sz w:val="14"/>
          <w:szCs w:val="14"/>
        </w:rPr>
        <w:t>zejména z. č. 191/1950 Sb., zákon směnečný a šekový, ve znění pozdějších předpisů</w:t>
      </w:r>
    </w:p>
  </w:footnote>
  <w:footnote w:id="15">
    <w:p w:rsidR="00DC7E2E" w:rsidRPr="0022107D" w:rsidRDefault="00DC7E2E" w:rsidP="00E472BC">
      <w:pPr>
        <w:pStyle w:val="Textpoznpodarou"/>
        <w:spacing w:after="40"/>
        <w:ind w:left="284" w:hanging="284"/>
        <w:rPr>
          <w:sz w:val="14"/>
          <w:szCs w:val="14"/>
        </w:rPr>
      </w:pPr>
      <w:r w:rsidRPr="00573CDB">
        <w:rPr>
          <w:rStyle w:val="Znakapoznpodarou"/>
          <w:position w:val="4"/>
          <w:sz w:val="14"/>
          <w:szCs w:val="14"/>
        </w:rPr>
        <w:footnoteRef/>
      </w:r>
      <w:r>
        <w:rPr>
          <w:sz w:val="14"/>
          <w:szCs w:val="14"/>
        </w:rPr>
        <w:tab/>
      </w:r>
      <w:r w:rsidRPr="0022107D">
        <w:rPr>
          <w:sz w:val="14"/>
          <w:szCs w:val="14"/>
        </w:rPr>
        <w:t>např. z. č. 21/1992 Sb., o bankách, ve znění pozdějších předpisů</w:t>
      </w:r>
    </w:p>
  </w:footnote>
  <w:footnote w:id="16">
    <w:p w:rsidR="00DC7E2E" w:rsidRPr="00C07566" w:rsidRDefault="00DC7E2E" w:rsidP="00E472BC">
      <w:pPr>
        <w:pStyle w:val="Textpoznpodarou"/>
        <w:ind w:left="284" w:hanging="284"/>
      </w:pPr>
      <w:r w:rsidRPr="00573CDB">
        <w:rPr>
          <w:rStyle w:val="Znakapoznpodarou"/>
          <w:position w:val="4"/>
          <w:sz w:val="14"/>
          <w:szCs w:val="14"/>
        </w:rPr>
        <w:footnoteRef/>
      </w:r>
      <w:r w:rsidRPr="00573CDB">
        <w:rPr>
          <w:position w:val="4"/>
          <w:sz w:val="14"/>
          <w:szCs w:val="14"/>
        </w:rPr>
        <w:tab/>
      </w:r>
      <w:r>
        <w:rPr>
          <w:sz w:val="14"/>
          <w:lang w:val="cs-CZ"/>
        </w:rPr>
        <w:t xml:space="preserve">zejména </w:t>
      </w:r>
      <w:r w:rsidRPr="00EB16B3">
        <w:rPr>
          <w:sz w:val="14"/>
        </w:rPr>
        <w:t>z. č. 21/1992 Sb.,</w:t>
      </w:r>
      <w:r>
        <w:rPr>
          <w:sz w:val="14"/>
          <w:lang w:val="cs-CZ"/>
        </w:rPr>
        <w:t xml:space="preserve"> o bankách, z. </w:t>
      </w:r>
      <w:r w:rsidRPr="00EB16B3">
        <w:rPr>
          <w:sz w:val="14"/>
        </w:rPr>
        <w:t xml:space="preserve">č. 89/2012 Sb., </w:t>
      </w:r>
      <w:r>
        <w:rPr>
          <w:sz w:val="14"/>
          <w:lang w:val="cs-CZ"/>
        </w:rPr>
        <w:t xml:space="preserve">občanský zákoník, z. </w:t>
      </w:r>
      <w:r w:rsidRPr="00EB16B3">
        <w:rPr>
          <w:sz w:val="14"/>
        </w:rPr>
        <w:t>č. 480/2004 Sb.</w:t>
      </w:r>
      <w:r>
        <w:rPr>
          <w:sz w:val="14"/>
          <w:lang w:val="cs-CZ"/>
        </w:rPr>
        <w:t xml:space="preserve">, </w:t>
      </w:r>
      <w:r w:rsidRPr="006F1BA4">
        <w:rPr>
          <w:sz w:val="14"/>
          <w:lang w:val="cs-CZ"/>
        </w:rPr>
        <w:t>o některých službách informační společnosti</w:t>
      </w:r>
      <w:r>
        <w:rPr>
          <w:sz w:val="14"/>
          <w:lang w:val="cs-CZ"/>
        </w:rPr>
        <w:t xml:space="preserve">, </w:t>
      </w:r>
      <w:r w:rsidRPr="0022107D">
        <w:rPr>
          <w:sz w:val="14"/>
          <w:szCs w:val="14"/>
        </w:rPr>
        <w:t>ve znění pozdějších předpisů</w:t>
      </w:r>
    </w:p>
  </w:footnote>
  <w:footnote w:id="17">
    <w:p w:rsidR="00DC7E2E" w:rsidRPr="006F1C2D" w:rsidRDefault="00DC7E2E" w:rsidP="00E472BC">
      <w:pPr>
        <w:pStyle w:val="Textpoznpodarou"/>
        <w:spacing w:after="40"/>
        <w:ind w:left="284" w:hanging="284"/>
        <w:rPr>
          <w:sz w:val="14"/>
          <w:szCs w:val="14"/>
        </w:rPr>
      </w:pPr>
      <w:r w:rsidRPr="006F1C2D">
        <w:rPr>
          <w:rStyle w:val="Znakapoznpodarou"/>
          <w:position w:val="4"/>
          <w:sz w:val="14"/>
          <w:szCs w:val="14"/>
        </w:rPr>
        <w:footnoteRef/>
      </w:r>
      <w:r w:rsidRPr="006F1C2D">
        <w:rPr>
          <w:position w:val="4"/>
          <w:sz w:val="14"/>
          <w:szCs w:val="14"/>
        </w:rPr>
        <w:tab/>
      </w:r>
      <w:r w:rsidRPr="00385733">
        <w:rPr>
          <w:sz w:val="14"/>
          <w:szCs w:val="14"/>
        </w:rPr>
        <w:t>z. č. 89/2012 Sb., občanský zákoník, ve znění pozdějších předpisů</w:t>
      </w:r>
    </w:p>
  </w:footnote>
  <w:footnote w:id="18">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89/2012 Sb., občanský zákoník, ve znění pozdějších předpisů</w:t>
      </w:r>
    </w:p>
  </w:footnote>
  <w:footnote w:id="19">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 261 a § 262 odst. 1 z.č. 513/1991 Sb., obchodní zákoník, ve znění pozdějších předpisů</w:t>
      </w:r>
    </w:p>
  </w:footnote>
  <w:footnote w:id="20">
    <w:p w:rsidR="00DC7E2E" w:rsidRPr="00720CB3" w:rsidRDefault="00DC7E2E" w:rsidP="00E472BC">
      <w:pPr>
        <w:pStyle w:val="Textpoznpodarou"/>
        <w:ind w:left="284" w:hanging="284"/>
        <w:jc w:val="both"/>
        <w:rPr>
          <w:sz w:val="14"/>
          <w:szCs w:val="14"/>
        </w:rPr>
      </w:pPr>
      <w:r w:rsidRPr="00573CDB">
        <w:rPr>
          <w:rStyle w:val="Znakapoznpodarou"/>
          <w:position w:val="4"/>
          <w:sz w:val="14"/>
          <w:szCs w:val="14"/>
        </w:rPr>
        <w:footnoteRef/>
      </w:r>
      <w:r>
        <w:rPr>
          <w:sz w:val="14"/>
          <w:szCs w:val="14"/>
        </w:rPr>
        <w:tab/>
      </w:r>
      <w:r w:rsidRPr="00720CB3">
        <w:rPr>
          <w:sz w:val="14"/>
          <w:szCs w:val="14"/>
        </w:rPr>
        <w:t>z. č. 229/2002 Sb., o finančním arbitrovi, ve znění pozdějších předpisů</w:t>
      </w:r>
    </w:p>
  </w:footnote>
  <w:footnote w:id="21">
    <w:p w:rsidR="00DC7E2E" w:rsidRPr="005A0069" w:rsidRDefault="00DC7E2E" w:rsidP="00E472BC">
      <w:pPr>
        <w:pStyle w:val="Textpoznpodarou"/>
        <w:spacing w:after="40"/>
        <w:ind w:left="284" w:hanging="284"/>
        <w:jc w:val="both"/>
        <w:rPr>
          <w:sz w:val="14"/>
          <w:szCs w:val="14"/>
        </w:rPr>
      </w:pPr>
      <w:r w:rsidRPr="00E472BC">
        <w:rPr>
          <w:rStyle w:val="Znakapoznpodarou"/>
          <w:position w:val="4"/>
          <w:sz w:val="14"/>
        </w:rPr>
        <w:footnoteRef/>
      </w:r>
      <w:r>
        <w:rPr>
          <w:sz w:val="14"/>
          <w:szCs w:val="14"/>
        </w:rPr>
        <w:tab/>
        <w:t xml:space="preserve">Tj. </w:t>
      </w:r>
      <w:r w:rsidRPr="007B4461">
        <w:rPr>
          <w:sz w:val="14"/>
          <w:szCs w:val="14"/>
        </w:rPr>
        <w:t>spor</w:t>
      </w:r>
      <w:r>
        <w:rPr>
          <w:sz w:val="14"/>
          <w:szCs w:val="14"/>
        </w:rPr>
        <w:t>y</w:t>
      </w:r>
      <w:r w:rsidRPr="007B4461">
        <w:rPr>
          <w:sz w:val="14"/>
          <w:szCs w:val="14"/>
        </w:rPr>
        <w:t> </w:t>
      </w:r>
      <w:r w:rsidRPr="005A0069">
        <w:rPr>
          <w:sz w:val="14"/>
          <w:szCs w:val="14"/>
        </w:rPr>
        <w:t>týkající se poskytování platebních služeb, nabízení, poskytování nebo zprostře</w:t>
      </w:r>
      <w:r w:rsidRPr="006D6C14">
        <w:rPr>
          <w:sz w:val="14"/>
          <w:szCs w:val="14"/>
        </w:rPr>
        <w:t>dkování spotřebitelského úvěru</w:t>
      </w:r>
      <w:r>
        <w:rPr>
          <w:sz w:val="14"/>
          <w:szCs w:val="14"/>
        </w:rPr>
        <w:t xml:space="preserve"> </w:t>
      </w:r>
      <w:r w:rsidRPr="005A0069">
        <w:rPr>
          <w:sz w:val="14"/>
          <w:szCs w:val="14"/>
        </w:rPr>
        <w:t>provedení směnárenského obchodu</w:t>
      </w:r>
      <w:r>
        <w:rPr>
          <w:sz w:val="14"/>
          <w:szCs w:val="14"/>
        </w:rPr>
        <w:t xml:space="preserve"> - § 1 odst. 1 </w:t>
      </w:r>
      <w:r w:rsidRPr="00720CB3">
        <w:rPr>
          <w:sz w:val="14"/>
          <w:szCs w:val="14"/>
        </w:rPr>
        <w:t>z. č. 229/2002 Sb., o finančním arbitrovi, ve znění pozdějších předpisů</w:t>
      </w:r>
      <w:r>
        <w:rPr>
          <w:sz w:val="14"/>
          <w:szCs w:val="14"/>
        </w:rPr>
        <w:t>.</w:t>
      </w:r>
    </w:p>
  </w:footnote>
  <w:footnote w:id="22">
    <w:p w:rsidR="00DC7E2E" w:rsidRPr="00087785" w:rsidRDefault="00DC7E2E" w:rsidP="00E472BC">
      <w:pPr>
        <w:pStyle w:val="Textpoznpodarou"/>
        <w:ind w:left="284" w:hanging="284"/>
        <w:jc w:val="both"/>
        <w:rPr>
          <w:sz w:val="12"/>
          <w:szCs w:val="12"/>
        </w:rPr>
      </w:pPr>
      <w:r w:rsidRPr="00E472BC">
        <w:rPr>
          <w:rStyle w:val="Znakapoznpodarou"/>
          <w:position w:val="4"/>
          <w:sz w:val="14"/>
        </w:rPr>
        <w:footnoteRef/>
      </w:r>
      <w:r>
        <w:rPr>
          <w:sz w:val="14"/>
          <w:szCs w:val="14"/>
        </w:rPr>
        <w:tab/>
      </w:r>
      <w:r w:rsidRPr="00720CB3">
        <w:rPr>
          <w:sz w:val="14"/>
          <w:szCs w:val="14"/>
        </w:rPr>
        <w:t>z. č. 89/2012 Sb., občanský zákoník, ve znění pozdějších předpisů</w:t>
      </w:r>
    </w:p>
  </w:footnote>
  <w:footnote w:id="23">
    <w:p w:rsidR="00DC7E2E" w:rsidRPr="00FF1219" w:rsidRDefault="00DC7E2E" w:rsidP="00E472BC">
      <w:pPr>
        <w:pStyle w:val="Textpoznpodarou"/>
        <w:ind w:left="284" w:hanging="284"/>
        <w:rPr>
          <w:sz w:val="14"/>
          <w:szCs w:val="14"/>
          <w:lang w:val="cs-CZ"/>
        </w:rPr>
      </w:pPr>
      <w:r w:rsidRPr="00E472BC">
        <w:rPr>
          <w:rStyle w:val="Znakapoznpodarou"/>
          <w:position w:val="4"/>
          <w:sz w:val="14"/>
          <w:szCs w:val="14"/>
        </w:rPr>
        <w:footnoteRef/>
      </w:r>
      <w:r>
        <w:rPr>
          <w:sz w:val="14"/>
          <w:szCs w:val="14"/>
        </w:rPr>
        <w:tab/>
      </w:r>
      <w:r>
        <w:rPr>
          <w:sz w:val="14"/>
          <w:szCs w:val="14"/>
          <w:lang w:val="cs-CZ"/>
        </w:rPr>
        <w:t>Směrnice Evropského parlamentu a Rady (EU) 2015/2366 o platebních službách na vnitřním trhu.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2E" w:rsidRPr="00E00829" w:rsidRDefault="00DC7E2E">
    <w:pPr>
      <w:rPr>
        <w:sz w:val="6"/>
        <w:szCs w:val="6"/>
      </w:rPr>
    </w:pPr>
  </w:p>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DC7E2E" w:rsidRPr="00EB16B3" w:rsidTr="00EB16B3">
      <w:trPr>
        <w:trHeight w:val="425"/>
      </w:trPr>
      <w:tc>
        <w:tcPr>
          <w:tcW w:w="9639" w:type="dxa"/>
          <w:shd w:val="clear" w:color="auto" w:fill="auto"/>
        </w:tcPr>
        <w:p w:rsidR="00DC7E2E" w:rsidRPr="006D393D" w:rsidRDefault="00DC7E2E" w:rsidP="00F30424">
          <w:pPr>
            <w:pStyle w:val="Zhlav"/>
            <w:rPr>
              <w:b/>
              <w:caps/>
              <w:sz w:val="28"/>
              <w:szCs w:val="22"/>
              <w:lang w:val="cs-CZ" w:eastAsia="en-US"/>
            </w:rPr>
          </w:pPr>
          <w:bookmarkStart w:id="4" w:name="S_D1_optJazykCZ_H2"/>
          <w:bookmarkStart w:id="5" w:name="cj_2"/>
          <w:r w:rsidRPr="006D393D">
            <w:rPr>
              <w:b/>
              <w:caps/>
              <w:sz w:val="28"/>
              <w:szCs w:val="22"/>
              <w:lang w:val="cs-CZ" w:eastAsia="en-US"/>
            </w:rPr>
            <w:t xml:space="preserve">VŠEOBECNÉ OBCHODNÍ PODMÍNKY </w:t>
          </w:r>
          <w:bookmarkEnd w:id="4"/>
          <w:bookmarkEnd w:id="5"/>
        </w:p>
      </w:tc>
    </w:tr>
  </w:tbl>
  <w:p w:rsidR="00DC7E2E" w:rsidRDefault="00DC7E2E" w:rsidP="00476D9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DC7E2E" w:rsidRPr="00EB16B3" w:rsidTr="009E3891">
      <w:trPr>
        <w:trHeight w:hRule="exact" w:val="283"/>
      </w:trPr>
      <w:tc>
        <w:tcPr>
          <w:tcW w:w="2084" w:type="dxa"/>
          <w:vMerge w:val="restart"/>
          <w:vAlign w:val="center"/>
        </w:tcPr>
        <w:p w:rsidR="00DC7E2E" w:rsidRPr="006D393D" w:rsidRDefault="00F30424" w:rsidP="0063799E">
          <w:pPr>
            <w:pStyle w:val="Zhlav"/>
            <w:rPr>
              <w:szCs w:val="22"/>
              <w:lang w:val="cs-CZ" w:eastAsia="en-US"/>
            </w:rPr>
          </w:pPr>
          <w:r w:rsidRPr="006D393D">
            <w:rPr>
              <w:noProof/>
              <w:szCs w:val="22"/>
              <w:lang w:val="cs-CZ" w:eastAsia="cs-CZ"/>
            </w:rPr>
            <w:drawing>
              <wp:inline distT="0" distB="0" distL="0" distR="0">
                <wp:extent cx="1314450" cy="466725"/>
                <wp:effectExtent l="0" t="0" r="0" b="9525"/>
                <wp:docPr id="1"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66725"/>
                        </a:xfrm>
                        <a:prstGeom prst="rect">
                          <a:avLst/>
                        </a:prstGeom>
                        <a:noFill/>
                        <a:ln>
                          <a:noFill/>
                        </a:ln>
                      </pic:spPr>
                    </pic:pic>
                  </a:graphicData>
                </a:graphic>
              </wp:inline>
            </w:drawing>
          </w:r>
        </w:p>
      </w:tc>
      <w:tc>
        <w:tcPr>
          <w:tcW w:w="786" w:type="dxa"/>
          <w:vAlign w:val="center"/>
        </w:tcPr>
        <w:p w:rsidR="00DC7E2E" w:rsidRPr="006D393D" w:rsidRDefault="00DC7E2E" w:rsidP="008C1233">
          <w:pPr>
            <w:pStyle w:val="Nadpis1"/>
            <w:ind w:left="425"/>
            <w:rPr>
              <w:b w:val="0"/>
              <w:caps w:val="0"/>
              <w:sz w:val="8"/>
              <w:lang w:val="cs-CZ" w:eastAsia="en-US"/>
            </w:rPr>
          </w:pPr>
        </w:p>
      </w:tc>
      <w:tc>
        <w:tcPr>
          <w:tcW w:w="786" w:type="dxa"/>
          <w:vMerge w:val="restart"/>
          <w:vAlign w:val="center"/>
        </w:tcPr>
        <w:p w:rsidR="00DC7E2E" w:rsidRPr="006D393D" w:rsidRDefault="00DC7E2E" w:rsidP="008C1233">
          <w:pPr>
            <w:pStyle w:val="Nadpis1"/>
            <w:ind w:left="425"/>
            <w:rPr>
              <w:lang w:val="cs-CZ" w:eastAsia="en-US"/>
            </w:rPr>
          </w:pPr>
        </w:p>
      </w:tc>
      <w:tc>
        <w:tcPr>
          <w:tcW w:w="5983" w:type="dxa"/>
          <w:vMerge w:val="restart"/>
          <w:vAlign w:val="center"/>
        </w:tcPr>
        <w:p w:rsidR="00DC7E2E" w:rsidRPr="00EB16B3" w:rsidRDefault="00DC7E2E" w:rsidP="00F30424">
          <w:pPr>
            <w:rPr>
              <w:b/>
              <w:caps/>
              <w:szCs w:val="18"/>
            </w:rPr>
          </w:pPr>
          <w:bookmarkStart w:id="8" w:name="S_D1_optJazykCZ_H1"/>
          <w:bookmarkStart w:id="9" w:name="cj"/>
          <w:r w:rsidRPr="00EB16B3">
            <w:rPr>
              <w:b/>
              <w:caps/>
              <w:sz w:val="28"/>
            </w:rPr>
            <w:t>VŠEOBECNÉ OBCHODNÍ PODMÍNKY</w:t>
          </w:r>
          <w:r>
            <w:rPr>
              <w:b/>
              <w:caps/>
              <w:sz w:val="28"/>
            </w:rPr>
            <w:t xml:space="preserve"> </w:t>
          </w:r>
          <w:bookmarkEnd w:id="8"/>
          <w:bookmarkEnd w:id="9"/>
        </w:p>
      </w:tc>
    </w:tr>
    <w:tr w:rsidR="00DC7E2E" w:rsidRPr="00EB16B3" w:rsidTr="009E3891">
      <w:trPr>
        <w:trHeight w:hRule="exact" w:val="363"/>
      </w:trPr>
      <w:tc>
        <w:tcPr>
          <w:tcW w:w="2084" w:type="dxa"/>
          <w:vMerge/>
          <w:vAlign w:val="center"/>
        </w:tcPr>
        <w:p w:rsidR="00DC7E2E" w:rsidRPr="006D393D" w:rsidRDefault="00DC7E2E" w:rsidP="008C1233">
          <w:pPr>
            <w:pStyle w:val="Zhlav"/>
            <w:rPr>
              <w:szCs w:val="22"/>
              <w:lang w:val="cs-CZ" w:eastAsia="en-US"/>
            </w:rPr>
          </w:pPr>
        </w:p>
      </w:tc>
      <w:tc>
        <w:tcPr>
          <w:tcW w:w="786" w:type="dxa"/>
          <w:tcBorders>
            <w:right w:val="single" w:sz="18" w:space="0" w:color="000000"/>
          </w:tcBorders>
          <w:vAlign w:val="center"/>
        </w:tcPr>
        <w:p w:rsidR="00DC7E2E" w:rsidRPr="006D393D" w:rsidRDefault="00DC7E2E" w:rsidP="008C1233">
          <w:pPr>
            <w:pStyle w:val="Nadpis1"/>
            <w:ind w:left="425"/>
            <w:rPr>
              <w:b w:val="0"/>
              <w:caps w:val="0"/>
              <w:sz w:val="8"/>
              <w:lang w:val="cs-CZ" w:eastAsia="en-US"/>
            </w:rPr>
          </w:pPr>
        </w:p>
      </w:tc>
      <w:tc>
        <w:tcPr>
          <w:tcW w:w="786" w:type="dxa"/>
          <w:vMerge/>
          <w:tcBorders>
            <w:left w:val="single" w:sz="18" w:space="0" w:color="000000"/>
          </w:tcBorders>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rsidTr="009E3891">
      <w:trPr>
        <w:trHeight w:hRule="exact" w:val="283"/>
      </w:trPr>
      <w:tc>
        <w:tcPr>
          <w:tcW w:w="2084" w:type="dxa"/>
          <w:vMerge/>
          <w:vAlign w:val="center"/>
        </w:tcPr>
        <w:p w:rsidR="00DC7E2E" w:rsidRPr="006D393D" w:rsidRDefault="00DC7E2E" w:rsidP="008C1233">
          <w:pPr>
            <w:pStyle w:val="Zhlav"/>
            <w:rPr>
              <w:szCs w:val="22"/>
              <w:lang w:val="cs-CZ" w:eastAsia="en-US"/>
            </w:rPr>
          </w:pPr>
        </w:p>
      </w:tc>
      <w:tc>
        <w:tcPr>
          <w:tcW w:w="786" w:type="dxa"/>
          <w:vAlign w:val="center"/>
        </w:tcPr>
        <w:p w:rsidR="00DC7E2E" w:rsidRPr="006D393D" w:rsidRDefault="00DC7E2E" w:rsidP="008C1233">
          <w:pPr>
            <w:pStyle w:val="Nadpis1"/>
            <w:ind w:left="425"/>
            <w:rPr>
              <w:b w:val="0"/>
              <w:caps w:val="0"/>
              <w:sz w:val="8"/>
              <w:lang w:val="cs-CZ" w:eastAsia="en-US"/>
            </w:rPr>
          </w:pPr>
        </w:p>
      </w:tc>
      <w:tc>
        <w:tcPr>
          <w:tcW w:w="786" w:type="dxa"/>
          <w:vMerge/>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rsidR="00DC7E2E" w:rsidRPr="006D393D" w:rsidRDefault="00DC7E2E" w:rsidP="00562D0E">
          <w:pPr>
            <w:pStyle w:val="Nadpis1"/>
            <w:keepLines w:val="0"/>
            <w:numPr>
              <w:ilvl w:val="0"/>
              <w:numId w:val="2"/>
            </w:numPr>
            <w:tabs>
              <w:tab w:val="num" w:pos="425"/>
            </w:tabs>
            <w:overflowPunct w:val="0"/>
            <w:autoSpaceDE w:val="0"/>
            <w:autoSpaceDN w:val="0"/>
            <w:adjustRightInd w:val="0"/>
            <w:ind w:left="425" w:hanging="425"/>
            <w:jc w:val="left"/>
            <w:textAlignment w:val="baseline"/>
            <w:rPr>
              <w:lang w:val="cs-CZ" w:eastAsia="en-US"/>
            </w:rPr>
          </w:pPr>
        </w:p>
      </w:tc>
    </w:tr>
    <w:tr w:rsidR="00DC7E2E" w:rsidRPr="00EB16B3" w:rsidTr="00EB16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rsidR="00DC7E2E" w:rsidRPr="00EB16B3" w:rsidRDefault="00DC7E2E" w:rsidP="00EB16B3">
          <w:pPr>
            <w:jc w:val="right"/>
            <w:rPr>
              <w:sz w:val="10"/>
            </w:rPr>
          </w:pPr>
        </w:p>
      </w:tc>
    </w:tr>
  </w:tbl>
  <w:p w:rsidR="00DC7E2E" w:rsidRPr="00476D95" w:rsidRDefault="00DC7E2E" w:rsidP="009E3891">
    <w:pPr>
      <w:pStyle w:val="Zhlav"/>
      <w:spacing w:line="14"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hybridMultilevel"/>
    <w:tmpl w:val="C5AAC492"/>
    <w:lvl w:ilvl="0" w:tplc="04050017">
      <w:start w:val="1"/>
      <w:numFmt w:val="lowerLetter"/>
      <w:lvlText w:val="%1)"/>
      <w:lvlJc w:val="left"/>
      <w:pPr>
        <w:ind w:left="-943" w:hanging="360"/>
      </w:pPr>
      <w:rPr>
        <w:rFonts w:ascii="Times New Roman" w:hAnsi="Times New Roman" w:cs="Times New Roman"/>
        <w:spacing w:val="0"/>
      </w:rPr>
    </w:lvl>
    <w:lvl w:ilvl="1" w:tplc="04050019">
      <w:start w:val="1"/>
      <w:numFmt w:val="lowerLetter"/>
      <w:lvlText w:val="%2."/>
      <w:lvlJc w:val="left"/>
      <w:pPr>
        <w:ind w:left="-223" w:hanging="360"/>
      </w:pPr>
      <w:rPr>
        <w:rFonts w:ascii="Times New Roman" w:hAnsi="Times New Roman" w:cs="Times New Roman"/>
        <w:spacing w:val="0"/>
      </w:rPr>
    </w:lvl>
    <w:lvl w:ilvl="2" w:tplc="0405001B">
      <w:start w:val="1"/>
      <w:numFmt w:val="lowerRoman"/>
      <w:lvlText w:val="%3."/>
      <w:lvlJc w:val="right"/>
      <w:pPr>
        <w:ind w:left="497" w:hanging="180"/>
      </w:pPr>
      <w:rPr>
        <w:rFonts w:ascii="Times New Roman" w:hAnsi="Times New Roman" w:cs="Times New Roman"/>
        <w:spacing w:val="0"/>
      </w:rPr>
    </w:lvl>
    <w:lvl w:ilvl="3" w:tplc="0405000F">
      <w:start w:val="1"/>
      <w:numFmt w:val="decimal"/>
      <w:lvlText w:val="%4."/>
      <w:lvlJc w:val="left"/>
      <w:pPr>
        <w:ind w:left="1217" w:hanging="360"/>
      </w:pPr>
      <w:rPr>
        <w:rFonts w:ascii="Times New Roman" w:hAnsi="Times New Roman" w:cs="Times New Roman"/>
        <w:spacing w:val="0"/>
      </w:rPr>
    </w:lvl>
    <w:lvl w:ilvl="4" w:tplc="04050019">
      <w:start w:val="1"/>
      <w:numFmt w:val="lowerLetter"/>
      <w:lvlText w:val="%5."/>
      <w:lvlJc w:val="left"/>
      <w:pPr>
        <w:ind w:left="1937" w:hanging="360"/>
      </w:pPr>
      <w:rPr>
        <w:rFonts w:ascii="Times New Roman" w:hAnsi="Times New Roman" w:cs="Times New Roman"/>
        <w:spacing w:val="0"/>
      </w:rPr>
    </w:lvl>
    <w:lvl w:ilvl="5" w:tplc="0405001B">
      <w:start w:val="1"/>
      <w:numFmt w:val="lowerRoman"/>
      <w:lvlText w:val="%6."/>
      <w:lvlJc w:val="right"/>
      <w:pPr>
        <w:ind w:left="2657" w:hanging="180"/>
      </w:pPr>
      <w:rPr>
        <w:rFonts w:ascii="Times New Roman" w:hAnsi="Times New Roman" w:cs="Times New Roman"/>
        <w:spacing w:val="0"/>
      </w:rPr>
    </w:lvl>
    <w:lvl w:ilvl="6" w:tplc="0405000F">
      <w:start w:val="1"/>
      <w:numFmt w:val="decimal"/>
      <w:lvlText w:val="%7."/>
      <w:lvlJc w:val="left"/>
      <w:pPr>
        <w:ind w:left="3377" w:hanging="360"/>
      </w:pPr>
      <w:rPr>
        <w:rFonts w:ascii="Times New Roman" w:hAnsi="Times New Roman" w:cs="Times New Roman"/>
        <w:spacing w:val="0"/>
      </w:rPr>
    </w:lvl>
    <w:lvl w:ilvl="7" w:tplc="04050019">
      <w:start w:val="1"/>
      <w:numFmt w:val="lowerLetter"/>
      <w:lvlText w:val="%8."/>
      <w:lvlJc w:val="left"/>
      <w:pPr>
        <w:ind w:left="4097" w:hanging="360"/>
      </w:pPr>
      <w:rPr>
        <w:rFonts w:ascii="Times New Roman" w:hAnsi="Times New Roman" w:cs="Times New Roman"/>
        <w:spacing w:val="0"/>
      </w:rPr>
    </w:lvl>
    <w:lvl w:ilvl="8" w:tplc="0405001B">
      <w:start w:val="1"/>
      <w:numFmt w:val="lowerRoman"/>
      <w:lvlText w:val="%9."/>
      <w:lvlJc w:val="right"/>
      <w:pPr>
        <w:ind w:left="4817" w:hanging="180"/>
      </w:pPr>
      <w:rPr>
        <w:rFonts w:ascii="Times New Roman" w:hAnsi="Times New Roman" w:cs="Times New Roman"/>
        <w:spacing w:val="0"/>
      </w:rPr>
    </w:lvl>
  </w:abstractNum>
  <w:abstractNum w:abstractNumId="2">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87B755C"/>
    <w:multiLevelType w:val="hybridMultilevel"/>
    <w:tmpl w:val="17380C56"/>
    <w:lvl w:ilvl="0" w:tplc="BF1AC94C">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9319F9"/>
    <w:multiLevelType w:val="hybridMultilevel"/>
    <w:tmpl w:val="62A023D4"/>
    <w:lvl w:ilvl="0" w:tplc="040A5768">
      <w:start w:val="1"/>
      <w:numFmt w:val="bullet"/>
      <w:lvlText w:val=""/>
      <w:lvlJc w:val="left"/>
      <w:pPr>
        <w:ind w:left="720" w:hanging="360"/>
      </w:pPr>
      <w:rPr>
        <w:rFonts w:ascii="Wingdings" w:hAnsi="Wingdings" w:hint="default"/>
        <w:sz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4E77A7"/>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7F2925"/>
    <w:multiLevelType w:val="hybridMultilevel"/>
    <w:tmpl w:val="789C904A"/>
    <w:lvl w:ilvl="0" w:tplc="FD7C2EC8">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nsid w:val="19F63A1A"/>
    <w:multiLevelType w:val="hybridMultilevel"/>
    <w:tmpl w:val="8EDAD30C"/>
    <w:lvl w:ilvl="0" w:tplc="04050011">
      <w:start w:val="1"/>
      <w:numFmt w:val="decimal"/>
      <w:lvlText w:val="%1)"/>
      <w:lvlJc w:val="left"/>
      <w:pPr>
        <w:ind w:left="720" w:hanging="360"/>
      </w:pPr>
      <w:rPr>
        <w:rFonts w:ascii="Times New Roman" w:hAnsi="Times New Roman" w:cs="Times New Roman"/>
      </w:rPr>
    </w:lvl>
    <w:lvl w:ilvl="1" w:tplc="FFFFFFFF">
      <w:start w:val="1"/>
      <w:numFmt w:val="bullet"/>
      <w:lvlText w:val=""/>
      <w:lvlJc w:val="left"/>
      <w:pPr>
        <w:ind w:left="1440" w:hanging="360"/>
      </w:pPr>
      <w:rPr>
        <w:rFonts w:ascii="Wingdings" w:hAnsi="Wingdings" w:cs="Times New Roman" w:hint="default"/>
        <w:sz w:val="14"/>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nsid w:val="23B7556B"/>
    <w:multiLevelType w:val="hybridMultilevel"/>
    <w:tmpl w:val="7C706530"/>
    <w:lvl w:ilvl="0" w:tplc="04050001">
      <w:start w:val="1"/>
      <w:numFmt w:val="bullet"/>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1">
    <w:nsid w:val="24F20EDE"/>
    <w:multiLevelType w:val="hybridMultilevel"/>
    <w:tmpl w:val="5A1EABA0"/>
    <w:lvl w:ilvl="0" w:tplc="1F66F6EC">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2">
    <w:nsid w:val="25E16A14"/>
    <w:multiLevelType w:val="hybridMultilevel"/>
    <w:tmpl w:val="B2F875F4"/>
    <w:lvl w:ilvl="0" w:tplc="56AED596">
      <w:start w:val="1"/>
      <w:numFmt w:val="lowerLetter"/>
      <w:lvlText w:val="%1)"/>
      <w:lvlJc w:val="left"/>
      <w:pPr>
        <w:tabs>
          <w:tab w:val="num" w:pos="0"/>
        </w:tabs>
        <w:ind w:left="-943"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CD6ABC"/>
    <w:multiLevelType w:val="multilevel"/>
    <w:tmpl w:val="DC7E8E8E"/>
    <w:lvl w:ilvl="0">
      <w:start w:val="29"/>
      <w:numFmt w:val="decimal"/>
      <w:lvlText w:val="Článek %1."/>
      <w:lvlJc w:val="left"/>
      <w:pPr>
        <w:tabs>
          <w:tab w:val="num" w:pos="1134"/>
        </w:tabs>
        <w:ind w:left="1134" w:hanging="1134"/>
      </w:pPr>
      <w:rPr>
        <w:rFonts w:ascii="Arial" w:hAnsi="Arial" w:cs="Arial" w:hint="default"/>
        <w:b/>
        <w:i w:val="0"/>
        <w:spacing w:val="0"/>
        <w:sz w:val="16"/>
        <w:szCs w:val="16"/>
      </w:rPr>
    </w:lvl>
    <w:lvl w:ilvl="1">
      <w:start w:val="1"/>
      <w:numFmt w:val="decimal"/>
      <w:lvlText w:val="%1.%2"/>
      <w:lvlJc w:val="left"/>
      <w:pPr>
        <w:tabs>
          <w:tab w:val="num" w:pos="708"/>
        </w:tabs>
        <w:ind w:left="708" w:hanging="425"/>
      </w:pPr>
      <w:rPr>
        <w:rFonts w:ascii="Arial" w:hAnsi="Arial" w:cs="Arial" w:hint="default"/>
        <w:b w:val="0"/>
        <w:i w:val="0"/>
        <w:color w:val="auto"/>
        <w:spacing w:val="0"/>
        <w:sz w:val="14"/>
        <w:szCs w:val="14"/>
      </w:rPr>
    </w:lvl>
    <w:lvl w:ilvl="2">
      <w:start w:val="1"/>
      <w:numFmt w:val="lowerLetter"/>
      <w:lvlRestart w:val="0"/>
      <w:lvlText w:val="%3)"/>
      <w:lvlJc w:val="left"/>
      <w:pPr>
        <w:tabs>
          <w:tab w:val="num" w:pos="850"/>
        </w:tabs>
        <w:ind w:left="850" w:hanging="283"/>
      </w:pPr>
      <w:rPr>
        <w:rFonts w:ascii="Arial" w:hAnsi="Arial" w:cs="Arial" w:hint="default"/>
        <w:b w:val="0"/>
        <w:i w:val="0"/>
        <w:spacing w:val="0"/>
        <w:sz w:val="14"/>
        <w:szCs w:val="14"/>
      </w:rPr>
    </w:lvl>
    <w:lvl w:ilvl="3">
      <w:start w:val="1"/>
      <w:numFmt w:val="decimal"/>
      <w:lvlText w:val="%1.%2.%3.%4"/>
      <w:lvlJc w:val="left"/>
      <w:pPr>
        <w:tabs>
          <w:tab w:val="num" w:pos="1147"/>
        </w:tabs>
        <w:ind w:left="1147" w:hanging="864"/>
      </w:pPr>
      <w:rPr>
        <w:rFonts w:ascii="Times New Roman" w:hAnsi="Times New Roman" w:cs="Times New Roman" w:hint="eastAsia"/>
        <w:spacing w:val="0"/>
      </w:rPr>
    </w:lvl>
    <w:lvl w:ilvl="4">
      <w:start w:val="1"/>
      <w:numFmt w:val="decimal"/>
      <w:lvlText w:val="%1.%2.%3.%4.%5"/>
      <w:lvlJc w:val="left"/>
      <w:pPr>
        <w:tabs>
          <w:tab w:val="num" w:pos="1291"/>
        </w:tabs>
        <w:ind w:left="1291" w:hanging="1008"/>
      </w:pPr>
      <w:rPr>
        <w:rFonts w:ascii="Times New Roman" w:hAnsi="Times New Roman" w:cs="Times New Roman" w:hint="eastAsia"/>
        <w:spacing w:val="0"/>
      </w:rPr>
    </w:lvl>
    <w:lvl w:ilvl="5">
      <w:start w:val="1"/>
      <w:numFmt w:val="decimal"/>
      <w:lvlText w:val="%1.%2.%3.%4.%5.%6"/>
      <w:lvlJc w:val="left"/>
      <w:pPr>
        <w:tabs>
          <w:tab w:val="num" w:pos="1435"/>
        </w:tabs>
        <w:ind w:left="1435" w:hanging="1152"/>
      </w:pPr>
      <w:rPr>
        <w:rFonts w:ascii="Times New Roman" w:hAnsi="Times New Roman" w:cs="Times New Roman" w:hint="eastAsia"/>
        <w:spacing w:val="0"/>
      </w:rPr>
    </w:lvl>
    <w:lvl w:ilvl="6">
      <w:start w:val="1"/>
      <w:numFmt w:val="decimal"/>
      <w:lvlText w:val="%1.%2.%3.%4.%5.%6.%7"/>
      <w:lvlJc w:val="left"/>
      <w:pPr>
        <w:tabs>
          <w:tab w:val="num" w:pos="1579"/>
        </w:tabs>
        <w:ind w:left="1579" w:hanging="1296"/>
      </w:pPr>
      <w:rPr>
        <w:rFonts w:ascii="Times New Roman" w:hAnsi="Times New Roman" w:cs="Times New Roman" w:hint="eastAsia"/>
        <w:spacing w:val="0"/>
      </w:rPr>
    </w:lvl>
    <w:lvl w:ilvl="7">
      <w:start w:val="1"/>
      <w:numFmt w:val="decimal"/>
      <w:lvlText w:val="%1.%2.%3.%4.%5.%6.%7.%8"/>
      <w:lvlJc w:val="left"/>
      <w:pPr>
        <w:tabs>
          <w:tab w:val="num" w:pos="1723"/>
        </w:tabs>
        <w:ind w:left="1723" w:hanging="1440"/>
      </w:pPr>
      <w:rPr>
        <w:rFonts w:ascii="Times New Roman" w:hAnsi="Times New Roman" w:cs="Times New Roman" w:hint="eastAsia"/>
        <w:spacing w:val="0"/>
      </w:rPr>
    </w:lvl>
    <w:lvl w:ilvl="8">
      <w:start w:val="1"/>
      <w:numFmt w:val="decimal"/>
      <w:lvlText w:val="%1.%2.%3.%4.%5.%6.%7.%8.%9"/>
      <w:lvlJc w:val="left"/>
      <w:pPr>
        <w:tabs>
          <w:tab w:val="num" w:pos="1867"/>
        </w:tabs>
        <w:ind w:left="1867" w:hanging="1584"/>
      </w:pPr>
      <w:rPr>
        <w:rFonts w:ascii="Times New Roman" w:hAnsi="Times New Roman" w:cs="Times New Roman" w:hint="eastAsia"/>
        <w:spacing w:val="0"/>
      </w:rPr>
    </w:lvl>
  </w:abstractNum>
  <w:abstractNum w:abstractNumId="14">
    <w:nsid w:val="29DB6E22"/>
    <w:multiLevelType w:val="hybridMultilevel"/>
    <w:tmpl w:val="B1185732"/>
    <w:lvl w:ilvl="0" w:tplc="B49C63BA">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5">
    <w:nsid w:val="2A745035"/>
    <w:multiLevelType w:val="hybridMultilevel"/>
    <w:tmpl w:val="683413A4"/>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EA062DF"/>
    <w:multiLevelType w:val="hybridMultilevel"/>
    <w:tmpl w:val="865055DE"/>
    <w:lvl w:ilvl="0" w:tplc="FFFFFFFF">
      <w:start w:val="1"/>
      <w:numFmt w:val="bullet"/>
      <w:lvlText w:val=""/>
      <w:legacy w:legacy="1" w:legacySpace="0" w:legacyIndent="284"/>
      <w:lvlJc w:val="left"/>
      <w:pPr>
        <w:ind w:left="284" w:hanging="284"/>
      </w:pPr>
      <w:rPr>
        <w:rFonts w:ascii="Wingdings" w:hAnsi="Wingdings" w:cs="Times New Roman" w:hint="default"/>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nsid w:val="33173241"/>
    <w:multiLevelType w:val="multilevel"/>
    <w:tmpl w:val="F8D0DC48"/>
    <w:lvl w:ilvl="0">
      <w:start w:val="1"/>
      <w:numFmt w:val="decimal"/>
      <w:lvlText w:val="Article %1."/>
      <w:lvlJc w:val="left"/>
      <w:pPr>
        <w:tabs>
          <w:tab w:val="num" w:pos="1134"/>
        </w:tabs>
        <w:ind w:left="1134" w:hanging="1134"/>
      </w:pPr>
      <w:rPr>
        <w:rFonts w:ascii="Arial" w:hAnsi="Arial" w:hint="default"/>
        <w:b/>
        <w:i w:val="0"/>
        <w:sz w:val="16"/>
        <w:szCs w:val="16"/>
      </w:rPr>
    </w:lvl>
    <w:lvl w:ilvl="1">
      <w:start w:val="1"/>
      <w:numFmt w:val="decimal"/>
      <w:lvlText w:val="%1.%2"/>
      <w:lvlJc w:val="left"/>
      <w:pPr>
        <w:tabs>
          <w:tab w:val="num" w:pos="425"/>
        </w:tabs>
        <w:ind w:left="425" w:hanging="425"/>
      </w:pPr>
      <w:rPr>
        <w:rFonts w:ascii="Arial" w:hAnsi="Arial" w:hint="default"/>
        <w:b w:val="0"/>
        <w:i w:val="0"/>
        <w:color w:val="auto"/>
        <w:sz w:val="14"/>
        <w:szCs w:val="14"/>
      </w:rPr>
    </w:lvl>
    <w:lvl w:ilvl="2">
      <w:start w:val="1"/>
      <w:numFmt w:val="lowerLetter"/>
      <w:lvlRestart w:val="1"/>
      <w:lvlText w:val="%3)"/>
      <w:lvlJc w:val="left"/>
      <w:pPr>
        <w:tabs>
          <w:tab w:val="num" w:pos="850"/>
        </w:tabs>
        <w:ind w:left="1134" w:hanging="850"/>
      </w:pPr>
      <w:rPr>
        <w:rFonts w:ascii="Arial" w:hAnsi="Arial" w:hint="default"/>
        <w:b w:val="0"/>
        <w:i w:val="0"/>
        <w:sz w:val="14"/>
        <w:szCs w:val="14"/>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8">
    <w:nsid w:val="364D6064"/>
    <w:multiLevelType w:val="hybridMultilevel"/>
    <w:tmpl w:val="683413A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B73C5B"/>
    <w:multiLevelType w:val="hybridMultilevel"/>
    <w:tmpl w:val="3CDC1392"/>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0">
    <w:nsid w:val="3D1A4C9E"/>
    <w:multiLevelType w:val="hybridMultilevel"/>
    <w:tmpl w:val="EE62B45C"/>
    <w:lvl w:ilvl="0" w:tplc="FFFFFFFF">
      <w:start w:val="1"/>
      <w:numFmt w:val="bullet"/>
      <w:lvlText w:val=""/>
      <w:lvlJc w:val="left"/>
      <w:pPr>
        <w:tabs>
          <w:tab w:val="num" w:pos="284"/>
        </w:tabs>
        <w:ind w:left="284" w:hanging="284"/>
      </w:pPr>
      <w:rPr>
        <w:rFonts w:ascii="Wingdings" w:hAnsi="Wingdings" w:cs="Times New Roman" w:hint="default"/>
        <w:b w:val="0"/>
        <w:i w:val="0"/>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1">
    <w:nsid w:val="46057C37"/>
    <w:multiLevelType w:val="hybridMultilevel"/>
    <w:tmpl w:val="90A23820"/>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2">
    <w:nsid w:val="4CAD5CC9"/>
    <w:multiLevelType w:val="hybridMultilevel"/>
    <w:tmpl w:val="B5E6D374"/>
    <w:lvl w:ilvl="0" w:tplc="117872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C838F4"/>
    <w:multiLevelType w:val="hybridMultilevel"/>
    <w:tmpl w:val="B1185732"/>
    <w:lvl w:ilvl="0" w:tplc="B49C63B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FCA487F"/>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FA6A4B"/>
    <w:multiLevelType w:val="hybridMultilevel"/>
    <w:tmpl w:val="3706656C"/>
    <w:lvl w:ilvl="0" w:tplc="04050011">
      <w:start w:val="1"/>
      <w:numFmt w:val="decimal"/>
      <w:lvlText w:val="%1)"/>
      <w:lvlJc w:val="left"/>
      <w:pPr>
        <w:ind w:left="720" w:hanging="360"/>
      </w:pPr>
      <w:rPr>
        <w:rFonts w:ascii="Times New Roman" w:hAnsi="Times New Roman" w:cs="Times New Roman"/>
      </w:rPr>
    </w:lvl>
    <w:lvl w:ilvl="1" w:tplc="6EA2949C">
      <w:start w:val="1"/>
      <w:numFmt w:val="bullet"/>
      <w:lvlText w:val=""/>
      <w:lvlJc w:val="left"/>
      <w:pPr>
        <w:ind w:left="1440" w:hanging="360"/>
      </w:pPr>
      <w:rPr>
        <w:rFonts w:ascii="Wingdings" w:hAnsi="Wingdings" w:cs="Times New Roman" w:hint="default"/>
        <w:sz w:val="22"/>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6">
    <w:nsid w:val="529D1FD6"/>
    <w:multiLevelType w:val="hybridMultilevel"/>
    <w:tmpl w:val="C5AAC492"/>
    <w:lvl w:ilvl="0" w:tplc="04050017">
      <w:start w:val="1"/>
      <w:numFmt w:val="lowerLetter"/>
      <w:lvlText w:val="%1)"/>
      <w:lvlJc w:val="left"/>
      <w:pPr>
        <w:ind w:left="-943" w:hanging="360"/>
      </w:p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27">
    <w:nsid w:val="566F2D1C"/>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29">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30">
    <w:nsid w:val="5D084E3A"/>
    <w:multiLevelType w:val="hybridMultilevel"/>
    <w:tmpl w:val="A912BFB4"/>
    <w:lvl w:ilvl="0" w:tplc="6EA2949C">
      <w:start w:val="1"/>
      <w:numFmt w:val="bullet"/>
      <w:lvlText w:val=""/>
      <w:lvlJc w:val="left"/>
      <w:pPr>
        <w:ind w:left="720" w:hanging="360"/>
      </w:pPr>
      <w:rPr>
        <w:rFonts w:ascii="Wingdings" w:hAnsi="Wingdings"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31">
    <w:nsid w:val="5ECC7914"/>
    <w:multiLevelType w:val="hybridMultilevel"/>
    <w:tmpl w:val="7CB83F2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2">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ED41316"/>
    <w:multiLevelType w:val="hybridMultilevel"/>
    <w:tmpl w:val="F86250AE"/>
    <w:lvl w:ilvl="0" w:tplc="04050011">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5">
    <w:nsid w:val="70DE4D7F"/>
    <w:multiLevelType w:val="hybridMultilevel"/>
    <w:tmpl w:val="CF1E48B2"/>
    <w:lvl w:ilvl="0" w:tplc="FFFFFFFF">
      <w:start w:val="1"/>
      <w:numFmt w:val="lowerRoman"/>
      <w:lvlText w:val="%1)"/>
      <w:lvlJc w:val="left"/>
      <w:pPr>
        <w:tabs>
          <w:tab w:val="num" w:pos="1429"/>
        </w:tabs>
        <w:ind w:left="1429" w:hanging="72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36">
    <w:nsid w:val="711D277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B3117B"/>
    <w:multiLevelType w:val="hybridMultilevel"/>
    <w:tmpl w:val="9FEA41E4"/>
    <w:lvl w:ilvl="0" w:tplc="BFD60CCA">
      <w:start w:val="1"/>
      <w:numFmt w:val="lowerRoman"/>
      <w:lvlText w:val="%1)"/>
      <w:lvlJc w:val="left"/>
      <w:pPr>
        <w:tabs>
          <w:tab w:val="num" w:pos="1429"/>
        </w:tabs>
        <w:ind w:left="1429" w:hanging="72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38">
    <w:nsid w:val="73E73682"/>
    <w:multiLevelType w:val="hybridMultilevel"/>
    <w:tmpl w:val="B746714E"/>
    <w:lvl w:ilvl="0" w:tplc="D8326E96">
      <w:start w:val="1"/>
      <w:numFmt w:val="lowerRoman"/>
      <w:lvlText w:val="%1)"/>
      <w:lvlJc w:val="left"/>
      <w:pPr>
        <w:tabs>
          <w:tab w:val="num" w:pos="1429"/>
        </w:tabs>
        <w:ind w:left="1429" w:hanging="72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9">
    <w:nsid w:val="7F774964"/>
    <w:multiLevelType w:val="hybridMultilevel"/>
    <w:tmpl w:val="A9D019BA"/>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5"/>
  </w:num>
  <w:num w:numId="2">
    <w:abstractNumId w:val="28"/>
  </w:num>
  <w:num w:numId="3">
    <w:abstractNumId w:val="36"/>
  </w:num>
  <w:num w:numId="4">
    <w:abstractNumId w:val="22"/>
  </w:num>
  <w:num w:numId="5">
    <w:abstractNumId w:val="33"/>
  </w:num>
  <w:num w:numId="6">
    <w:abstractNumId w:val="7"/>
  </w:num>
  <w:num w:numId="7">
    <w:abstractNumId w:val="18"/>
  </w:num>
  <w:num w:numId="8">
    <w:abstractNumId w:val="27"/>
  </w:num>
  <w:num w:numId="9">
    <w:abstractNumId w:val="21"/>
  </w:num>
  <w:num w:numId="10">
    <w:abstractNumId w:val="3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5"/>
  </w:num>
  <w:num w:numId="14">
    <w:abstractNumId w:val="37"/>
  </w:num>
  <w:num w:numId="15">
    <w:abstractNumId w:val="38"/>
  </w:num>
  <w:num w:numId="16">
    <w:abstractNumId w:val="31"/>
  </w:num>
  <w:num w:numId="17">
    <w:abstractNumId w:val="20"/>
  </w:num>
  <w:num w:numId="18">
    <w:abstractNumId w:val="16"/>
  </w:num>
  <w:num w:numId="19">
    <w:abstractNumId w:val="3"/>
  </w:num>
  <w:num w:numId="20">
    <w:abstractNumId w:val="8"/>
  </w:num>
  <w:num w:numId="21">
    <w:abstractNumId w:val="14"/>
  </w:num>
  <w:num w:numId="22">
    <w:abstractNumId w:val="13"/>
  </w:num>
  <w:num w:numId="23">
    <w:abstractNumId w:val="10"/>
  </w:num>
  <w:num w:numId="24">
    <w:abstractNumId w:val="34"/>
  </w:num>
  <w:num w:numId="25">
    <w:abstractNumId w:val="9"/>
  </w:num>
  <w:num w:numId="26">
    <w:abstractNumId w:val="25"/>
  </w:num>
  <w:num w:numId="27">
    <w:abstractNumId w:val="19"/>
  </w:num>
  <w:num w:numId="28">
    <w:abstractNumId w:val="1"/>
  </w:num>
  <w:num w:numId="29">
    <w:abstractNumId w:val="17"/>
  </w:num>
  <w:num w:numId="30">
    <w:abstractNumId w:val="0"/>
  </w:num>
  <w:num w:numId="31">
    <w:abstractNumId w:val="29"/>
  </w:num>
  <w:num w:numId="32">
    <w:abstractNumId w:val="12"/>
  </w:num>
  <w:num w:numId="33">
    <w:abstractNumId w:val="26"/>
  </w:num>
  <w:num w:numId="34">
    <w:abstractNumId w:val="4"/>
  </w:num>
  <w:num w:numId="35">
    <w:abstractNumId w:val="32"/>
  </w:num>
  <w:num w:numId="36">
    <w:abstractNumId w:val="15"/>
  </w:num>
  <w:num w:numId="37">
    <w:abstractNumId w:val="6"/>
  </w:num>
  <w:num w:numId="38">
    <w:abstractNumId w:val="11"/>
  </w:num>
  <w:num w:numId="39">
    <w:abstractNumId w:val="24"/>
  </w:num>
  <w:num w:numId="40">
    <w:abstractNumId w:val="23"/>
  </w:num>
  <w:num w:numId="4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formatting="1" w:enforcement="1" w:cryptProviderType="rsaAES" w:cryptAlgorithmClass="hash" w:cryptAlgorithmType="typeAny" w:cryptAlgorithmSid="14" w:cryptSpinCount="100000" w:hash="ce/JH4lh6NA8Z3/I5UUGuhs1IfNfWIpZG7zB1kxQ0Yj1dBJL/tmhSsa3TseYvvd6ZS2V79utXmkYL4ebHnI4zA==" w:salt="KRKs1Scj8dAtqIz/lDTteQ=="/>
  <w:defaultTabStop w:val="709"/>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24"/>
    <w:rsid w:val="00001284"/>
    <w:rsid w:val="000022FB"/>
    <w:rsid w:val="00006778"/>
    <w:rsid w:val="00007B0F"/>
    <w:rsid w:val="0001115C"/>
    <w:rsid w:val="00011276"/>
    <w:rsid w:val="00011896"/>
    <w:rsid w:val="00013673"/>
    <w:rsid w:val="000206EC"/>
    <w:rsid w:val="00027090"/>
    <w:rsid w:val="00030516"/>
    <w:rsid w:val="00031CE1"/>
    <w:rsid w:val="000320C8"/>
    <w:rsid w:val="00036570"/>
    <w:rsid w:val="00036FE1"/>
    <w:rsid w:val="00045359"/>
    <w:rsid w:val="00045821"/>
    <w:rsid w:val="000507EA"/>
    <w:rsid w:val="000551B1"/>
    <w:rsid w:val="0006104F"/>
    <w:rsid w:val="000626A8"/>
    <w:rsid w:val="000626FF"/>
    <w:rsid w:val="00062A4C"/>
    <w:rsid w:val="00062FA0"/>
    <w:rsid w:val="00066F69"/>
    <w:rsid w:val="00067AAC"/>
    <w:rsid w:val="000758FD"/>
    <w:rsid w:val="00081592"/>
    <w:rsid w:val="00081838"/>
    <w:rsid w:val="00081D9C"/>
    <w:rsid w:val="0008632B"/>
    <w:rsid w:val="00092763"/>
    <w:rsid w:val="0009323A"/>
    <w:rsid w:val="00093307"/>
    <w:rsid w:val="00094463"/>
    <w:rsid w:val="00095407"/>
    <w:rsid w:val="00095797"/>
    <w:rsid w:val="00096454"/>
    <w:rsid w:val="000979FF"/>
    <w:rsid w:val="000A3575"/>
    <w:rsid w:val="000A38D3"/>
    <w:rsid w:val="000B1E46"/>
    <w:rsid w:val="000B4993"/>
    <w:rsid w:val="000C26BC"/>
    <w:rsid w:val="000C69F2"/>
    <w:rsid w:val="000C6B99"/>
    <w:rsid w:val="000D39A4"/>
    <w:rsid w:val="000D4FD5"/>
    <w:rsid w:val="000D7206"/>
    <w:rsid w:val="000E329A"/>
    <w:rsid w:val="000F3F94"/>
    <w:rsid w:val="000F4905"/>
    <w:rsid w:val="00101929"/>
    <w:rsid w:val="001054BB"/>
    <w:rsid w:val="00113411"/>
    <w:rsid w:val="001160C1"/>
    <w:rsid w:val="00120C5B"/>
    <w:rsid w:val="001218C0"/>
    <w:rsid w:val="0012226A"/>
    <w:rsid w:val="00122FFB"/>
    <w:rsid w:val="00126045"/>
    <w:rsid w:val="00126E3E"/>
    <w:rsid w:val="00131DB1"/>
    <w:rsid w:val="00133142"/>
    <w:rsid w:val="001344E6"/>
    <w:rsid w:val="00134666"/>
    <w:rsid w:val="001424D1"/>
    <w:rsid w:val="0014297D"/>
    <w:rsid w:val="001431BF"/>
    <w:rsid w:val="00145997"/>
    <w:rsid w:val="0014617E"/>
    <w:rsid w:val="0015385D"/>
    <w:rsid w:val="001544D7"/>
    <w:rsid w:val="00156812"/>
    <w:rsid w:val="001570AA"/>
    <w:rsid w:val="0015724E"/>
    <w:rsid w:val="001655F1"/>
    <w:rsid w:val="00167A5E"/>
    <w:rsid w:val="00170AAD"/>
    <w:rsid w:val="001715A5"/>
    <w:rsid w:val="00173DBD"/>
    <w:rsid w:val="00173E5E"/>
    <w:rsid w:val="00182DA9"/>
    <w:rsid w:val="00184ED6"/>
    <w:rsid w:val="00190D5B"/>
    <w:rsid w:val="0019696E"/>
    <w:rsid w:val="001A2688"/>
    <w:rsid w:val="001A2BB9"/>
    <w:rsid w:val="001A696A"/>
    <w:rsid w:val="001B26EC"/>
    <w:rsid w:val="001B5814"/>
    <w:rsid w:val="001C4B36"/>
    <w:rsid w:val="001C5096"/>
    <w:rsid w:val="001C5345"/>
    <w:rsid w:val="001C5502"/>
    <w:rsid w:val="001C6C79"/>
    <w:rsid w:val="001C6D87"/>
    <w:rsid w:val="001D289D"/>
    <w:rsid w:val="001D5292"/>
    <w:rsid w:val="001D652C"/>
    <w:rsid w:val="001D69A0"/>
    <w:rsid w:val="001E23FA"/>
    <w:rsid w:val="001E2472"/>
    <w:rsid w:val="001F0A40"/>
    <w:rsid w:val="001F321B"/>
    <w:rsid w:val="001F4008"/>
    <w:rsid w:val="001F7ECE"/>
    <w:rsid w:val="00205ED3"/>
    <w:rsid w:val="002109C1"/>
    <w:rsid w:val="00214DBB"/>
    <w:rsid w:val="00225654"/>
    <w:rsid w:val="00230C25"/>
    <w:rsid w:val="00231099"/>
    <w:rsid w:val="002372AC"/>
    <w:rsid w:val="00237EEB"/>
    <w:rsid w:val="0024183A"/>
    <w:rsid w:val="00250019"/>
    <w:rsid w:val="0025033D"/>
    <w:rsid w:val="00262F84"/>
    <w:rsid w:val="00265311"/>
    <w:rsid w:val="002656A0"/>
    <w:rsid w:val="002727FA"/>
    <w:rsid w:val="00274E88"/>
    <w:rsid w:val="00275C18"/>
    <w:rsid w:val="0028121D"/>
    <w:rsid w:val="00283D78"/>
    <w:rsid w:val="00283F77"/>
    <w:rsid w:val="0028410F"/>
    <w:rsid w:val="002842EA"/>
    <w:rsid w:val="0028680C"/>
    <w:rsid w:val="002A17F5"/>
    <w:rsid w:val="002A3043"/>
    <w:rsid w:val="002A4177"/>
    <w:rsid w:val="002A569F"/>
    <w:rsid w:val="002B35FA"/>
    <w:rsid w:val="002B40E7"/>
    <w:rsid w:val="002B7A5F"/>
    <w:rsid w:val="002C0748"/>
    <w:rsid w:val="002C6C45"/>
    <w:rsid w:val="002D1ED6"/>
    <w:rsid w:val="002D5B61"/>
    <w:rsid w:val="002D7143"/>
    <w:rsid w:val="002E20CC"/>
    <w:rsid w:val="002E3DCD"/>
    <w:rsid w:val="002E776E"/>
    <w:rsid w:val="002F43BF"/>
    <w:rsid w:val="002F6173"/>
    <w:rsid w:val="002F7E3C"/>
    <w:rsid w:val="00301C1E"/>
    <w:rsid w:val="00314260"/>
    <w:rsid w:val="00314AD3"/>
    <w:rsid w:val="00320573"/>
    <w:rsid w:val="00321850"/>
    <w:rsid w:val="00323EED"/>
    <w:rsid w:val="003304EA"/>
    <w:rsid w:val="003346EA"/>
    <w:rsid w:val="00346FA1"/>
    <w:rsid w:val="00353496"/>
    <w:rsid w:val="0036191D"/>
    <w:rsid w:val="003624B9"/>
    <w:rsid w:val="00365AE0"/>
    <w:rsid w:val="00376438"/>
    <w:rsid w:val="003800A1"/>
    <w:rsid w:val="00384C43"/>
    <w:rsid w:val="00385733"/>
    <w:rsid w:val="00391537"/>
    <w:rsid w:val="00391645"/>
    <w:rsid w:val="003922E8"/>
    <w:rsid w:val="00392C57"/>
    <w:rsid w:val="003950F4"/>
    <w:rsid w:val="00395806"/>
    <w:rsid w:val="003A31F2"/>
    <w:rsid w:val="003B15E2"/>
    <w:rsid w:val="003B1C04"/>
    <w:rsid w:val="003B3A84"/>
    <w:rsid w:val="003B5C8E"/>
    <w:rsid w:val="003C1372"/>
    <w:rsid w:val="003C17B9"/>
    <w:rsid w:val="003C22A5"/>
    <w:rsid w:val="003D14AE"/>
    <w:rsid w:val="003D3605"/>
    <w:rsid w:val="003E0398"/>
    <w:rsid w:val="003E16D6"/>
    <w:rsid w:val="003E1E92"/>
    <w:rsid w:val="003E30EC"/>
    <w:rsid w:val="003E40D2"/>
    <w:rsid w:val="003E70D8"/>
    <w:rsid w:val="003F2067"/>
    <w:rsid w:val="003F44AB"/>
    <w:rsid w:val="00404E0A"/>
    <w:rsid w:val="0040623B"/>
    <w:rsid w:val="0041154B"/>
    <w:rsid w:val="00425C7B"/>
    <w:rsid w:val="00431BBF"/>
    <w:rsid w:val="0044212E"/>
    <w:rsid w:val="004421E5"/>
    <w:rsid w:val="00453CEF"/>
    <w:rsid w:val="004541F1"/>
    <w:rsid w:val="004607B2"/>
    <w:rsid w:val="00462D9C"/>
    <w:rsid w:val="00466DD7"/>
    <w:rsid w:val="00473FD1"/>
    <w:rsid w:val="00476D95"/>
    <w:rsid w:val="00477D46"/>
    <w:rsid w:val="00481C81"/>
    <w:rsid w:val="004836BD"/>
    <w:rsid w:val="00486001"/>
    <w:rsid w:val="004906DD"/>
    <w:rsid w:val="00490C74"/>
    <w:rsid w:val="00491A59"/>
    <w:rsid w:val="004B5D00"/>
    <w:rsid w:val="004C0202"/>
    <w:rsid w:val="004C079C"/>
    <w:rsid w:val="004C43F0"/>
    <w:rsid w:val="004C5DF9"/>
    <w:rsid w:val="004C630F"/>
    <w:rsid w:val="004C75F4"/>
    <w:rsid w:val="004D181E"/>
    <w:rsid w:val="004D255A"/>
    <w:rsid w:val="004D2EE9"/>
    <w:rsid w:val="004D3F8B"/>
    <w:rsid w:val="004D4B1E"/>
    <w:rsid w:val="004E5B91"/>
    <w:rsid w:val="004E5B9E"/>
    <w:rsid w:val="004E7A09"/>
    <w:rsid w:val="004F475E"/>
    <w:rsid w:val="004F5B0D"/>
    <w:rsid w:val="004F5D08"/>
    <w:rsid w:val="005038F5"/>
    <w:rsid w:val="00505455"/>
    <w:rsid w:val="00512D5C"/>
    <w:rsid w:val="0051698B"/>
    <w:rsid w:val="005207C2"/>
    <w:rsid w:val="00520CB1"/>
    <w:rsid w:val="0052517C"/>
    <w:rsid w:val="005251C3"/>
    <w:rsid w:val="00527618"/>
    <w:rsid w:val="00530345"/>
    <w:rsid w:val="00532C17"/>
    <w:rsid w:val="00535F97"/>
    <w:rsid w:val="00536260"/>
    <w:rsid w:val="0053640B"/>
    <w:rsid w:val="00536F9B"/>
    <w:rsid w:val="005442B5"/>
    <w:rsid w:val="00544CAA"/>
    <w:rsid w:val="00545EE1"/>
    <w:rsid w:val="00550AC3"/>
    <w:rsid w:val="00551A84"/>
    <w:rsid w:val="00552EF7"/>
    <w:rsid w:val="00554611"/>
    <w:rsid w:val="00561F91"/>
    <w:rsid w:val="00562D0E"/>
    <w:rsid w:val="005640ED"/>
    <w:rsid w:val="00565E76"/>
    <w:rsid w:val="00566189"/>
    <w:rsid w:val="005735B3"/>
    <w:rsid w:val="0057423D"/>
    <w:rsid w:val="00584057"/>
    <w:rsid w:val="00586AFC"/>
    <w:rsid w:val="00587641"/>
    <w:rsid w:val="00590039"/>
    <w:rsid w:val="00591D95"/>
    <w:rsid w:val="00591F90"/>
    <w:rsid w:val="00592F20"/>
    <w:rsid w:val="00595E95"/>
    <w:rsid w:val="005A383F"/>
    <w:rsid w:val="005B0C5B"/>
    <w:rsid w:val="005B1CEA"/>
    <w:rsid w:val="005B3BD1"/>
    <w:rsid w:val="005B43E8"/>
    <w:rsid w:val="005B5520"/>
    <w:rsid w:val="005B5D1B"/>
    <w:rsid w:val="005C365F"/>
    <w:rsid w:val="005C3850"/>
    <w:rsid w:val="005C3950"/>
    <w:rsid w:val="005C3BB1"/>
    <w:rsid w:val="005C47B2"/>
    <w:rsid w:val="005C47CC"/>
    <w:rsid w:val="005C4B62"/>
    <w:rsid w:val="005D6E7E"/>
    <w:rsid w:val="005E09D3"/>
    <w:rsid w:val="005E2575"/>
    <w:rsid w:val="005E4880"/>
    <w:rsid w:val="005E4B7A"/>
    <w:rsid w:val="005E7464"/>
    <w:rsid w:val="005F2607"/>
    <w:rsid w:val="005F36EF"/>
    <w:rsid w:val="005F61AA"/>
    <w:rsid w:val="005F72D7"/>
    <w:rsid w:val="005F7D35"/>
    <w:rsid w:val="00610555"/>
    <w:rsid w:val="00612083"/>
    <w:rsid w:val="006148D2"/>
    <w:rsid w:val="00616ACE"/>
    <w:rsid w:val="00617108"/>
    <w:rsid w:val="00620C66"/>
    <w:rsid w:val="00621761"/>
    <w:rsid w:val="00621DE6"/>
    <w:rsid w:val="00624962"/>
    <w:rsid w:val="0063005E"/>
    <w:rsid w:val="00635E9C"/>
    <w:rsid w:val="0063799E"/>
    <w:rsid w:val="006438FC"/>
    <w:rsid w:val="00644AF6"/>
    <w:rsid w:val="006456C1"/>
    <w:rsid w:val="00647F91"/>
    <w:rsid w:val="00647FE9"/>
    <w:rsid w:val="00654361"/>
    <w:rsid w:val="00655E78"/>
    <w:rsid w:val="00665E2E"/>
    <w:rsid w:val="00677811"/>
    <w:rsid w:val="0068467C"/>
    <w:rsid w:val="0068744B"/>
    <w:rsid w:val="006919DD"/>
    <w:rsid w:val="00692E1E"/>
    <w:rsid w:val="0069420D"/>
    <w:rsid w:val="00697214"/>
    <w:rsid w:val="006A55C4"/>
    <w:rsid w:val="006A5C74"/>
    <w:rsid w:val="006B2A95"/>
    <w:rsid w:val="006B7813"/>
    <w:rsid w:val="006C0A8E"/>
    <w:rsid w:val="006C4CFF"/>
    <w:rsid w:val="006D1407"/>
    <w:rsid w:val="006D393D"/>
    <w:rsid w:val="006D3D37"/>
    <w:rsid w:val="006D636E"/>
    <w:rsid w:val="006E1087"/>
    <w:rsid w:val="006E10FC"/>
    <w:rsid w:val="006E1B1F"/>
    <w:rsid w:val="006E59EF"/>
    <w:rsid w:val="006E6E49"/>
    <w:rsid w:val="006F1916"/>
    <w:rsid w:val="006F1C2D"/>
    <w:rsid w:val="006F7253"/>
    <w:rsid w:val="007020D9"/>
    <w:rsid w:val="007107ED"/>
    <w:rsid w:val="00710E70"/>
    <w:rsid w:val="00710EA8"/>
    <w:rsid w:val="00712860"/>
    <w:rsid w:val="00712C7C"/>
    <w:rsid w:val="00714C25"/>
    <w:rsid w:val="007166B7"/>
    <w:rsid w:val="00721A77"/>
    <w:rsid w:val="00724329"/>
    <w:rsid w:val="00735B68"/>
    <w:rsid w:val="00736079"/>
    <w:rsid w:val="00743741"/>
    <w:rsid w:val="0074515D"/>
    <w:rsid w:val="0074526C"/>
    <w:rsid w:val="00750E2B"/>
    <w:rsid w:val="00750EFB"/>
    <w:rsid w:val="00752003"/>
    <w:rsid w:val="007538ED"/>
    <w:rsid w:val="00754679"/>
    <w:rsid w:val="00755067"/>
    <w:rsid w:val="00764F85"/>
    <w:rsid w:val="0076673F"/>
    <w:rsid w:val="007724CA"/>
    <w:rsid w:val="00772DCE"/>
    <w:rsid w:val="00776F8A"/>
    <w:rsid w:val="00776FC3"/>
    <w:rsid w:val="007777FE"/>
    <w:rsid w:val="007820C6"/>
    <w:rsid w:val="00782AEC"/>
    <w:rsid w:val="0079234D"/>
    <w:rsid w:val="00794F42"/>
    <w:rsid w:val="007A2835"/>
    <w:rsid w:val="007A4121"/>
    <w:rsid w:val="007A6650"/>
    <w:rsid w:val="007A72D1"/>
    <w:rsid w:val="007B417F"/>
    <w:rsid w:val="007B4BAE"/>
    <w:rsid w:val="007C00FC"/>
    <w:rsid w:val="007C7124"/>
    <w:rsid w:val="007D31AB"/>
    <w:rsid w:val="007D65C4"/>
    <w:rsid w:val="007D699D"/>
    <w:rsid w:val="007E5D92"/>
    <w:rsid w:val="007E7C69"/>
    <w:rsid w:val="007F2818"/>
    <w:rsid w:val="007F2C79"/>
    <w:rsid w:val="00804871"/>
    <w:rsid w:val="008066F7"/>
    <w:rsid w:val="008067E6"/>
    <w:rsid w:val="00807048"/>
    <w:rsid w:val="00810010"/>
    <w:rsid w:val="00810984"/>
    <w:rsid w:val="00811DEC"/>
    <w:rsid w:val="00820B33"/>
    <w:rsid w:val="00821293"/>
    <w:rsid w:val="00824061"/>
    <w:rsid w:val="00824D0E"/>
    <w:rsid w:val="008251F9"/>
    <w:rsid w:val="00832FAD"/>
    <w:rsid w:val="008346DE"/>
    <w:rsid w:val="00835FA2"/>
    <w:rsid w:val="00836D51"/>
    <w:rsid w:val="00837E8E"/>
    <w:rsid w:val="00842464"/>
    <w:rsid w:val="008430C5"/>
    <w:rsid w:val="00844DB6"/>
    <w:rsid w:val="008452D6"/>
    <w:rsid w:val="0084688D"/>
    <w:rsid w:val="00847405"/>
    <w:rsid w:val="008502AB"/>
    <w:rsid w:val="00851224"/>
    <w:rsid w:val="00851250"/>
    <w:rsid w:val="00854884"/>
    <w:rsid w:val="008565CF"/>
    <w:rsid w:val="0086137C"/>
    <w:rsid w:val="00866F9A"/>
    <w:rsid w:val="00866FFB"/>
    <w:rsid w:val="00867037"/>
    <w:rsid w:val="00872A55"/>
    <w:rsid w:val="008730FD"/>
    <w:rsid w:val="0087491E"/>
    <w:rsid w:val="0087632A"/>
    <w:rsid w:val="0087634A"/>
    <w:rsid w:val="00880785"/>
    <w:rsid w:val="00882672"/>
    <w:rsid w:val="008846A9"/>
    <w:rsid w:val="008868C5"/>
    <w:rsid w:val="00886CF7"/>
    <w:rsid w:val="008A1D52"/>
    <w:rsid w:val="008A3C6C"/>
    <w:rsid w:val="008A5645"/>
    <w:rsid w:val="008A7606"/>
    <w:rsid w:val="008B5374"/>
    <w:rsid w:val="008C032F"/>
    <w:rsid w:val="008C1233"/>
    <w:rsid w:val="008C4E55"/>
    <w:rsid w:val="008C5E34"/>
    <w:rsid w:val="008C7B10"/>
    <w:rsid w:val="008D52CC"/>
    <w:rsid w:val="008D6C18"/>
    <w:rsid w:val="008E1D30"/>
    <w:rsid w:val="008E5606"/>
    <w:rsid w:val="008E560B"/>
    <w:rsid w:val="008E5E8B"/>
    <w:rsid w:val="008F03E8"/>
    <w:rsid w:val="008F376D"/>
    <w:rsid w:val="00905F1F"/>
    <w:rsid w:val="00906136"/>
    <w:rsid w:val="0091058C"/>
    <w:rsid w:val="009179E9"/>
    <w:rsid w:val="00923635"/>
    <w:rsid w:val="009356E1"/>
    <w:rsid w:val="00935FD9"/>
    <w:rsid w:val="00942EE1"/>
    <w:rsid w:val="00944187"/>
    <w:rsid w:val="00944A31"/>
    <w:rsid w:val="00947459"/>
    <w:rsid w:val="009528A2"/>
    <w:rsid w:val="009603F6"/>
    <w:rsid w:val="00960553"/>
    <w:rsid w:val="00961EF0"/>
    <w:rsid w:val="00972327"/>
    <w:rsid w:val="00977078"/>
    <w:rsid w:val="009835DC"/>
    <w:rsid w:val="00983DF6"/>
    <w:rsid w:val="00985767"/>
    <w:rsid w:val="00994111"/>
    <w:rsid w:val="0099488F"/>
    <w:rsid w:val="009974BF"/>
    <w:rsid w:val="009B0D1B"/>
    <w:rsid w:val="009B1AF2"/>
    <w:rsid w:val="009C66E0"/>
    <w:rsid w:val="009C6C22"/>
    <w:rsid w:val="009D128E"/>
    <w:rsid w:val="009D6280"/>
    <w:rsid w:val="009D7EFD"/>
    <w:rsid w:val="009E3891"/>
    <w:rsid w:val="009F315F"/>
    <w:rsid w:val="009F377B"/>
    <w:rsid w:val="00A001DB"/>
    <w:rsid w:val="00A005B1"/>
    <w:rsid w:val="00A00D1C"/>
    <w:rsid w:val="00A010CD"/>
    <w:rsid w:val="00A05F9A"/>
    <w:rsid w:val="00A07937"/>
    <w:rsid w:val="00A12994"/>
    <w:rsid w:val="00A171A6"/>
    <w:rsid w:val="00A23369"/>
    <w:rsid w:val="00A2415D"/>
    <w:rsid w:val="00A27CE0"/>
    <w:rsid w:val="00A334B1"/>
    <w:rsid w:val="00A36C2B"/>
    <w:rsid w:val="00A4033D"/>
    <w:rsid w:val="00A43D96"/>
    <w:rsid w:val="00A468FF"/>
    <w:rsid w:val="00A61BC8"/>
    <w:rsid w:val="00A731CA"/>
    <w:rsid w:val="00A7350A"/>
    <w:rsid w:val="00A75606"/>
    <w:rsid w:val="00A818D7"/>
    <w:rsid w:val="00A8536D"/>
    <w:rsid w:val="00AA0CF5"/>
    <w:rsid w:val="00AA1D91"/>
    <w:rsid w:val="00AA7B3F"/>
    <w:rsid w:val="00AB5BE8"/>
    <w:rsid w:val="00AB6111"/>
    <w:rsid w:val="00AC64D6"/>
    <w:rsid w:val="00AC703F"/>
    <w:rsid w:val="00AD7733"/>
    <w:rsid w:val="00AD7BB7"/>
    <w:rsid w:val="00AE37C5"/>
    <w:rsid w:val="00AE432D"/>
    <w:rsid w:val="00AE4DDE"/>
    <w:rsid w:val="00AE613A"/>
    <w:rsid w:val="00AE61ED"/>
    <w:rsid w:val="00AE628E"/>
    <w:rsid w:val="00AE7689"/>
    <w:rsid w:val="00AE76E6"/>
    <w:rsid w:val="00AF4940"/>
    <w:rsid w:val="00AF5459"/>
    <w:rsid w:val="00B043A9"/>
    <w:rsid w:val="00B04AE3"/>
    <w:rsid w:val="00B1499E"/>
    <w:rsid w:val="00B15418"/>
    <w:rsid w:val="00B16F79"/>
    <w:rsid w:val="00B17C1D"/>
    <w:rsid w:val="00B23ED3"/>
    <w:rsid w:val="00B25523"/>
    <w:rsid w:val="00B30ADB"/>
    <w:rsid w:val="00B31020"/>
    <w:rsid w:val="00B33405"/>
    <w:rsid w:val="00B41C5C"/>
    <w:rsid w:val="00B435EB"/>
    <w:rsid w:val="00B4430E"/>
    <w:rsid w:val="00B459B1"/>
    <w:rsid w:val="00B46E36"/>
    <w:rsid w:val="00B5133B"/>
    <w:rsid w:val="00B53121"/>
    <w:rsid w:val="00B54FFC"/>
    <w:rsid w:val="00B576DE"/>
    <w:rsid w:val="00B57AF7"/>
    <w:rsid w:val="00B65005"/>
    <w:rsid w:val="00B70AB5"/>
    <w:rsid w:val="00B82F7E"/>
    <w:rsid w:val="00B835B7"/>
    <w:rsid w:val="00B84816"/>
    <w:rsid w:val="00B9400C"/>
    <w:rsid w:val="00B94078"/>
    <w:rsid w:val="00B943CB"/>
    <w:rsid w:val="00B972BB"/>
    <w:rsid w:val="00BA31F9"/>
    <w:rsid w:val="00BB1A67"/>
    <w:rsid w:val="00BB36C7"/>
    <w:rsid w:val="00BB3B44"/>
    <w:rsid w:val="00BB6E88"/>
    <w:rsid w:val="00BC1B5F"/>
    <w:rsid w:val="00BC1E9D"/>
    <w:rsid w:val="00BC29AC"/>
    <w:rsid w:val="00BC3873"/>
    <w:rsid w:val="00BC5347"/>
    <w:rsid w:val="00BC6616"/>
    <w:rsid w:val="00BC790F"/>
    <w:rsid w:val="00BD3EFF"/>
    <w:rsid w:val="00BE2726"/>
    <w:rsid w:val="00BE5EF3"/>
    <w:rsid w:val="00BF14FF"/>
    <w:rsid w:val="00BF2120"/>
    <w:rsid w:val="00BF2198"/>
    <w:rsid w:val="00BF26E1"/>
    <w:rsid w:val="00BF45DC"/>
    <w:rsid w:val="00BF5E46"/>
    <w:rsid w:val="00C00352"/>
    <w:rsid w:val="00C03D1B"/>
    <w:rsid w:val="00C04007"/>
    <w:rsid w:val="00C06275"/>
    <w:rsid w:val="00C072F5"/>
    <w:rsid w:val="00C115A2"/>
    <w:rsid w:val="00C13FA1"/>
    <w:rsid w:val="00C17973"/>
    <w:rsid w:val="00C219CF"/>
    <w:rsid w:val="00C23B76"/>
    <w:rsid w:val="00C32DE2"/>
    <w:rsid w:val="00C33E01"/>
    <w:rsid w:val="00C360D8"/>
    <w:rsid w:val="00C438FC"/>
    <w:rsid w:val="00C53692"/>
    <w:rsid w:val="00C560A4"/>
    <w:rsid w:val="00C578B0"/>
    <w:rsid w:val="00C62242"/>
    <w:rsid w:val="00C74022"/>
    <w:rsid w:val="00C80C97"/>
    <w:rsid w:val="00C81B91"/>
    <w:rsid w:val="00C82A7B"/>
    <w:rsid w:val="00C9369D"/>
    <w:rsid w:val="00C93FFF"/>
    <w:rsid w:val="00C942EC"/>
    <w:rsid w:val="00C9520F"/>
    <w:rsid w:val="00CA0CED"/>
    <w:rsid w:val="00CA3C07"/>
    <w:rsid w:val="00CA4A3B"/>
    <w:rsid w:val="00CA5118"/>
    <w:rsid w:val="00CA5BF7"/>
    <w:rsid w:val="00CA7447"/>
    <w:rsid w:val="00CB0CBA"/>
    <w:rsid w:val="00CC3A97"/>
    <w:rsid w:val="00CC4F38"/>
    <w:rsid w:val="00CC5781"/>
    <w:rsid w:val="00CC71C7"/>
    <w:rsid w:val="00CD0B6E"/>
    <w:rsid w:val="00CD2AEA"/>
    <w:rsid w:val="00CD4647"/>
    <w:rsid w:val="00CD7ADB"/>
    <w:rsid w:val="00CE3C2C"/>
    <w:rsid w:val="00CE509F"/>
    <w:rsid w:val="00CE7A2C"/>
    <w:rsid w:val="00CF0ACC"/>
    <w:rsid w:val="00CF2CF5"/>
    <w:rsid w:val="00CF4B54"/>
    <w:rsid w:val="00CF53E5"/>
    <w:rsid w:val="00CF7AC4"/>
    <w:rsid w:val="00D00E04"/>
    <w:rsid w:val="00D0190E"/>
    <w:rsid w:val="00D02355"/>
    <w:rsid w:val="00D033B9"/>
    <w:rsid w:val="00D0344D"/>
    <w:rsid w:val="00D1047D"/>
    <w:rsid w:val="00D13F7B"/>
    <w:rsid w:val="00D14CD4"/>
    <w:rsid w:val="00D21D7C"/>
    <w:rsid w:val="00D2691E"/>
    <w:rsid w:val="00D360F6"/>
    <w:rsid w:val="00D42644"/>
    <w:rsid w:val="00D433E1"/>
    <w:rsid w:val="00D66A43"/>
    <w:rsid w:val="00D66A48"/>
    <w:rsid w:val="00D6713F"/>
    <w:rsid w:val="00D707FD"/>
    <w:rsid w:val="00D70F74"/>
    <w:rsid w:val="00D73FEA"/>
    <w:rsid w:val="00D750D6"/>
    <w:rsid w:val="00D865D8"/>
    <w:rsid w:val="00D87A44"/>
    <w:rsid w:val="00D92590"/>
    <w:rsid w:val="00D92603"/>
    <w:rsid w:val="00D92CDD"/>
    <w:rsid w:val="00D9602F"/>
    <w:rsid w:val="00D968B7"/>
    <w:rsid w:val="00DA1673"/>
    <w:rsid w:val="00DA3958"/>
    <w:rsid w:val="00DA5006"/>
    <w:rsid w:val="00DA7BE8"/>
    <w:rsid w:val="00DC03D8"/>
    <w:rsid w:val="00DC7E2E"/>
    <w:rsid w:val="00DD204B"/>
    <w:rsid w:val="00DD3644"/>
    <w:rsid w:val="00DD62BB"/>
    <w:rsid w:val="00DE100E"/>
    <w:rsid w:val="00DE33E1"/>
    <w:rsid w:val="00DE4A4E"/>
    <w:rsid w:val="00DE58F8"/>
    <w:rsid w:val="00DF04CB"/>
    <w:rsid w:val="00DF15B9"/>
    <w:rsid w:val="00E00829"/>
    <w:rsid w:val="00E03F45"/>
    <w:rsid w:val="00E119E6"/>
    <w:rsid w:val="00E14AF5"/>
    <w:rsid w:val="00E158ED"/>
    <w:rsid w:val="00E17A4F"/>
    <w:rsid w:val="00E2081A"/>
    <w:rsid w:val="00E232C2"/>
    <w:rsid w:val="00E25378"/>
    <w:rsid w:val="00E40550"/>
    <w:rsid w:val="00E41A02"/>
    <w:rsid w:val="00E472BC"/>
    <w:rsid w:val="00E5076C"/>
    <w:rsid w:val="00E54F74"/>
    <w:rsid w:val="00E564FE"/>
    <w:rsid w:val="00E72DA4"/>
    <w:rsid w:val="00E743AF"/>
    <w:rsid w:val="00E75F3A"/>
    <w:rsid w:val="00E83979"/>
    <w:rsid w:val="00E84EE0"/>
    <w:rsid w:val="00E86F93"/>
    <w:rsid w:val="00E877B9"/>
    <w:rsid w:val="00E87ED1"/>
    <w:rsid w:val="00E91A5C"/>
    <w:rsid w:val="00E953A3"/>
    <w:rsid w:val="00E95D3B"/>
    <w:rsid w:val="00EA0966"/>
    <w:rsid w:val="00EA3976"/>
    <w:rsid w:val="00EA4A31"/>
    <w:rsid w:val="00EA6627"/>
    <w:rsid w:val="00EB16B3"/>
    <w:rsid w:val="00EB41AE"/>
    <w:rsid w:val="00EB4DA7"/>
    <w:rsid w:val="00EB6CF9"/>
    <w:rsid w:val="00EC1C69"/>
    <w:rsid w:val="00EC3B18"/>
    <w:rsid w:val="00EC4B7D"/>
    <w:rsid w:val="00ED37E3"/>
    <w:rsid w:val="00EE0FB4"/>
    <w:rsid w:val="00EE11A8"/>
    <w:rsid w:val="00EE34BA"/>
    <w:rsid w:val="00EE40B5"/>
    <w:rsid w:val="00EE50A6"/>
    <w:rsid w:val="00EF3949"/>
    <w:rsid w:val="00EF488A"/>
    <w:rsid w:val="00F039FD"/>
    <w:rsid w:val="00F11A18"/>
    <w:rsid w:val="00F14447"/>
    <w:rsid w:val="00F24C38"/>
    <w:rsid w:val="00F30424"/>
    <w:rsid w:val="00F31B53"/>
    <w:rsid w:val="00F34D15"/>
    <w:rsid w:val="00F350FB"/>
    <w:rsid w:val="00F41D41"/>
    <w:rsid w:val="00F43221"/>
    <w:rsid w:val="00F44DBE"/>
    <w:rsid w:val="00F5692C"/>
    <w:rsid w:val="00F56F0D"/>
    <w:rsid w:val="00F57B8C"/>
    <w:rsid w:val="00F62E68"/>
    <w:rsid w:val="00F723BB"/>
    <w:rsid w:val="00F725AD"/>
    <w:rsid w:val="00F75341"/>
    <w:rsid w:val="00F76E45"/>
    <w:rsid w:val="00F8003F"/>
    <w:rsid w:val="00F82F89"/>
    <w:rsid w:val="00F87286"/>
    <w:rsid w:val="00F90A26"/>
    <w:rsid w:val="00F90AD6"/>
    <w:rsid w:val="00F90D5F"/>
    <w:rsid w:val="00F925C3"/>
    <w:rsid w:val="00F946F3"/>
    <w:rsid w:val="00F954EA"/>
    <w:rsid w:val="00F95EC5"/>
    <w:rsid w:val="00F96E5F"/>
    <w:rsid w:val="00F9782B"/>
    <w:rsid w:val="00FA545E"/>
    <w:rsid w:val="00FA5705"/>
    <w:rsid w:val="00FB14B3"/>
    <w:rsid w:val="00FB4D03"/>
    <w:rsid w:val="00FB6375"/>
    <w:rsid w:val="00FC5B4B"/>
    <w:rsid w:val="00FC772C"/>
    <w:rsid w:val="00FC7AE8"/>
    <w:rsid w:val="00FD0E6B"/>
    <w:rsid w:val="00FE2E09"/>
    <w:rsid w:val="00FE364D"/>
    <w:rsid w:val="00FE4A59"/>
    <w:rsid w:val="00FF6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uiPriority w:val="99"/>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iPriority w:val="99"/>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9"/>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uiPriority w:val="9"/>
    <w:unhideWhenUsed/>
    <w:qFormat/>
    <w:rsid w:val="006F1C2D"/>
    <w:pPr>
      <w:spacing w:before="240" w:after="60"/>
      <w:jc w:val="both"/>
      <w:outlineLvl w:val="4"/>
    </w:pPr>
    <w:rPr>
      <w:rFonts w:ascii="Calibri" w:eastAsia="Times New Roman" w:hAnsi="Calibri"/>
      <w:b/>
      <w:bCs/>
      <w:i/>
      <w:iCs/>
      <w:sz w:val="26"/>
      <w:szCs w:val="26"/>
      <w:lang w:val="x-none" w:eastAsia="x-none"/>
    </w:rPr>
  </w:style>
  <w:style w:type="paragraph" w:styleId="Nadpis6">
    <w:name w:val="heading 6"/>
    <w:basedOn w:val="Normln"/>
    <w:next w:val="Normln"/>
    <w:link w:val="Nadpis6Char"/>
    <w:uiPriority w:val="9"/>
    <w:unhideWhenUsed/>
    <w:qFormat/>
    <w:rsid w:val="00D033B9"/>
    <w:pPr>
      <w:spacing w:before="240" w:after="60"/>
      <w:outlineLvl w:val="5"/>
    </w:pPr>
    <w:rPr>
      <w:rFonts w:ascii="Calibri" w:eastAsia="Times New Roman" w:hAnsi="Calibri"/>
      <w:b/>
      <w:bCs/>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5B5D1B"/>
    <w:pPr>
      <w:ind w:left="227" w:hanging="227"/>
    </w:pPr>
    <w:rPr>
      <w:sz w:val="22"/>
      <w:szCs w:val="22"/>
      <w:lang w:eastAsia="en-US"/>
    </w:rPr>
  </w:style>
  <w:style w:type="character" w:customStyle="1" w:styleId="Nadpis1Char">
    <w:name w:val="Nadpis 1 Char"/>
    <w:link w:val="Nadpis1"/>
    <w:uiPriority w:val="99"/>
    <w:rsid w:val="005D6E7E"/>
    <w:rPr>
      <w:rFonts w:ascii="Arial" w:eastAsia="Times New Roman" w:hAnsi="Arial" w:cs="Times New Roman"/>
      <w:b/>
      <w:bCs/>
      <w:caps/>
      <w:sz w:val="28"/>
      <w:szCs w:val="28"/>
    </w:rPr>
  </w:style>
  <w:style w:type="character" w:customStyle="1" w:styleId="Nadpis2Char">
    <w:name w:val="Nadpis 2 Char"/>
    <w:link w:val="Nadpis2"/>
    <w:uiPriority w:val="99"/>
    <w:rsid w:val="005B5D1B"/>
    <w:rPr>
      <w:rFonts w:ascii="Arial" w:eastAsia="Times New Roman" w:hAnsi="Arial" w:cs="Times New Roman"/>
      <w:b/>
      <w:bCs/>
      <w:color w:val="4F81BD"/>
      <w:sz w:val="26"/>
      <w:szCs w:val="26"/>
    </w:rPr>
  </w:style>
  <w:style w:type="character" w:customStyle="1" w:styleId="Nadpis3Char">
    <w:name w:val="Nadpis 3 Char"/>
    <w:link w:val="Nadpis3"/>
    <w:uiPriority w:val="99"/>
    <w:rsid w:val="005B5D1B"/>
    <w:rPr>
      <w:rFonts w:ascii="Arial" w:eastAsia="Times New Roman" w:hAnsi="Arial" w:cs="Times New Roman"/>
      <w:b/>
      <w:bCs/>
      <w:color w:val="4F81BD"/>
    </w:rPr>
  </w:style>
  <w:style w:type="character" w:customStyle="1" w:styleId="Nadpis4Char">
    <w:name w:val="Nadpis 4 Char"/>
    <w:link w:val="Nadpis4"/>
    <w:uiPriority w:val="9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val="x-none" w:eastAsia="x-none"/>
    </w:rPr>
  </w:style>
  <w:style w:type="character" w:customStyle="1" w:styleId="ZpatChar">
    <w:name w:val="Zápatí Char"/>
    <w:link w:val="Zpat"/>
    <w:uiPriority w:val="99"/>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unhideWhenUsed/>
    <w:rsid w:val="000D39A4"/>
    <w:rPr>
      <w:sz w:val="20"/>
      <w:szCs w:val="20"/>
      <w:lang w:val="x-none" w:eastAsia="x-none"/>
    </w:rPr>
  </w:style>
  <w:style w:type="character" w:customStyle="1" w:styleId="TextpoznpodarouChar">
    <w:name w:val="Text pozn. pod čarou Char"/>
    <w:link w:val="Textpoznpodarou"/>
    <w:uiPriority w:val="99"/>
    <w:rsid w:val="000D39A4"/>
    <w:rPr>
      <w:rFonts w:ascii="Arial" w:hAnsi="Arial"/>
      <w:sz w:val="20"/>
      <w:szCs w:val="20"/>
    </w:rPr>
  </w:style>
  <w:style w:type="character" w:styleId="Znakapoznpodarou">
    <w:name w:val="footnote reference"/>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link w:val="Nadpis5"/>
    <w:uiPriority w:val="9"/>
    <w:rsid w:val="006F1C2D"/>
    <w:rPr>
      <w:rFonts w:ascii="Calibri" w:eastAsia="Times New Roman" w:hAnsi="Calibri" w:cs="Times New Roman"/>
      <w:b/>
      <w:bCs/>
      <w:i/>
      <w:iCs/>
      <w:sz w:val="26"/>
      <w:szCs w:val="26"/>
    </w:rPr>
  </w:style>
  <w:style w:type="numbering" w:customStyle="1" w:styleId="Bezseznamu1">
    <w:name w:val="Bez seznamu1"/>
    <w:next w:val="Bezseznamu"/>
    <w:uiPriority w:val="99"/>
    <w:semiHidden/>
    <w:unhideWhenUsed/>
    <w:rsid w:val="006F1C2D"/>
  </w:style>
  <w:style w:type="table" w:customStyle="1" w:styleId="Mkatabulky3">
    <w:name w:val="Mřížka tabulky3"/>
    <w:basedOn w:val="Normlntabulka"/>
    <w:next w:val="Mkatabulky"/>
    <w:uiPriority w:val="59"/>
    <w:rsid w:val="006F1C2D"/>
    <w:pPr>
      <w:spacing w:after="40"/>
      <w:jc w:val="both"/>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rsid w:val="006F1C2D"/>
    <w:rPr>
      <w:rFonts w:ascii="Arial" w:hAnsi="Arial" w:cs="Arial"/>
      <w:b/>
      <w:bCs/>
      <w:caps/>
      <w:sz w:val="28"/>
      <w:szCs w:val="28"/>
    </w:rPr>
  </w:style>
  <w:style w:type="character" w:customStyle="1" w:styleId="Heading2Char">
    <w:name w:val="Heading 2 Char"/>
    <w:rsid w:val="006F1C2D"/>
    <w:rPr>
      <w:rFonts w:ascii="Arial" w:hAnsi="Arial" w:cs="Arial"/>
      <w:b/>
      <w:bCs/>
      <w:color w:val="4F81BD"/>
      <w:sz w:val="26"/>
      <w:szCs w:val="26"/>
    </w:rPr>
  </w:style>
  <w:style w:type="character" w:customStyle="1" w:styleId="Heading3Char">
    <w:name w:val="Heading 3 Char"/>
    <w:rsid w:val="006F1C2D"/>
    <w:rPr>
      <w:rFonts w:ascii="Arial" w:hAnsi="Arial" w:cs="Arial"/>
      <w:b/>
      <w:bCs/>
      <w:color w:val="4F81BD"/>
    </w:rPr>
  </w:style>
  <w:style w:type="character" w:customStyle="1" w:styleId="Heading4Char">
    <w:name w:val="Heading 4 Char"/>
    <w:rsid w:val="006F1C2D"/>
    <w:rPr>
      <w:rFonts w:ascii="Arial" w:hAnsi="Arial" w:cs="Arial"/>
      <w:b/>
      <w:bCs/>
      <w:i/>
      <w:iCs/>
      <w:color w:val="4F81BD"/>
    </w:rPr>
  </w:style>
  <w:style w:type="paragraph" w:customStyle="1" w:styleId="Bezmezer1">
    <w:name w:val="Bez mezer1"/>
    <w:rsid w:val="006F1C2D"/>
    <w:pPr>
      <w:spacing w:after="40"/>
      <w:ind w:left="227" w:hanging="227"/>
      <w:jc w:val="both"/>
    </w:pPr>
    <w:rPr>
      <w:rFonts w:cs="Arial"/>
      <w:sz w:val="22"/>
      <w:szCs w:val="22"/>
      <w:lang w:eastAsia="en-US"/>
    </w:rPr>
  </w:style>
  <w:style w:type="character" w:customStyle="1" w:styleId="HeaderChar">
    <w:name w:val="Header Char"/>
    <w:rsid w:val="006F1C2D"/>
    <w:rPr>
      <w:rFonts w:ascii="Arial" w:hAnsi="Arial" w:cs="Arial"/>
      <w:sz w:val="18"/>
      <w:szCs w:val="18"/>
    </w:rPr>
  </w:style>
  <w:style w:type="character" w:customStyle="1" w:styleId="FooterChar">
    <w:name w:val="Footer Char"/>
    <w:rsid w:val="006F1C2D"/>
    <w:rPr>
      <w:rFonts w:ascii="Arial" w:hAnsi="Arial" w:cs="Arial"/>
      <w:sz w:val="18"/>
      <w:szCs w:val="18"/>
    </w:rPr>
  </w:style>
  <w:style w:type="paragraph" w:customStyle="1" w:styleId="Odstavecseseznamem1">
    <w:name w:val="Odstavec se seznamem1"/>
    <w:basedOn w:val="Normln"/>
    <w:rsid w:val="006F1C2D"/>
    <w:pPr>
      <w:spacing w:after="40"/>
      <w:ind w:left="720"/>
      <w:jc w:val="both"/>
    </w:pPr>
    <w:rPr>
      <w:rFonts w:cs="Arial"/>
      <w:szCs w:val="18"/>
    </w:rPr>
  </w:style>
  <w:style w:type="character" w:customStyle="1" w:styleId="CommentTextChar">
    <w:name w:val="Comment Text Char"/>
    <w:rsid w:val="006F1C2D"/>
    <w:rPr>
      <w:rFonts w:ascii="Arial" w:hAnsi="Arial" w:cs="Arial"/>
      <w:sz w:val="20"/>
      <w:szCs w:val="20"/>
    </w:rPr>
  </w:style>
  <w:style w:type="paragraph" w:customStyle="1" w:styleId="Pedmtkomente1">
    <w:name w:val="Předmět komentáře1"/>
    <w:basedOn w:val="Textkomente"/>
    <w:next w:val="Textkomente"/>
    <w:rsid w:val="006F1C2D"/>
    <w:pPr>
      <w:spacing w:after="40"/>
      <w:jc w:val="both"/>
    </w:pPr>
    <w:rPr>
      <w:b/>
      <w:bCs/>
    </w:rPr>
  </w:style>
  <w:style w:type="character" w:customStyle="1" w:styleId="CommentSubjectChar">
    <w:name w:val="Comment Subject Char"/>
    <w:rsid w:val="006F1C2D"/>
    <w:rPr>
      <w:rFonts w:ascii="Arial" w:hAnsi="Arial" w:cs="Arial"/>
      <w:b/>
      <w:bCs/>
      <w:sz w:val="20"/>
      <w:szCs w:val="20"/>
    </w:rPr>
  </w:style>
  <w:style w:type="paragraph" w:customStyle="1" w:styleId="Textbubliny1">
    <w:name w:val="Text bubliny1"/>
    <w:basedOn w:val="Normln"/>
    <w:rsid w:val="006F1C2D"/>
    <w:pPr>
      <w:spacing w:after="40"/>
      <w:jc w:val="both"/>
    </w:pPr>
    <w:rPr>
      <w:rFonts w:ascii="Tahoma" w:hAnsi="Tahoma" w:cs="Tahoma"/>
      <w:sz w:val="16"/>
      <w:szCs w:val="16"/>
    </w:rPr>
  </w:style>
  <w:style w:type="character" w:customStyle="1" w:styleId="BalloonTextChar">
    <w:name w:val="Balloon Text Char"/>
    <w:rsid w:val="006F1C2D"/>
    <w:rPr>
      <w:rFonts w:ascii="Tahoma" w:hAnsi="Tahoma" w:cs="Tahoma"/>
      <w:sz w:val="16"/>
      <w:szCs w:val="16"/>
    </w:rPr>
  </w:style>
  <w:style w:type="paragraph" w:customStyle="1" w:styleId="Revize1">
    <w:name w:val="Revize1"/>
    <w:hidden/>
    <w:rsid w:val="006F1C2D"/>
    <w:pPr>
      <w:spacing w:after="40"/>
      <w:jc w:val="both"/>
    </w:pPr>
    <w:rPr>
      <w:rFonts w:cs="Arial"/>
      <w:sz w:val="18"/>
      <w:szCs w:val="18"/>
      <w:lang w:eastAsia="en-US"/>
    </w:rPr>
  </w:style>
  <w:style w:type="character" w:customStyle="1" w:styleId="FootnoteTextChar">
    <w:name w:val="Footnote Text Char"/>
    <w:rsid w:val="006F1C2D"/>
    <w:rPr>
      <w:rFonts w:ascii="Arial" w:hAnsi="Arial" w:cs="Arial"/>
      <w:sz w:val="20"/>
      <w:szCs w:val="20"/>
    </w:rPr>
  </w:style>
  <w:style w:type="character" w:customStyle="1" w:styleId="st">
    <w:name w:val="st"/>
    <w:rsid w:val="006F1C2D"/>
  </w:style>
  <w:style w:type="character" w:styleId="Zvraznn">
    <w:name w:val="Emphasis"/>
    <w:qFormat/>
    <w:rsid w:val="006F1C2D"/>
    <w:rPr>
      <w:b/>
      <w:bCs/>
      <w:i w:val="0"/>
      <w:iCs w:val="0"/>
    </w:rPr>
  </w:style>
  <w:style w:type="paragraph" w:styleId="Zkladntext">
    <w:name w:val="Body Text"/>
    <w:basedOn w:val="Normln"/>
    <w:link w:val="ZkladntextChar"/>
    <w:semiHidden/>
    <w:rsid w:val="006F1C2D"/>
    <w:pPr>
      <w:spacing w:before="40" w:after="40"/>
      <w:jc w:val="both"/>
    </w:pPr>
    <w:rPr>
      <w:szCs w:val="18"/>
      <w:lang w:val="en-GB" w:eastAsia="x-none"/>
    </w:rPr>
  </w:style>
  <w:style w:type="character" w:customStyle="1" w:styleId="ZkladntextChar">
    <w:name w:val="Základní text Char"/>
    <w:link w:val="Zkladntext"/>
    <w:semiHidden/>
    <w:rsid w:val="006F1C2D"/>
    <w:rPr>
      <w:rFonts w:ascii="Arial" w:hAnsi="Arial" w:cs="Times New Roman"/>
      <w:sz w:val="18"/>
      <w:szCs w:val="18"/>
      <w:lang w:val="en-GB"/>
    </w:rPr>
  </w:style>
  <w:style w:type="character" w:customStyle="1" w:styleId="Nadpis6Char">
    <w:name w:val="Nadpis 6 Char"/>
    <w:link w:val="Nadpis6"/>
    <w:uiPriority w:val="9"/>
    <w:semiHidden/>
    <w:rsid w:val="00D033B9"/>
    <w:rPr>
      <w:rFonts w:ascii="Calibri" w:eastAsia="Times New Roman" w:hAnsi="Calibri" w:cs="Times New Roman"/>
      <w:b/>
      <w:bCs/>
      <w:sz w:val="22"/>
      <w:szCs w:val="22"/>
      <w:lang w:eastAsia="en-US"/>
    </w:rPr>
  </w:style>
  <w:style w:type="paragraph" w:styleId="Zkladntext2">
    <w:name w:val="Body Text 2"/>
    <w:basedOn w:val="Normln"/>
    <w:link w:val="Zkladntext2Char"/>
    <w:uiPriority w:val="99"/>
    <w:semiHidden/>
    <w:unhideWhenUsed/>
    <w:rsid w:val="00D033B9"/>
    <w:pPr>
      <w:spacing w:after="120" w:line="480" w:lineRule="auto"/>
    </w:pPr>
    <w:rPr>
      <w:lang w:val="x-none"/>
    </w:rPr>
  </w:style>
  <w:style w:type="character" w:customStyle="1" w:styleId="Zkladntext2Char">
    <w:name w:val="Základní text 2 Char"/>
    <w:link w:val="Zkladntext2"/>
    <w:uiPriority w:val="99"/>
    <w:semiHidden/>
    <w:rsid w:val="00D033B9"/>
    <w:rPr>
      <w:sz w:val="18"/>
      <w:szCs w:val="22"/>
      <w:lang w:eastAsia="en-US"/>
    </w:rPr>
  </w:style>
  <w:style w:type="paragraph" w:customStyle="1" w:styleId="Bezmezer2">
    <w:name w:val="Bez mezer2"/>
    <w:rsid w:val="00D033B9"/>
    <w:pPr>
      <w:ind w:left="227" w:hanging="227"/>
    </w:pPr>
    <w:rPr>
      <w:rFonts w:cs="Arial"/>
      <w:sz w:val="22"/>
      <w:szCs w:val="22"/>
      <w:lang w:eastAsia="en-US"/>
    </w:rPr>
  </w:style>
  <w:style w:type="paragraph" w:customStyle="1" w:styleId="Odstavecseseznamem2">
    <w:name w:val="Odstavec se seznamem2"/>
    <w:basedOn w:val="Normln"/>
    <w:rsid w:val="00D033B9"/>
    <w:pPr>
      <w:ind w:left="720"/>
    </w:pPr>
    <w:rPr>
      <w:rFonts w:cs="Arial"/>
      <w:szCs w:val="18"/>
    </w:rPr>
  </w:style>
  <w:style w:type="paragraph" w:customStyle="1" w:styleId="Pedmtkomente2">
    <w:name w:val="Předmět komentáře2"/>
    <w:basedOn w:val="Textkomente"/>
    <w:next w:val="Textkomente"/>
    <w:rsid w:val="00D033B9"/>
    <w:rPr>
      <w:rFonts w:cs="Arial"/>
      <w:b/>
      <w:bCs/>
    </w:rPr>
  </w:style>
  <w:style w:type="paragraph" w:customStyle="1" w:styleId="Textbubliny2">
    <w:name w:val="Text bubliny2"/>
    <w:basedOn w:val="Normln"/>
    <w:rsid w:val="00D033B9"/>
    <w:rPr>
      <w:rFonts w:ascii="Tahoma" w:hAnsi="Tahoma" w:cs="Tahoma"/>
      <w:sz w:val="16"/>
      <w:szCs w:val="16"/>
    </w:rPr>
  </w:style>
  <w:style w:type="paragraph" w:customStyle="1" w:styleId="Revize2">
    <w:name w:val="Revize2"/>
    <w:hidden/>
    <w:rsid w:val="00D033B9"/>
    <w:rPr>
      <w:rFonts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uiPriority w:val="99"/>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iPriority w:val="99"/>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9"/>
    <w:unhideWhenUsed/>
    <w:qFormat/>
    <w:rsid w:val="005B5D1B"/>
    <w:pPr>
      <w:keepNext/>
      <w:keepLines/>
      <w:spacing w:before="200"/>
      <w:outlineLvl w:val="3"/>
    </w:pPr>
    <w:rPr>
      <w:rFonts w:eastAsia="Times New Roman"/>
      <w:b/>
      <w:bCs/>
      <w:i/>
      <w:iCs/>
      <w:color w:val="4F81BD"/>
      <w:sz w:val="20"/>
      <w:szCs w:val="20"/>
      <w:lang w:val="x-none" w:eastAsia="x-none"/>
    </w:rPr>
  </w:style>
  <w:style w:type="paragraph" w:styleId="Nadpis5">
    <w:name w:val="heading 5"/>
    <w:basedOn w:val="Normln"/>
    <w:next w:val="Normln"/>
    <w:link w:val="Nadpis5Char"/>
    <w:uiPriority w:val="9"/>
    <w:unhideWhenUsed/>
    <w:qFormat/>
    <w:rsid w:val="006F1C2D"/>
    <w:pPr>
      <w:spacing w:before="240" w:after="60"/>
      <w:jc w:val="both"/>
      <w:outlineLvl w:val="4"/>
    </w:pPr>
    <w:rPr>
      <w:rFonts w:ascii="Calibri" w:eastAsia="Times New Roman" w:hAnsi="Calibri"/>
      <w:b/>
      <w:bCs/>
      <w:i/>
      <w:iCs/>
      <w:sz w:val="26"/>
      <w:szCs w:val="26"/>
      <w:lang w:val="x-none" w:eastAsia="x-none"/>
    </w:rPr>
  </w:style>
  <w:style w:type="paragraph" w:styleId="Nadpis6">
    <w:name w:val="heading 6"/>
    <w:basedOn w:val="Normln"/>
    <w:next w:val="Normln"/>
    <w:link w:val="Nadpis6Char"/>
    <w:uiPriority w:val="9"/>
    <w:unhideWhenUsed/>
    <w:qFormat/>
    <w:rsid w:val="00D033B9"/>
    <w:pPr>
      <w:spacing w:before="240" w:after="60"/>
      <w:outlineLvl w:val="5"/>
    </w:pPr>
    <w:rPr>
      <w:rFonts w:ascii="Calibri" w:eastAsia="Times New Roman" w:hAnsi="Calibri"/>
      <w:b/>
      <w:bCs/>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5B5D1B"/>
    <w:pPr>
      <w:ind w:left="227" w:hanging="227"/>
    </w:pPr>
    <w:rPr>
      <w:sz w:val="22"/>
      <w:szCs w:val="22"/>
      <w:lang w:eastAsia="en-US"/>
    </w:rPr>
  </w:style>
  <w:style w:type="character" w:customStyle="1" w:styleId="Nadpis1Char">
    <w:name w:val="Nadpis 1 Char"/>
    <w:link w:val="Nadpis1"/>
    <w:uiPriority w:val="99"/>
    <w:rsid w:val="005D6E7E"/>
    <w:rPr>
      <w:rFonts w:ascii="Arial" w:eastAsia="Times New Roman" w:hAnsi="Arial" w:cs="Times New Roman"/>
      <w:b/>
      <w:bCs/>
      <w:caps/>
      <w:sz w:val="28"/>
      <w:szCs w:val="28"/>
    </w:rPr>
  </w:style>
  <w:style w:type="character" w:customStyle="1" w:styleId="Nadpis2Char">
    <w:name w:val="Nadpis 2 Char"/>
    <w:link w:val="Nadpis2"/>
    <w:uiPriority w:val="99"/>
    <w:rsid w:val="005B5D1B"/>
    <w:rPr>
      <w:rFonts w:ascii="Arial" w:eastAsia="Times New Roman" w:hAnsi="Arial" w:cs="Times New Roman"/>
      <w:b/>
      <w:bCs/>
      <w:color w:val="4F81BD"/>
      <w:sz w:val="26"/>
      <w:szCs w:val="26"/>
    </w:rPr>
  </w:style>
  <w:style w:type="character" w:customStyle="1" w:styleId="Nadpis3Char">
    <w:name w:val="Nadpis 3 Char"/>
    <w:link w:val="Nadpis3"/>
    <w:uiPriority w:val="99"/>
    <w:rsid w:val="005B5D1B"/>
    <w:rPr>
      <w:rFonts w:ascii="Arial" w:eastAsia="Times New Roman" w:hAnsi="Arial" w:cs="Times New Roman"/>
      <w:b/>
      <w:bCs/>
      <w:color w:val="4F81BD"/>
    </w:rPr>
  </w:style>
  <w:style w:type="character" w:customStyle="1" w:styleId="Nadpis4Char">
    <w:name w:val="Nadpis 4 Char"/>
    <w:link w:val="Nadpis4"/>
    <w:uiPriority w:val="9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iPriority w:val="99"/>
    <w:unhideWhenUsed/>
    <w:rsid w:val="005D6E7E"/>
    <w:pPr>
      <w:tabs>
        <w:tab w:val="center" w:pos="4536"/>
        <w:tab w:val="right" w:pos="9072"/>
      </w:tabs>
    </w:pPr>
    <w:rPr>
      <w:szCs w:val="20"/>
      <w:lang w:val="x-none" w:eastAsia="x-none"/>
    </w:rPr>
  </w:style>
  <w:style w:type="character" w:customStyle="1" w:styleId="ZpatChar">
    <w:name w:val="Zápatí Char"/>
    <w:link w:val="Zpat"/>
    <w:uiPriority w:val="99"/>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rsid w:val="00D70F74"/>
    <w:rPr>
      <w:sz w:val="16"/>
      <w:szCs w:val="16"/>
    </w:rPr>
  </w:style>
  <w:style w:type="paragraph" w:styleId="Textkomente">
    <w:name w:val="annotation text"/>
    <w:basedOn w:val="Normln"/>
    <w:link w:val="TextkomenteChar"/>
    <w:uiPriority w:val="99"/>
    <w:unhideWhenUsed/>
    <w:rsid w:val="00D70F74"/>
    <w:rPr>
      <w:sz w:val="20"/>
      <w:szCs w:val="20"/>
      <w:lang w:val="x-none" w:eastAsia="x-none"/>
    </w:rPr>
  </w:style>
  <w:style w:type="character" w:customStyle="1" w:styleId="TextkomenteChar">
    <w:name w:val="Text komentáře Char"/>
    <w:link w:val="Textkomente"/>
    <w:uiPriority w:val="99"/>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unhideWhenUsed/>
    <w:rsid w:val="000D39A4"/>
    <w:rPr>
      <w:sz w:val="20"/>
      <w:szCs w:val="20"/>
      <w:lang w:val="x-none" w:eastAsia="x-none"/>
    </w:rPr>
  </w:style>
  <w:style w:type="character" w:customStyle="1" w:styleId="TextpoznpodarouChar">
    <w:name w:val="Text pozn. pod čarou Char"/>
    <w:link w:val="Textpoznpodarou"/>
    <w:uiPriority w:val="99"/>
    <w:rsid w:val="000D39A4"/>
    <w:rPr>
      <w:rFonts w:ascii="Arial" w:hAnsi="Arial"/>
      <w:sz w:val="20"/>
      <w:szCs w:val="20"/>
    </w:rPr>
  </w:style>
  <w:style w:type="character" w:styleId="Znakapoznpodarou">
    <w:name w:val="footnote reference"/>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link w:val="Nadpis5"/>
    <w:uiPriority w:val="9"/>
    <w:rsid w:val="006F1C2D"/>
    <w:rPr>
      <w:rFonts w:ascii="Calibri" w:eastAsia="Times New Roman" w:hAnsi="Calibri" w:cs="Times New Roman"/>
      <w:b/>
      <w:bCs/>
      <w:i/>
      <w:iCs/>
      <w:sz w:val="26"/>
      <w:szCs w:val="26"/>
    </w:rPr>
  </w:style>
  <w:style w:type="numbering" w:customStyle="1" w:styleId="Bezseznamu1">
    <w:name w:val="Bez seznamu1"/>
    <w:next w:val="Bezseznamu"/>
    <w:uiPriority w:val="99"/>
    <w:semiHidden/>
    <w:unhideWhenUsed/>
    <w:rsid w:val="006F1C2D"/>
  </w:style>
  <w:style w:type="table" w:customStyle="1" w:styleId="Mkatabulky3">
    <w:name w:val="Mřížka tabulky3"/>
    <w:basedOn w:val="Normlntabulka"/>
    <w:next w:val="Mkatabulky"/>
    <w:uiPriority w:val="59"/>
    <w:rsid w:val="006F1C2D"/>
    <w:pPr>
      <w:spacing w:after="40"/>
      <w:jc w:val="both"/>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rsid w:val="006F1C2D"/>
    <w:rPr>
      <w:rFonts w:ascii="Arial" w:hAnsi="Arial" w:cs="Arial"/>
      <w:b/>
      <w:bCs/>
      <w:caps/>
      <w:sz w:val="28"/>
      <w:szCs w:val="28"/>
    </w:rPr>
  </w:style>
  <w:style w:type="character" w:customStyle="1" w:styleId="Heading2Char">
    <w:name w:val="Heading 2 Char"/>
    <w:rsid w:val="006F1C2D"/>
    <w:rPr>
      <w:rFonts w:ascii="Arial" w:hAnsi="Arial" w:cs="Arial"/>
      <w:b/>
      <w:bCs/>
      <w:color w:val="4F81BD"/>
      <w:sz w:val="26"/>
      <w:szCs w:val="26"/>
    </w:rPr>
  </w:style>
  <w:style w:type="character" w:customStyle="1" w:styleId="Heading3Char">
    <w:name w:val="Heading 3 Char"/>
    <w:rsid w:val="006F1C2D"/>
    <w:rPr>
      <w:rFonts w:ascii="Arial" w:hAnsi="Arial" w:cs="Arial"/>
      <w:b/>
      <w:bCs/>
      <w:color w:val="4F81BD"/>
    </w:rPr>
  </w:style>
  <w:style w:type="character" w:customStyle="1" w:styleId="Heading4Char">
    <w:name w:val="Heading 4 Char"/>
    <w:rsid w:val="006F1C2D"/>
    <w:rPr>
      <w:rFonts w:ascii="Arial" w:hAnsi="Arial" w:cs="Arial"/>
      <w:b/>
      <w:bCs/>
      <w:i/>
      <w:iCs/>
      <w:color w:val="4F81BD"/>
    </w:rPr>
  </w:style>
  <w:style w:type="paragraph" w:customStyle="1" w:styleId="Bezmezer1">
    <w:name w:val="Bez mezer1"/>
    <w:rsid w:val="006F1C2D"/>
    <w:pPr>
      <w:spacing w:after="40"/>
      <w:ind w:left="227" w:hanging="227"/>
      <w:jc w:val="both"/>
    </w:pPr>
    <w:rPr>
      <w:rFonts w:cs="Arial"/>
      <w:sz w:val="22"/>
      <w:szCs w:val="22"/>
      <w:lang w:eastAsia="en-US"/>
    </w:rPr>
  </w:style>
  <w:style w:type="character" w:customStyle="1" w:styleId="HeaderChar">
    <w:name w:val="Header Char"/>
    <w:rsid w:val="006F1C2D"/>
    <w:rPr>
      <w:rFonts w:ascii="Arial" w:hAnsi="Arial" w:cs="Arial"/>
      <w:sz w:val="18"/>
      <w:szCs w:val="18"/>
    </w:rPr>
  </w:style>
  <w:style w:type="character" w:customStyle="1" w:styleId="FooterChar">
    <w:name w:val="Footer Char"/>
    <w:rsid w:val="006F1C2D"/>
    <w:rPr>
      <w:rFonts w:ascii="Arial" w:hAnsi="Arial" w:cs="Arial"/>
      <w:sz w:val="18"/>
      <w:szCs w:val="18"/>
    </w:rPr>
  </w:style>
  <w:style w:type="paragraph" w:customStyle="1" w:styleId="Odstavecseseznamem1">
    <w:name w:val="Odstavec se seznamem1"/>
    <w:basedOn w:val="Normln"/>
    <w:rsid w:val="006F1C2D"/>
    <w:pPr>
      <w:spacing w:after="40"/>
      <w:ind w:left="720"/>
      <w:jc w:val="both"/>
    </w:pPr>
    <w:rPr>
      <w:rFonts w:cs="Arial"/>
      <w:szCs w:val="18"/>
    </w:rPr>
  </w:style>
  <w:style w:type="character" w:customStyle="1" w:styleId="CommentTextChar">
    <w:name w:val="Comment Text Char"/>
    <w:rsid w:val="006F1C2D"/>
    <w:rPr>
      <w:rFonts w:ascii="Arial" w:hAnsi="Arial" w:cs="Arial"/>
      <w:sz w:val="20"/>
      <w:szCs w:val="20"/>
    </w:rPr>
  </w:style>
  <w:style w:type="paragraph" w:customStyle="1" w:styleId="Pedmtkomente1">
    <w:name w:val="Předmět komentáře1"/>
    <w:basedOn w:val="Textkomente"/>
    <w:next w:val="Textkomente"/>
    <w:rsid w:val="006F1C2D"/>
    <w:pPr>
      <w:spacing w:after="40"/>
      <w:jc w:val="both"/>
    </w:pPr>
    <w:rPr>
      <w:b/>
      <w:bCs/>
    </w:rPr>
  </w:style>
  <w:style w:type="character" w:customStyle="1" w:styleId="CommentSubjectChar">
    <w:name w:val="Comment Subject Char"/>
    <w:rsid w:val="006F1C2D"/>
    <w:rPr>
      <w:rFonts w:ascii="Arial" w:hAnsi="Arial" w:cs="Arial"/>
      <w:b/>
      <w:bCs/>
      <w:sz w:val="20"/>
      <w:szCs w:val="20"/>
    </w:rPr>
  </w:style>
  <w:style w:type="paragraph" w:customStyle="1" w:styleId="Textbubliny1">
    <w:name w:val="Text bubliny1"/>
    <w:basedOn w:val="Normln"/>
    <w:rsid w:val="006F1C2D"/>
    <w:pPr>
      <w:spacing w:after="40"/>
      <w:jc w:val="both"/>
    </w:pPr>
    <w:rPr>
      <w:rFonts w:ascii="Tahoma" w:hAnsi="Tahoma" w:cs="Tahoma"/>
      <w:sz w:val="16"/>
      <w:szCs w:val="16"/>
    </w:rPr>
  </w:style>
  <w:style w:type="character" w:customStyle="1" w:styleId="BalloonTextChar">
    <w:name w:val="Balloon Text Char"/>
    <w:rsid w:val="006F1C2D"/>
    <w:rPr>
      <w:rFonts w:ascii="Tahoma" w:hAnsi="Tahoma" w:cs="Tahoma"/>
      <w:sz w:val="16"/>
      <w:szCs w:val="16"/>
    </w:rPr>
  </w:style>
  <w:style w:type="paragraph" w:customStyle="1" w:styleId="Revize1">
    <w:name w:val="Revize1"/>
    <w:hidden/>
    <w:rsid w:val="006F1C2D"/>
    <w:pPr>
      <w:spacing w:after="40"/>
      <w:jc w:val="both"/>
    </w:pPr>
    <w:rPr>
      <w:rFonts w:cs="Arial"/>
      <w:sz w:val="18"/>
      <w:szCs w:val="18"/>
      <w:lang w:eastAsia="en-US"/>
    </w:rPr>
  </w:style>
  <w:style w:type="character" w:customStyle="1" w:styleId="FootnoteTextChar">
    <w:name w:val="Footnote Text Char"/>
    <w:rsid w:val="006F1C2D"/>
    <w:rPr>
      <w:rFonts w:ascii="Arial" w:hAnsi="Arial" w:cs="Arial"/>
      <w:sz w:val="20"/>
      <w:szCs w:val="20"/>
    </w:rPr>
  </w:style>
  <w:style w:type="character" w:customStyle="1" w:styleId="st">
    <w:name w:val="st"/>
    <w:rsid w:val="006F1C2D"/>
  </w:style>
  <w:style w:type="character" w:styleId="Zvraznn">
    <w:name w:val="Emphasis"/>
    <w:qFormat/>
    <w:rsid w:val="006F1C2D"/>
    <w:rPr>
      <w:b/>
      <w:bCs/>
      <w:i w:val="0"/>
      <w:iCs w:val="0"/>
    </w:rPr>
  </w:style>
  <w:style w:type="paragraph" w:styleId="Zkladntext">
    <w:name w:val="Body Text"/>
    <w:basedOn w:val="Normln"/>
    <w:link w:val="ZkladntextChar"/>
    <w:semiHidden/>
    <w:rsid w:val="006F1C2D"/>
    <w:pPr>
      <w:spacing w:before="40" w:after="40"/>
      <w:jc w:val="both"/>
    </w:pPr>
    <w:rPr>
      <w:szCs w:val="18"/>
      <w:lang w:val="en-GB" w:eastAsia="x-none"/>
    </w:rPr>
  </w:style>
  <w:style w:type="character" w:customStyle="1" w:styleId="ZkladntextChar">
    <w:name w:val="Základní text Char"/>
    <w:link w:val="Zkladntext"/>
    <w:semiHidden/>
    <w:rsid w:val="006F1C2D"/>
    <w:rPr>
      <w:rFonts w:ascii="Arial" w:hAnsi="Arial" w:cs="Times New Roman"/>
      <w:sz w:val="18"/>
      <w:szCs w:val="18"/>
      <w:lang w:val="en-GB"/>
    </w:rPr>
  </w:style>
  <w:style w:type="character" w:customStyle="1" w:styleId="Nadpis6Char">
    <w:name w:val="Nadpis 6 Char"/>
    <w:link w:val="Nadpis6"/>
    <w:uiPriority w:val="9"/>
    <w:semiHidden/>
    <w:rsid w:val="00D033B9"/>
    <w:rPr>
      <w:rFonts w:ascii="Calibri" w:eastAsia="Times New Roman" w:hAnsi="Calibri" w:cs="Times New Roman"/>
      <w:b/>
      <w:bCs/>
      <w:sz w:val="22"/>
      <w:szCs w:val="22"/>
      <w:lang w:eastAsia="en-US"/>
    </w:rPr>
  </w:style>
  <w:style w:type="paragraph" w:styleId="Zkladntext2">
    <w:name w:val="Body Text 2"/>
    <w:basedOn w:val="Normln"/>
    <w:link w:val="Zkladntext2Char"/>
    <w:uiPriority w:val="99"/>
    <w:semiHidden/>
    <w:unhideWhenUsed/>
    <w:rsid w:val="00D033B9"/>
    <w:pPr>
      <w:spacing w:after="120" w:line="480" w:lineRule="auto"/>
    </w:pPr>
    <w:rPr>
      <w:lang w:val="x-none"/>
    </w:rPr>
  </w:style>
  <w:style w:type="character" w:customStyle="1" w:styleId="Zkladntext2Char">
    <w:name w:val="Základní text 2 Char"/>
    <w:link w:val="Zkladntext2"/>
    <w:uiPriority w:val="99"/>
    <w:semiHidden/>
    <w:rsid w:val="00D033B9"/>
    <w:rPr>
      <w:sz w:val="18"/>
      <w:szCs w:val="22"/>
      <w:lang w:eastAsia="en-US"/>
    </w:rPr>
  </w:style>
  <w:style w:type="paragraph" w:customStyle="1" w:styleId="Bezmezer2">
    <w:name w:val="Bez mezer2"/>
    <w:rsid w:val="00D033B9"/>
    <w:pPr>
      <w:ind w:left="227" w:hanging="227"/>
    </w:pPr>
    <w:rPr>
      <w:rFonts w:cs="Arial"/>
      <w:sz w:val="22"/>
      <w:szCs w:val="22"/>
      <w:lang w:eastAsia="en-US"/>
    </w:rPr>
  </w:style>
  <w:style w:type="paragraph" w:customStyle="1" w:styleId="Odstavecseseznamem2">
    <w:name w:val="Odstavec se seznamem2"/>
    <w:basedOn w:val="Normln"/>
    <w:rsid w:val="00D033B9"/>
    <w:pPr>
      <w:ind w:left="720"/>
    </w:pPr>
    <w:rPr>
      <w:rFonts w:cs="Arial"/>
      <w:szCs w:val="18"/>
    </w:rPr>
  </w:style>
  <w:style w:type="paragraph" w:customStyle="1" w:styleId="Pedmtkomente2">
    <w:name w:val="Předmět komentáře2"/>
    <w:basedOn w:val="Textkomente"/>
    <w:next w:val="Textkomente"/>
    <w:rsid w:val="00D033B9"/>
    <w:rPr>
      <w:rFonts w:cs="Arial"/>
      <w:b/>
      <w:bCs/>
    </w:rPr>
  </w:style>
  <w:style w:type="paragraph" w:customStyle="1" w:styleId="Textbubliny2">
    <w:name w:val="Text bubliny2"/>
    <w:basedOn w:val="Normln"/>
    <w:rsid w:val="00D033B9"/>
    <w:rPr>
      <w:rFonts w:ascii="Tahoma" w:hAnsi="Tahoma" w:cs="Tahoma"/>
      <w:sz w:val="16"/>
      <w:szCs w:val="16"/>
    </w:rPr>
  </w:style>
  <w:style w:type="paragraph" w:customStyle="1" w:styleId="Revize2">
    <w:name w:val="Revize2"/>
    <w:hidden/>
    <w:rsid w:val="00D033B9"/>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VOPKB.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08A8-A07D-4103-B73B-FA2FD713E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VOPKB.dot</Template>
  <TotalTime>1</TotalTime>
  <Pages>11</Pages>
  <Words>10618</Words>
  <Characters>62651</Characters>
  <Application>Microsoft Office Word</Application>
  <DocSecurity>4</DocSecurity>
  <Lines>522</Lines>
  <Paragraphs>146</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Komerční banka, a.s.</Company>
  <LinksUpToDate>false</LinksUpToDate>
  <CharactersWithSpaces>73123</CharactersWithSpaces>
  <SharedDoc>false</SharedDoc>
  <HLinks>
    <vt:vector size="18"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creator>srazimov</dc:creator>
  <cp:lastModifiedBy>MARXOVÁ Milada</cp:lastModifiedBy>
  <cp:revision>2</cp:revision>
  <cp:lastPrinted>2014-11-27T12:24:00Z</cp:lastPrinted>
  <dcterms:created xsi:type="dcterms:W3CDTF">2018-01-30T11:32:00Z</dcterms:created>
  <dcterms:modified xsi:type="dcterms:W3CDTF">2018-01-30T11:32:00Z</dcterms:modified>
</cp:coreProperties>
</file>