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65" w:rsidRPr="006247CA" w:rsidRDefault="00752231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5080" t="10795" r="1397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6pt;margin-top:51.85pt;width:471.7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923C65">
        <w:rPr>
          <w:noProof/>
          <w:lang w:eastAsia="cs-CZ"/>
        </w:rPr>
        <w:drawing>
          <wp:inline distT="0" distB="0" distL="0" distR="0">
            <wp:extent cx="614680" cy="570865"/>
            <wp:effectExtent l="19050" t="0" r="0" b="0"/>
            <wp:docPr id="1" name="obrázek 1" descr="F:\FOTO objekty\SS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FOTO objekty\SSM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C65" w:rsidRPr="006247CA">
        <w:rPr>
          <w:rFonts w:ascii="Cambria" w:hAnsi="Cambria"/>
          <w:b/>
          <w:sz w:val="44"/>
          <w:szCs w:val="44"/>
        </w:rPr>
        <w:t>SOCIÁLNÍ SLUŽBY MĚSTA TŘINCE</w:t>
      </w:r>
    </w:p>
    <w:p w:rsidR="00923C65" w:rsidRDefault="00923C65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C71F36">
        <w:rPr>
          <w:rFonts w:ascii="Cambria" w:hAnsi="Cambria"/>
          <w:sz w:val="24"/>
          <w:szCs w:val="24"/>
        </w:rPr>
        <w:t>příspěvková organizace</w:t>
      </w:r>
    </w:p>
    <w:p w:rsidR="00923C65" w:rsidRPr="006247CA" w:rsidRDefault="00923C65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6247CA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6247CA">
        <w:rPr>
          <w:rFonts w:ascii="Cambria" w:hAnsi="Cambria"/>
          <w:sz w:val="24"/>
          <w:szCs w:val="24"/>
        </w:rPr>
        <w:t>Líštná</w:t>
      </w:r>
      <w:proofErr w:type="spellEnd"/>
    </w:p>
    <w:p w:rsidR="000D2DA3" w:rsidRDefault="000D2DA3" w:rsidP="000C1E03">
      <w:pPr>
        <w:spacing w:after="240"/>
      </w:pPr>
    </w:p>
    <w:p w:rsidR="00A11CFA" w:rsidRDefault="00D01052" w:rsidP="0077581B">
      <w:pPr>
        <w:pStyle w:val="Zpa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075168">
        <w:rPr>
          <w:rFonts w:asciiTheme="minorHAnsi" w:hAnsiTheme="minorHAnsi" w:cstheme="minorHAnsi"/>
          <w:b/>
        </w:rPr>
        <w:t>mlouv</w:t>
      </w:r>
      <w:r>
        <w:rPr>
          <w:rFonts w:asciiTheme="minorHAnsi" w:hAnsiTheme="minorHAnsi" w:cstheme="minorHAnsi"/>
          <w:b/>
        </w:rPr>
        <w:t>a</w:t>
      </w:r>
      <w:r w:rsidR="00A11CFA" w:rsidRPr="00356172">
        <w:rPr>
          <w:rFonts w:asciiTheme="minorHAnsi" w:hAnsiTheme="minorHAnsi" w:cstheme="minorHAnsi"/>
          <w:b/>
        </w:rPr>
        <w:t xml:space="preserve"> o </w:t>
      </w:r>
      <w:r w:rsidR="005B7E53">
        <w:rPr>
          <w:rFonts w:asciiTheme="minorHAnsi" w:hAnsiTheme="minorHAnsi" w:cstheme="minorHAnsi"/>
          <w:b/>
        </w:rPr>
        <w:t xml:space="preserve">poskytnutí </w:t>
      </w:r>
      <w:r w:rsidR="00075168">
        <w:rPr>
          <w:rFonts w:asciiTheme="minorHAnsi" w:hAnsiTheme="minorHAnsi" w:cstheme="minorHAnsi"/>
          <w:b/>
        </w:rPr>
        <w:t xml:space="preserve">služby </w:t>
      </w:r>
      <w:r w:rsidR="00A11CFA" w:rsidRPr="00356172">
        <w:rPr>
          <w:rFonts w:asciiTheme="minorHAnsi" w:hAnsiTheme="minorHAnsi" w:cstheme="minorHAnsi"/>
          <w:b/>
        </w:rPr>
        <w:t xml:space="preserve">č. </w:t>
      </w:r>
      <w:r w:rsidR="00A02802" w:rsidRPr="00A02802">
        <w:rPr>
          <w:rFonts w:asciiTheme="minorHAnsi" w:hAnsiTheme="minorHAnsi" w:cstheme="minorHAnsi"/>
          <w:b/>
        </w:rPr>
        <w:t>20</w:t>
      </w:r>
      <w:r w:rsidR="00232DC8">
        <w:rPr>
          <w:rFonts w:asciiTheme="minorHAnsi" w:hAnsiTheme="minorHAnsi" w:cstheme="minorHAnsi"/>
          <w:b/>
        </w:rPr>
        <w:t>18</w:t>
      </w:r>
      <w:r w:rsidR="00A02802" w:rsidRPr="00A02802">
        <w:rPr>
          <w:rFonts w:asciiTheme="minorHAnsi" w:hAnsiTheme="minorHAnsi" w:cstheme="minorHAnsi"/>
          <w:b/>
        </w:rPr>
        <w:t>/01/</w:t>
      </w:r>
      <w:r w:rsidR="00232DC8">
        <w:rPr>
          <w:rFonts w:asciiTheme="minorHAnsi" w:hAnsiTheme="minorHAnsi" w:cstheme="minorHAnsi"/>
          <w:b/>
        </w:rPr>
        <w:t>003</w:t>
      </w:r>
    </w:p>
    <w:p w:rsidR="00A11CFA" w:rsidRPr="007A6C60" w:rsidRDefault="00075168" w:rsidP="007A6C60">
      <w:pPr>
        <w:pStyle w:val="Zpa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075168">
        <w:rPr>
          <w:rFonts w:asciiTheme="minorHAnsi" w:hAnsiTheme="minorHAnsi" w:cstheme="minorHAnsi"/>
        </w:rPr>
        <w:t xml:space="preserve">a </w:t>
      </w:r>
      <w:r w:rsidR="007A6C60">
        <w:rPr>
          <w:rFonts w:asciiTheme="minorHAnsi" w:hAnsiTheme="minorHAnsi" w:cstheme="minorHAnsi"/>
        </w:rPr>
        <w:t>zajištění technického dozoru investora a koordinaci BOZP při renovaci vestibulu Domova Sosna</w:t>
      </w:r>
    </w:p>
    <w:p w:rsidR="007A6C60" w:rsidRDefault="007A6C60" w:rsidP="00A11CFA">
      <w:pPr>
        <w:pStyle w:val="Bezmezer"/>
        <w:jc w:val="center"/>
        <w:rPr>
          <w:rFonts w:asciiTheme="minorHAnsi" w:hAnsiTheme="minorHAnsi" w:cstheme="minorHAnsi"/>
          <w:b/>
        </w:rPr>
      </w:pPr>
    </w:p>
    <w:p w:rsidR="007A6C60" w:rsidRPr="00356172" w:rsidRDefault="007A6C60" w:rsidP="00A11CFA">
      <w:pPr>
        <w:pStyle w:val="Bezmezer"/>
        <w:jc w:val="center"/>
        <w:rPr>
          <w:rFonts w:asciiTheme="minorHAnsi" w:hAnsiTheme="minorHAnsi" w:cstheme="minorHAnsi"/>
          <w:b/>
        </w:rPr>
      </w:pPr>
    </w:p>
    <w:p w:rsidR="00075168" w:rsidRPr="00A00162" w:rsidRDefault="00075168" w:rsidP="00075168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075168" w:rsidRPr="00A00162" w:rsidRDefault="00075168" w:rsidP="00075168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>
        <w:t xml:space="preserve"> </w:t>
      </w:r>
      <w:r w:rsidRPr="00A00162">
        <w:t xml:space="preserve"> Třinec</w:t>
      </w:r>
      <w:proofErr w:type="gramEnd"/>
    </w:p>
    <w:p w:rsidR="00075168" w:rsidRDefault="00075168" w:rsidP="00075168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075168" w:rsidRDefault="00075168" w:rsidP="00075168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proofErr w:type="spellStart"/>
      <w:r w:rsidR="006A3127">
        <w:t>xxx</w:t>
      </w:r>
      <w:proofErr w:type="spellEnd"/>
      <w:r w:rsidRPr="006F22E4">
        <w:t xml:space="preserve"> </w:t>
      </w:r>
    </w:p>
    <w:p w:rsidR="00075168" w:rsidRDefault="00075168" w:rsidP="00075168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D07DE1">
        <w:t>, ředitelem</w:t>
      </w:r>
    </w:p>
    <w:p w:rsidR="00D07DE1" w:rsidRPr="00A00162" w:rsidRDefault="00D07DE1" w:rsidP="00075168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  <w:t>ssmt@ssmt.cz</w:t>
      </w:r>
    </w:p>
    <w:p w:rsidR="00075168" w:rsidRDefault="00075168" w:rsidP="00075168">
      <w:pPr>
        <w:pStyle w:val="Bezmezer"/>
        <w:jc w:val="both"/>
      </w:pPr>
      <w:r w:rsidRPr="00A00162">
        <w:t>(dále jen „</w:t>
      </w:r>
      <w:r>
        <w:rPr>
          <w:b/>
        </w:rPr>
        <w:t>objednatel</w:t>
      </w:r>
      <w:r w:rsidRPr="00A00162">
        <w:t>“)</w:t>
      </w:r>
    </w:p>
    <w:p w:rsidR="00075168" w:rsidRPr="00A00162" w:rsidRDefault="00075168" w:rsidP="00075168">
      <w:pPr>
        <w:pStyle w:val="Bezmezer"/>
        <w:jc w:val="both"/>
      </w:pPr>
    </w:p>
    <w:p w:rsidR="00075168" w:rsidRPr="00A00162" w:rsidRDefault="00075168" w:rsidP="00075168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</w:p>
    <w:p w:rsidR="00075168" w:rsidRDefault="00075168" w:rsidP="00075168">
      <w:pPr>
        <w:pStyle w:val="Bezmezer"/>
        <w:tabs>
          <w:tab w:val="left" w:pos="3600"/>
        </w:tabs>
        <w:jc w:val="both"/>
        <w:rPr>
          <w:b/>
        </w:rPr>
      </w:pPr>
    </w:p>
    <w:p w:rsidR="00075168" w:rsidRDefault="00D01052" w:rsidP="00075168">
      <w:pPr>
        <w:pStyle w:val="Bezmezer"/>
        <w:tabs>
          <w:tab w:val="left" w:pos="3600"/>
        </w:tabs>
        <w:jc w:val="both"/>
        <w:rPr>
          <w:b/>
        </w:rPr>
      </w:pPr>
      <w:r>
        <w:rPr>
          <w:b/>
        </w:rPr>
        <w:t>1. realitní kancelář v Třinci, s.r.o.</w:t>
      </w:r>
    </w:p>
    <w:p w:rsidR="00075168" w:rsidRPr="002F7A27" w:rsidRDefault="00075168" w:rsidP="00075168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sz w:val="22"/>
          <w:szCs w:val="22"/>
        </w:rPr>
      </w:pPr>
      <w:r w:rsidRPr="002F7A27">
        <w:rPr>
          <w:rFonts w:ascii="Calibri" w:hAnsi="Calibri" w:cs="Arial"/>
          <w:sz w:val="22"/>
          <w:szCs w:val="22"/>
        </w:rPr>
        <w:t>Zapsaná v</w:t>
      </w:r>
      <w:r>
        <w:rPr>
          <w:rFonts w:ascii="Calibri" w:hAnsi="Calibri" w:cs="Arial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sz w:val="22"/>
          <w:szCs w:val="22"/>
        </w:rPr>
        <w:t>rejstříku: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D01052">
        <w:rPr>
          <w:rFonts w:ascii="Calibri" w:hAnsi="Calibri" w:cs="Arial"/>
          <w:sz w:val="22"/>
          <w:szCs w:val="22"/>
        </w:rPr>
        <w:t>KS Ostrava, oddíl C, vložka 4176</w:t>
      </w:r>
    </w:p>
    <w:p w:rsidR="00075168" w:rsidRPr="002F7A27" w:rsidRDefault="00075168" w:rsidP="00075168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sz w:val="22"/>
          <w:szCs w:val="22"/>
        </w:rPr>
      </w:pPr>
      <w:r w:rsidRPr="002F7A27">
        <w:rPr>
          <w:rFonts w:ascii="Calibri" w:hAnsi="Calibri" w:cs="Arial"/>
          <w:sz w:val="22"/>
          <w:szCs w:val="22"/>
        </w:rPr>
        <w:t>Zapsaná v</w:t>
      </w:r>
      <w:r>
        <w:rPr>
          <w:rFonts w:ascii="Calibri" w:hAnsi="Calibri" w:cs="Arial"/>
          <w:sz w:val="22"/>
          <w:szCs w:val="22"/>
        </w:rPr>
        <w:t> </w:t>
      </w:r>
      <w:r w:rsidRPr="002F7A27">
        <w:rPr>
          <w:rFonts w:ascii="Calibri" w:hAnsi="Calibri" w:cs="Arial"/>
          <w:sz w:val="22"/>
          <w:szCs w:val="22"/>
        </w:rPr>
        <w:t>živnost</w:t>
      </w:r>
      <w:r>
        <w:rPr>
          <w:rFonts w:ascii="Calibri" w:hAnsi="Calibri" w:cs="Arial"/>
          <w:sz w:val="22"/>
          <w:szCs w:val="22"/>
        </w:rPr>
        <w:t xml:space="preserve">enském </w:t>
      </w:r>
      <w:r w:rsidRPr="002F7A27">
        <w:rPr>
          <w:rFonts w:ascii="Calibri" w:hAnsi="Calibri" w:cs="Arial"/>
          <w:sz w:val="22"/>
          <w:szCs w:val="22"/>
        </w:rPr>
        <w:t>rejstříku:</w:t>
      </w:r>
      <w:r>
        <w:rPr>
          <w:rFonts w:ascii="Calibri" w:hAnsi="Calibri" w:cs="Arial"/>
          <w:sz w:val="22"/>
          <w:szCs w:val="22"/>
        </w:rPr>
        <w:tab/>
      </w:r>
    </w:p>
    <w:p w:rsidR="00075168" w:rsidRDefault="00075168" w:rsidP="00075168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D01052">
        <w:t xml:space="preserve">Komenského 812, </w:t>
      </w:r>
      <w:proofErr w:type="gramStart"/>
      <w:r w:rsidR="00D01052">
        <w:t>739 61  Třinec</w:t>
      </w:r>
      <w:proofErr w:type="gramEnd"/>
      <w:r w:rsidR="00D01052">
        <w:t xml:space="preserve"> </w:t>
      </w:r>
    </w:p>
    <w:p w:rsidR="00075168" w:rsidRDefault="00075168" w:rsidP="00075168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D01052">
        <w:t>47679646</w:t>
      </w:r>
    </w:p>
    <w:p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D01052">
        <w:t>CZ47679646</w:t>
      </w:r>
      <w:r w:rsidRPr="006F22E4">
        <w:br/>
        <w:t xml:space="preserve">bankovní spojení: </w:t>
      </w:r>
      <w:r>
        <w:tab/>
      </w:r>
      <w:proofErr w:type="spellStart"/>
      <w:r w:rsidR="006A3127">
        <w:t>xxx</w:t>
      </w:r>
      <w:proofErr w:type="spellEnd"/>
    </w:p>
    <w:p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proofErr w:type="spellStart"/>
      <w:r w:rsidR="006A3127">
        <w:t>xxx</w:t>
      </w:r>
      <w:bookmarkStart w:id="0" w:name="_GoBack"/>
      <w:bookmarkEnd w:id="0"/>
      <w:proofErr w:type="spellEnd"/>
    </w:p>
    <w:p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proofErr w:type="spellStart"/>
      <w:r w:rsidR="006A3127">
        <w:t>xxx</w:t>
      </w:r>
      <w:proofErr w:type="spellEnd"/>
    </w:p>
    <w:p w:rsidR="00075168" w:rsidRPr="006F22E4" w:rsidRDefault="00075168" w:rsidP="00075168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r w:rsidR="00D01052">
        <w:t>pavel.madeja@rktrinec.cz</w:t>
      </w:r>
      <w:r w:rsidRPr="006F22E4">
        <w:br/>
        <w:t>(dále jen „</w:t>
      </w:r>
      <w:r w:rsidRPr="009F180E">
        <w:rPr>
          <w:b/>
        </w:rPr>
        <w:t>dodavatel</w:t>
      </w:r>
      <w:r w:rsidRPr="006F22E4">
        <w:t>“)</w:t>
      </w:r>
    </w:p>
    <w:p w:rsidR="00075168" w:rsidRDefault="00075168" w:rsidP="00075168"/>
    <w:p w:rsidR="0068552D" w:rsidRPr="00A00162" w:rsidRDefault="0068552D" w:rsidP="00075168"/>
    <w:p w:rsidR="00A11CFA" w:rsidRPr="00075168" w:rsidRDefault="00075168" w:rsidP="00075168">
      <w:pPr>
        <w:rPr>
          <w:color w:val="FF0000"/>
        </w:rPr>
      </w:pPr>
      <w:r>
        <w:rPr>
          <w:i/>
        </w:rPr>
        <w:t xml:space="preserve">uzavřely níže uvedeného dne, měsíce a roku dle § 2079 a násl. zákona 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:rsidR="00A11CFA" w:rsidRPr="00356172" w:rsidRDefault="00A11CFA" w:rsidP="00A11CFA">
      <w:pPr>
        <w:pStyle w:val="Bezmezer"/>
        <w:tabs>
          <w:tab w:val="left" w:pos="3041"/>
        </w:tabs>
        <w:jc w:val="both"/>
        <w:rPr>
          <w:rFonts w:asciiTheme="minorHAnsi" w:hAnsiTheme="minorHAnsi" w:cstheme="minorHAnsi"/>
        </w:rPr>
      </w:pPr>
      <w:r w:rsidRPr="00356172">
        <w:rPr>
          <w:rFonts w:asciiTheme="minorHAnsi" w:hAnsiTheme="minorHAnsi" w:cstheme="minorHAnsi"/>
        </w:rPr>
        <w:tab/>
      </w:r>
    </w:p>
    <w:p w:rsidR="005B7E53" w:rsidRDefault="005B7E53" w:rsidP="00F764D2">
      <w:pPr>
        <w:spacing w:after="0"/>
        <w:jc w:val="center"/>
        <w:rPr>
          <w:rFonts w:asciiTheme="minorHAnsi" w:hAnsiTheme="minorHAnsi"/>
          <w:b/>
          <w:noProof/>
          <w:lang w:eastAsia="cs-CZ"/>
        </w:rPr>
      </w:pPr>
      <w:r>
        <w:rPr>
          <w:rFonts w:asciiTheme="minorHAnsi" w:hAnsiTheme="minorHAnsi"/>
          <w:b/>
          <w:noProof/>
          <w:lang w:eastAsia="cs-CZ"/>
        </w:rPr>
        <w:t>I.</w:t>
      </w:r>
    </w:p>
    <w:p w:rsidR="00075168" w:rsidRDefault="00075168" w:rsidP="00F764D2">
      <w:pPr>
        <w:spacing w:after="0"/>
        <w:jc w:val="center"/>
        <w:rPr>
          <w:b/>
        </w:rPr>
      </w:pPr>
      <w:r w:rsidRPr="00A00162">
        <w:rPr>
          <w:b/>
        </w:rPr>
        <w:t>Předmět smlouvy</w:t>
      </w:r>
    </w:p>
    <w:p w:rsidR="00F764D2" w:rsidRDefault="00F764D2" w:rsidP="00BC3A6F">
      <w:pPr>
        <w:spacing w:after="120" w:line="240" w:lineRule="auto"/>
        <w:jc w:val="center"/>
        <w:rPr>
          <w:rFonts w:asciiTheme="minorHAnsi" w:hAnsiTheme="minorHAnsi"/>
          <w:b/>
          <w:noProof/>
          <w:lang w:eastAsia="cs-CZ"/>
        </w:rPr>
      </w:pPr>
    </w:p>
    <w:p w:rsidR="00C06884" w:rsidRPr="00BD371C" w:rsidRDefault="005B7E53" w:rsidP="00BC3A6F">
      <w:pPr>
        <w:pStyle w:val="Odstavecseseznamem"/>
        <w:numPr>
          <w:ilvl w:val="0"/>
          <w:numId w:val="20"/>
        </w:numPr>
        <w:spacing w:after="120" w:line="240" w:lineRule="auto"/>
        <w:jc w:val="both"/>
        <w:rPr>
          <w:b/>
          <w:i/>
        </w:rPr>
      </w:pPr>
      <w:r w:rsidRPr="00BC3A6F">
        <w:rPr>
          <w:rFonts w:asciiTheme="minorHAnsi" w:hAnsiTheme="minorHAnsi"/>
          <w:noProof/>
          <w:lang w:eastAsia="cs-CZ"/>
        </w:rPr>
        <w:t xml:space="preserve">Tato smlouva se uzavírá </w:t>
      </w:r>
      <w:r w:rsidR="00C06884" w:rsidRPr="00BC3A6F">
        <w:rPr>
          <w:rFonts w:asciiTheme="minorHAnsi" w:hAnsiTheme="minorHAnsi" w:cs="Arial"/>
        </w:rPr>
        <w:t xml:space="preserve">na dobu </w:t>
      </w:r>
      <w:r w:rsidR="00232DC8" w:rsidRPr="00BC3A6F">
        <w:rPr>
          <w:rFonts w:asciiTheme="minorHAnsi" w:hAnsiTheme="minorHAnsi" w:cs="Arial"/>
        </w:rPr>
        <w:t xml:space="preserve">od </w:t>
      </w:r>
      <w:proofErr w:type="gramStart"/>
      <w:r w:rsidR="00232DC8" w:rsidRPr="00BC3A6F">
        <w:rPr>
          <w:rFonts w:asciiTheme="minorHAnsi" w:hAnsiTheme="minorHAnsi" w:cs="Arial"/>
        </w:rPr>
        <w:t>1.3.2018</w:t>
      </w:r>
      <w:proofErr w:type="gramEnd"/>
      <w:r w:rsidR="00232DC8" w:rsidRPr="00BC3A6F">
        <w:rPr>
          <w:rFonts w:asciiTheme="minorHAnsi" w:hAnsiTheme="minorHAnsi" w:cs="Arial"/>
        </w:rPr>
        <w:t xml:space="preserve"> do 31.7.2018 pro akci „</w:t>
      </w:r>
      <w:r w:rsidR="00232DC8" w:rsidRPr="00BC3A6F">
        <w:rPr>
          <w:i/>
        </w:rPr>
        <w:t>Renovace vestibulu včetně rampy a schodiště –</w:t>
      </w:r>
      <w:r w:rsidR="00232DC8" w:rsidRPr="00BC3A6F">
        <w:rPr>
          <w:b/>
          <w:i/>
        </w:rPr>
        <w:t xml:space="preserve"> část I“ </w:t>
      </w:r>
      <w:r w:rsidR="00232DC8" w:rsidRPr="00BC3A6F">
        <w:rPr>
          <w:i/>
        </w:rPr>
        <w:t xml:space="preserve">a od 1.2.2018 do 31.5.2018 pro akci </w:t>
      </w:r>
      <w:r w:rsidR="00232DC8" w:rsidRPr="00BC3A6F">
        <w:rPr>
          <w:b/>
          <w:i/>
        </w:rPr>
        <w:t>„</w:t>
      </w:r>
      <w:r w:rsidR="00232DC8" w:rsidRPr="00BC3A6F">
        <w:rPr>
          <w:i/>
        </w:rPr>
        <w:t>Renovace vestibulu včetně rampy a schodiště –</w:t>
      </w:r>
      <w:r w:rsidR="00232DC8" w:rsidRPr="00BC3A6F">
        <w:rPr>
          <w:b/>
          <w:i/>
        </w:rPr>
        <w:t xml:space="preserve"> část II“ </w:t>
      </w:r>
      <w:r w:rsidR="00232DC8" w:rsidRPr="00232DC8">
        <w:t>v objektu</w:t>
      </w:r>
      <w:r w:rsidR="00232DC8" w:rsidRPr="00BC3A6F">
        <w:rPr>
          <w:i/>
        </w:rPr>
        <w:t xml:space="preserve"> </w:t>
      </w:r>
      <w:r w:rsidRPr="00BC3A6F">
        <w:rPr>
          <w:rFonts w:asciiTheme="minorHAnsi" w:hAnsiTheme="minorHAnsi"/>
          <w:noProof/>
          <w:lang w:eastAsia="cs-CZ"/>
        </w:rPr>
        <w:t>Domov</w:t>
      </w:r>
      <w:r w:rsidR="00232DC8" w:rsidRPr="00BC3A6F">
        <w:rPr>
          <w:rFonts w:asciiTheme="minorHAnsi" w:hAnsiTheme="minorHAnsi"/>
          <w:noProof/>
          <w:lang w:eastAsia="cs-CZ"/>
        </w:rPr>
        <w:t>a</w:t>
      </w:r>
      <w:r w:rsidRPr="00BC3A6F">
        <w:rPr>
          <w:rFonts w:asciiTheme="minorHAnsi" w:hAnsiTheme="minorHAnsi"/>
          <w:noProof/>
          <w:lang w:eastAsia="cs-CZ"/>
        </w:rPr>
        <w:t xml:space="preserve"> Sosna na ul. Habrově 302 v Třinci.</w:t>
      </w:r>
    </w:p>
    <w:p w:rsidR="00BD371C" w:rsidRDefault="00BD371C" w:rsidP="00BD371C">
      <w:pPr>
        <w:spacing w:after="120" w:line="240" w:lineRule="auto"/>
        <w:jc w:val="both"/>
        <w:rPr>
          <w:b/>
          <w:i/>
        </w:rPr>
      </w:pPr>
    </w:p>
    <w:p w:rsidR="00BD371C" w:rsidRPr="00BD371C" w:rsidRDefault="00BD371C" w:rsidP="00BD371C">
      <w:pPr>
        <w:spacing w:after="120" w:line="240" w:lineRule="auto"/>
        <w:jc w:val="both"/>
        <w:rPr>
          <w:b/>
          <w:i/>
        </w:rPr>
      </w:pPr>
    </w:p>
    <w:p w:rsidR="00BC3A6F" w:rsidRDefault="00BC3A6F" w:rsidP="00BC3A6F">
      <w:pPr>
        <w:spacing w:after="120" w:line="240" w:lineRule="auto"/>
      </w:pPr>
    </w:p>
    <w:p w:rsidR="00BC3A6F" w:rsidRDefault="00BC3A6F" w:rsidP="00BC3A6F">
      <w:pPr>
        <w:pStyle w:val="Odstavecseseznamem"/>
        <w:numPr>
          <w:ilvl w:val="0"/>
          <w:numId w:val="20"/>
        </w:numPr>
        <w:spacing w:after="120" w:line="240" w:lineRule="auto"/>
      </w:pPr>
      <w:r w:rsidRPr="00425B03">
        <w:t xml:space="preserve">Předmětem plnění veřejné zakázky je výkon technického dozoru investora (dále jen „TDI“) při realizaci veřejné zakázky na </w:t>
      </w:r>
      <w:r>
        <w:t>renovaci vestibulu včetně rampy a schodiště – část I a II</w:t>
      </w:r>
      <w:r w:rsidRPr="00425B03">
        <w:t xml:space="preserve"> (dále též „stavba“). Technickým dozorem investora se rozumí obstarání záležitostí a zastoupení zadavatele jako stavebníka (investora) v průběhu realizace stavby a po jejím dokončení spočívající zejména v kontrole kvality provádění stavby a zajištění souladu provádění stavby s právními předpisy, projektovou dokumentací a příslušnými správními rozhodnutími.</w:t>
      </w:r>
    </w:p>
    <w:p w:rsidR="00BC3A6F" w:rsidRPr="00425B03" w:rsidRDefault="00BC3A6F" w:rsidP="00BC3A6F">
      <w:pPr>
        <w:spacing w:after="120" w:line="240" w:lineRule="auto"/>
      </w:pPr>
    </w:p>
    <w:p w:rsidR="00BC3A6F" w:rsidRPr="00BC3A6F" w:rsidRDefault="00BC3A6F" w:rsidP="00BC3A6F">
      <w:pPr>
        <w:pStyle w:val="Odstavecseseznamem"/>
        <w:numPr>
          <w:ilvl w:val="0"/>
          <w:numId w:val="20"/>
        </w:numPr>
        <w:spacing w:after="120" w:line="240" w:lineRule="auto"/>
        <w:rPr>
          <w:b/>
        </w:rPr>
      </w:pPr>
      <w:r w:rsidRPr="00BC3A6F">
        <w:rPr>
          <w:b/>
        </w:rPr>
        <w:t>Náplní práce TDI bude zejména: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protokolární předání staveniště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dohled na řádné vedení stavebního deníku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kontrola dodržování podmínek uvedených ve stavebním povolení a vyjádření dotčených orgánů státní správy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dohled na dodržování technologických postupů a závazných předpisů, dohled, zda zhotovitelé provádějí předepsané a dohodnuté zkoušky konstrukcí a prací, kontrolu jejich výsledků a dodání dokladů, které prokazují kvalitu prováděných prací a dodávek (certifikáty, atesty, protokoly apod.)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>
        <w:tab/>
      </w:r>
      <w:r w:rsidRPr="00425B03">
        <w:t xml:space="preserve">operativní řešení zjištěných nejasností 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koordinace postupů profesí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kontrola části díla, které budou zakryty, případně budou trvale nepřístupné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fotodokumentace v průběhu prací</w:t>
      </w:r>
    </w:p>
    <w:p w:rsidR="00BC3A6F" w:rsidRPr="00425B03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 xml:space="preserve">zajištění a řízení týdenních kontrolních dnů a provádění zápisů z nich </w:t>
      </w:r>
    </w:p>
    <w:p w:rsidR="00BC3A6F" w:rsidRDefault="00BC3A6F" w:rsidP="00BC3A6F">
      <w:pPr>
        <w:spacing w:after="0" w:line="240" w:lineRule="auto"/>
        <w:ind w:left="360"/>
      </w:pPr>
      <w:r w:rsidRPr="00425B03">
        <w:t>-</w:t>
      </w:r>
      <w:r w:rsidRPr="00425B03">
        <w:tab/>
        <w:t>kontrola věcné a cenové správnosti a úplnosti oceňovacích podkladů a jejich soulad s podmínkami uvedenými ve smlouvách a jejich předání k úhradě investorovi</w:t>
      </w:r>
    </w:p>
    <w:p w:rsidR="00BC3A6F" w:rsidRDefault="00BC3A6F" w:rsidP="00BC3A6F">
      <w:pPr>
        <w:widowControl w:val="0"/>
        <w:numPr>
          <w:ilvl w:val="0"/>
          <w:numId w:val="19"/>
        </w:numPr>
        <w:tabs>
          <w:tab w:val="clear" w:pos="720"/>
          <w:tab w:val="num" w:pos="1080"/>
        </w:tabs>
        <w:adjustRightInd w:val="0"/>
        <w:spacing w:after="0" w:line="240" w:lineRule="auto"/>
        <w:ind w:left="1080" w:right="66"/>
        <w:jc w:val="both"/>
        <w:rPr>
          <w:rFonts w:cs="Calibri"/>
        </w:rPr>
      </w:pPr>
      <w:r>
        <w:rPr>
          <w:rFonts w:cs="Calibri"/>
        </w:rPr>
        <w:t>kontrola dodržování harmonogramu renovace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0" w:line="240" w:lineRule="auto"/>
        <w:ind w:left="1080" w:right="66"/>
        <w:jc w:val="both"/>
        <w:rPr>
          <w:rFonts w:cs="Calibri"/>
        </w:rPr>
      </w:pPr>
      <w:r>
        <w:rPr>
          <w:rFonts w:cs="Calibri"/>
        </w:rPr>
        <w:t>konzultace s investorem o oprávněnosti požadavků dodavatele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0" w:line="240" w:lineRule="auto"/>
        <w:ind w:left="1080" w:right="66"/>
        <w:jc w:val="both"/>
        <w:rPr>
          <w:rFonts w:cs="Calibri"/>
        </w:rPr>
      </w:pPr>
      <w:r>
        <w:rPr>
          <w:rFonts w:cs="Calibri"/>
        </w:rPr>
        <w:t>přejímky jednotlivých etap renovace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0" w:line="240" w:lineRule="auto"/>
        <w:ind w:left="1080" w:right="66"/>
        <w:jc w:val="both"/>
        <w:rPr>
          <w:rFonts w:cs="Calibri"/>
        </w:rPr>
      </w:pPr>
      <w:r>
        <w:rPr>
          <w:rFonts w:cs="Calibri"/>
        </w:rPr>
        <w:t>zajištění odstranění zjištěných vad a nedodělků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0" w:line="240" w:lineRule="auto"/>
        <w:ind w:left="1080" w:right="66"/>
        <w:jc w:val="both"/>
        <w:rPr>
          <w:rFonts w:cs="Calibri"/>
        </w:rPr>
      </w:pPr>
      <w:r>
        <w:rPr>
          <w:rFonts w:cs="Calibri"/>
        </w:rPr>
        <w:t>účast na přejímce celého díla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0" w:line="240" w:lineRule="auto"/>
        <w:ind w:left="1080" w:right="66"/>
        <w:jc w:val="both"/>
        <w:rPr>
          <w:rFonts w:cs="Calibri"/>
        </w:rPr>
      </w:pPr>
      <w:r>
        <w:rPr>
          <w:rFonts w:cs="Calibri"/>
        </w:rPr>
        <w:t>shromáždění listinných dokladů pro kolaudační řízení</w:t>
      </w:r>
    </w:p>
    <w:p w:rsidR="00BC3A6F" w:rsidRDefault="00BC3A6F" w:rsidP="00BC3A6F">
      <w:pPr>
        <w:spacing w:after="0" w:line="240" w:lineRule="auto"/>
        <w:ind w:left="360"/>
        <w:rPr>
          <w:rFonts w:cs="Calibri"/>
        </w:rPr>
      </w:pPr>
      <w:r>
        <w:rPr>
          <w:rFonts w:cs="Calibri"/>
        </w:rPr>
        <w:t>účast na kolaudačním řízení se Stavebním úřadem a dalšími orgány státní správy</w:t>
      </w:r>
    </w:p>
    <w:p w:rsidR="00BC3A6F" w:rsidRDefault="00BC3A6F" w:rsidP="00BC3A6F">
      <w:pPr>
        <w:spacing w:after="0" w:line="240" w:lineRule="auto"/>
        <w:rPr>
          <w:rFonts w:cs="Calibri"/>
        </w:rPr>
      </w:pPr>
    </w:p>
    <w:p w:rsidR="00BC3A6F" w:rsidRPr="00BC3A6F" w:rsidRDefault="00BC3A6F" w:rsidP="00BC3A6F">
      <w:pPr>
        <w:pStyle w:val="Odstavecseseznamem"/>
        <w:numPr>
          <w:ilvl w:val="0"/>
          <w:numId w:val="20"/>
        </w:numPr>
        <w:spacing w:after="120" w:line="240" w:lineRule="auto"/>
        <w:rPr>
          <w:rFonts w:cs="Calibri"/>
          <w:b/>
        </w:rPr>
      </w:pPr>
      <w:r w:rsidRPr="00BC3A6F">
        <w:rPr>
          <w:b/>
        </w:rPr>
        <w:t>Náplní práce koordinátora BOZP bude zejména: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120" w:line="240" w:lineRule="auto"/>
        <w:ind w:right="66"/>
        <w:jc w:val="both"/>
        <w:rPr>
          <w:rFonts w:cs="Calibri"/>
          <w:bCs/>
        </w:rPr>
      </w:pPr>
      <w:r>
        <w:rPr>
          <w:rFonts w:cs="Calibri"/>
          <w:bCs/>
        </w:rPr>
        <w:t>zajištění činností v souladu se zákonem č. 309/2006 Sb., kterým se upravují další požadavky bezpečnosti a ochrany zdraví při práci v pracovněprávních vztazích a o zajištění bezpečnosti a ochrany zdraví při činnosti nebo poskytování služeb mimo pracovněprávní vztahy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120" w:line="240" w:lineRule="auto"/>
        <w:ind w:right="66"/>
        <w:jc w:val="both"/>
        <w:rPr>
          <w:rFonts w:cs="Calibri"/>
          <w:bCs/>
        </w:rPr>
      </w:pPr>
      <w:r>
        <w:rPr>
          <w:rFonts w:cs="Calibri"/>
          <w:bCs/>
        </w:rPr>
        <w:t>organizace kontrolních dnů k dodržování plánu BOZP za účasti zhotovitele stavby a investora, vedení zápisů z kontrolních dnů o zjištěných nedostatcích v bezpečnosti a ochraně zdraví při práci na staveništi a návrzích opatření vedoucích k odstranění nedostatků,</w:t>
      </w:r>
    </w:p>
    <w:p w:rsidR="00BC3A6F" w:rsidRDefault="00BC3A6F" w:rsidP="00BC3A6F">
      <w:pPr>
        <w:widowControl w:val="0"/>
        <w:numPr>
          <w:ilvl w:val="0"/>
          <w:numId w:val="19"/>
        </w:numPr>
        <w:adjustRightInd w:val="0"/>
        <w:spacing w:after="120" w:line="240" w:lineRule="auto"/>
        <w:ind w:right="66"/>
        <w:jc w:val="both"/>
        <w:rPr>
          <w:rFonts w:cs="Calibri"/>
          <w:bCs/>
        </w:rPr>
      </w:pPr>
      <w:r>
        <w:rPr>
          <w:rFonts w:cs="Calibri"/>
          <w:bCs/>
        </w:rPr>
        <w:t xml:space="preserve">kontrola zabezpečení obvodu staveniště, včetně vjezdu na staveniště s cílem zamezit vstup nepovolaným fyzickým osobám, </w:t>
      </w:r>
      <w:r w:rsidRPr="00EB10D1">
        <w:rPr>
          <w:rFonts w:cs="Calibri"/>
          <w:bCs/>
        </w:rPr>
        <w:t>sledování dodržování plánu BOZP a aktualizace plánu BOZP na základě zjištěných nových skutečností na kontrolních dnech k dodržování plánu BOZP</w:t>
      </w:r>
    </w:p>
    <w:p w:rsidR="00BC3A6F" w:rsidRPr="00EB10D1" w:rsidRDefault="00BC3A6F" w:rsidP="00BC3A6F">
      <w:pPr>
        <w:widowControl w:val="0"/>
        <w:numPr>
          <w:ilvl w:val="0"/>
          <w:numId w:val="19"/>
        </w:numPr>
        <w:adjustRightInd w:val="0"/>
        <w:spacing w:after="120" w:line="240" w:lineRule="auto"/>
        <w:ind w:right="66"/>
        <w:jc w:val="both"/>
        <w:rPr>
          <w:rFonts w:cs="Calibri"/>
          <w:bCs/>
        </w:rPr>
      </w:pPr>
      <w:r>
        <w:rPr>
          <w:rFonts w:cs="Calibri"/>
          <w:bCs/>
        </w:rPr>
        <w:t xml:space="preserve">činnost koordinátora BOZP může být zajištěna subdodavatelem, který prokáže své kvalifikační schopnosti dokladem </w:t>
      </w:r>
      <w:r w:rsidR="009720DE">
        <w:rPr>
          <w:rFonts w:cs="Calibri"/>
          <w:bCs/>
        </w:rPr>
        <w:t xml:space="preserve">před zahájením činnosti </w:t>
      </w:r>
      <w:r>
        <w:rPr>
          <w:rFonts w:cs="Calibri"/>
          <w:bCs/>
        </w:rPr>
        <w:t>dle aktuálních právních předpisů.</w:t>
      </w:r>
    </w:p>
    <w:p w:rsidR="00B80CA9" w:rsidRDefault="00B80CA9" w:rsidP="00BC3A6F">
      <w:pPr>
        <w:pStyle w:val="Odstavecseseznamem"/>
        <w:spacing w:after="120" w:line="240" w:lineRule="auto"/>
        <w:ind w:left="720"/>
        <w:contextualSpacing/>
        <w:rPr>
          <w:rFonts w:asciiTheme="minorHAnsi" w:hAnsiTheme="minorHAnsi"/>
          <w:b/>
        </w:rPr>
      </w:pPr>
    </w:p>
    <w:p w:rsidR="00D07DE1" w:rsidRDefault="00D07DE1" w:rsidP="00B80CA9">
      <w:pPr>
        <w:pStyle w:val="Odstavecseseznamem"/>
        <w:ind w:left="720"/>
        <w:contextualSpacing/>
        <w:rPr>
          <w:rFonts w:asciiTheme="minorHAnsi" w:hAnsiTheme="minorHAnsi"/>
          <w:b/>
        </w:rPr>
      </w:pPr>
    </w:p>
    <w:p w:rsidR="00BC3A6F" w:rsidRDefault="00BC3A6F" w:rsidP="00B80CA9">
      <w:pPr>
        <w:pStyle w:val="Odstavecseseznamem"/>
        <w:ind w:left="720"/>
        <w:contextualSpacing/>
        <w:rPr>
          <w:rFonts w:asciiTheme="minorHAnsi" w:hAnsiTheme="minorHAnsi"/>
          <w:b/>
        </w:rPr>
      </w:pPr>
    </w:p>
    <w:p w:rsidR="00BC3A6F" w:rsidRDefault="00BC3A6F" w:rsidP="00B80CA9">
      <w:pPr>
        <w:pStyle w:val="Odstavecseseznamem"/>
        <w:ind w:left="720"/>
        <w:contextualSpacing/>
        <w:rPr>
          <w:rFonts w:asciiTheme="minorHAnsi" w:hAnsiTheme="minorHAnsi"/>
          <w:b/>
        </w:rPr>
      </w:pPr>
    </w:p>
    <w:p w:rsidR="005B7E53" w:rsidRDefault="005B7E53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075168" w:rsidRDefault="00075168" w:rsidP="00F764D2">
      <w:pPr>
        <w:pStyle w:val="Odstavecseseznamem"/>
        <w:spacing w:after="0"/>
        <w:ind w:left="425"/>
        <w:jc w:val="center"/>
        <w:rPr>
          <w:b/>
        </w:rPr>
      </w:pPr>
      <w:r w:rsidRPr="00A00162">
        <w:rPr>
          <w:b/>
        </w:rPr>
        <w:t xml:space="preserve">Cena předmětu </w:t>
      </w:r>
      <w:r w:rsidR="00905A2C">
        <w:rPr>
          <w:b/>
        </w:rPr>
        <w:t>služby</w:t>
      </w:r>
      <w:r w:rsidRPr="00A00162">
        <w:rPr>
          <w:b/>
        </w:rPr>
        <w:t xml:space="preserve"> a platební podmínky</w:t>
      </w:r>
    </w:p>
    <w:p w:rsidR="00F764D2" w:rsidRDefault="00F764D2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:rsidR="0068552D" w:rsidRDefault="0068552D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:rsidR="0066604D" w:rsidRPr="0066604D" w:rsidRDefault="005B7E53" w:rsidP="005B7E53">
      <w:pPr>
        <w:pStyle w:val="Odstavecseseznamem"/>
        <w:numPr>
          <w:ilvl w:val="0"/>
          <w:numId w:val="10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činnost uvedenou v článku I. se sjednává </w:t>
      </w:r>
      <w:r w:rsidR="0068552D">
        <w:rPr>
          <w:rFonts w:asciiTheme="minorHAnsi" w:hAnsiTheme="minorHAnsi"/>
        </w:rPr>
        <w:t xml:space="preserve">pro akci </w:t>
      </w:r>
      <w:r w:rsidR="0068552D" w:rsidRPr="00BC3A6F">
        <w:rPr>
          <w:rFonts w:asciiTheme="minorHAnsi" w:hAnsiTheme="minorHAnsi" w:cs="Arial"/>
        </w:rPr>
        <w:t>„</w:t>
      </w:r>
      <w:r w:rsidR="0068552D" w:rsidRPr="00BC3A6F">
        <w:rPr>
          <w:i/>
        </w:rPr>
        <w:t>Renovace vestibulu včetně rampy a schodiště –</w:t>
      </w:r>
      <w:r w:rsidR="0068552D" w:rsidRPr="00BC3A6F">
        <w:rPr>
          <w:b/>
          <w:i/>
        </w:rPr>
        <w:t xml:space="preserve"> část I“</w:t>
      </w:r>
      <w:r w:rsidR="0068552D">
        <w:rPr>
          <w:b/>
          <w:i/>
        </w:rPr>
        <w:t xml:space="preserve"> </w:t>
      </w:r>
      <w:r>
        <w:rPr>
          <w:rFonts w:asciiTheme="minorHAnsi" w:hAnsiTheme="minorHAnsi"/>
        </w:rPr>
        <w:t xml:space="preserve">měsíční úhrada </w:t>
      </w:r>
      <w:r w:rsidRPr="002B71C3">
        <w:rPr>
          <w:rFonts w:asciiTheme="minorHAnsi" w:hAnsiTheme="minorHAnsi"/>
        </w:rPr>
        <w:t xml:space="preserve">ve výši </w:t>
      </w:r>
      <w:r w:rsidR="00D01052">
        <w:rPr>
          <w:rFonts w:asciiTheme="minorHAnsi" w:hAnsiTheme="minorHAnsi"/>
        </w:rPr>
        <w:t>35.500,-</w:t>
      </w:r>
      <w:r w:rsidR="00A02802">
        <w:rPr>
          <w:rFonts w:asciiTheme="minorHAnsi" w:hAnsiTheme="minorHAnsi"/>
        </w:rPr>
        <w:t xml:space="preserve"> </w:t>
      </w:r>
      <w:r w:rsidRPr="002B71C3">
        <w:rPr>
          <w:rFonts w:asciiTheme="minorHAnsi" w:hAnsiTheme="minorHAnsi"/>
        </w:rPr>
        <w:t>Kč bez</w:t>
      </w:r>
      <w:r>
        <w:rPr>
          <w:rFonts w:asciiTheme="minorHAnsi" w:hAnsiTheme="minorHAnsi"/>
        </w:rPr>
        <w:t xml:space="preserve"> DPH.</w:t>
      </w:r>
      <w:r w:rsidR="00BC3A6F">
        <w:rPr>
          <w:rFonts w:asciiTheme="minorHAnsi" w:hAnsiTheme="minorHAnsi"/>
          <w:b/>
        </w:rPr>
        <w:t xml:space="preserve"> </w:t>
      </w:r>
    </w:p>
    <w:p w:rsidR="005B7E53" w:rsidRDefault="0068552D" w:rsidP="005B7E53">
      <w:pPr>
        <w:pStyle w:val="Odstavecseseznamem"/>
        <w:numPr>
          <w:ilvl w:val="0"/>
          <w:numId w:val="10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činnost uvedenou v článku I. se sjednává pro akci </w:t>
      </w:r>
      <w:r w:rsidRPr="00BC3A6F">
        <w:rPr>
          <w:rFonts w:asciiTheme="minorHAnsi" w:hAnsiTheme="minorHAnsi" w:cs="Arial"/>
        </w:rPr>
        <w:t>„</w:t>
      </w:r>
      <w:r w:rsidRPr="00BC3A6F">
        <w:rPr>
          <w:i/>
        </w:rPr>
        <w:t>Renovace vestibulu včetně rampy a schodiště –</w:t>
      </w:r>
      <w:r w:rsidRPr="00BC3A6F">
        <w:rPr>
          <w:b/>
          <w:i/>
        </w:rPr>
        <w:t xml:space="preserve"> část I</w:t>
      </w:r>
      <w:r>
        <w:rPr>
          <w:b/>
          <w:i/>
        </w:rPr>
        <w:t>I</w:t>
      </w:r>
      <w:r w:rsidRPr="00BC3A6F">
        <w:rPr>
          <w:b/>
          <w:i/>
        </w:rPr>
        <w:t>“</w:t>
      </w:r>
      <w:r>
        <w:rPr>
          <w:b/>
          <w:i/>
        </w:rPr>
        <w:t xml:space="preserve"> </w:t>
      </w:r>
      <w:r>
        <w:rPr>
          <w:rFonts w:asciiTheme="minorHAnsi" w:hAnsiTheme="minorHAnsi"/>
        </w:rPr>
        <w:t xml:space="preserve">měsíční úhrada </w:t>
      </w:r>
      <w:r w:rsidRPr="002B71C3">
        <w:rPr>
          <w:rFonts w:asciiTheme="minorHAnsi" w:hAnsiTheme="minorHAnsi"/>
        </w:rPr>
        <w:t xml:space="preserve">ve výši </w:t>
      </w:r>
      <w:r w:rsidR="00D01052">
        <w:rPr>
          <w:rFonts w:asciiTheme="minorHAnsi" w:hAnsiTheme="minorHAnsi"/>
        </w:rPr>
        <w:t>38.000,-</w:t>
      </w:r>
      <w:r>
        <w:rPr>
          <w:rFonts w:asciiTheme="minorHAnsi" w:hAnsiTheme="minorHAnsi"/>
        </w:rPr>
        <w:t xml:space="preserve"> </w:t>
      </w:r>
      <w:r w:rsidRPr="002B71C3">
        <w:rPr>
          <w:rFonts w:asciiTheme="minorHAnsi" w:hAnsiTheme="minorHAnsi"/>
        </w:rPr>
        <w:t>Kč bez</w:t>
      </w:r>
      <w:r>
        <w:rPr>
          <w:rFonts w:asciiTheme="minorHAnsi" w:hAnsiTheme="minorHAnsi"/>
        </w:rPr>
        <w:t xml:space="preserve"> DPH.</w:t>
      </w:r>
    </w:p>
    <w:p w:rsidR="005B7E53" w:rsidRDefault="00BC3A6F" w:rsidP="005B7E53">
      <w:pPr>
        <w:pStyle w:val="Odstavecseseznamem"/>
        <w:numPr>
          <w:ilvl w:val="0"/>
          <w:numId w:val="10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5B7E53">
        <w:rPr>
          <w:rFonts w:asciiTheme="minorHAnsi" w:hAnsiTheme="minorHAnsi"/>
        </w:rPr>
        <w:t xml:space="preserve">aktura bude mít splatnost 14 dní a bude obsahovat všechny podstatné zákonné náležitosti, v opačném případě není objednatel povinen ji hradit. </w:t>
      </w:r>
    </w:p>
    <w:p w:rsidR="005B7E53" w:rsidRDefault="005B7E53" w:rsidP="005B7E53">
      <w:pPr>
        <w:pStyle w:val="Odstavecseseznamem"/>
        <w:numPr>
          <w:ilvl w:val="0"/>
          <w:numId w:val="10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Jestliže objednatel neuhradí fakturu ve sjednané době, bude povinen zaplatit úrok z prodlení ve výši 0,05% z dlužné částky za každý den prodlení. </w:t>
      </w:r>
    </w:p>
    <w:p w:rsidR="00905A2C" w:rsidRDefault="00905A2C" w:rsidP="005B7E53">
      <w:pPr>
        <w:pStyle w:val="Odstavecseseznamem"/>
        <w:numPr>
          <w:ilvl w:val="0"/>
          <w:numId w:val="10"/>
        </w:numPr>
        <w:ind w:left="426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Změnili se v průběhu smluvního vztahu výše sazby DPH, bude tato účtována dle platných právních předpisů.</w:t>
      </w:r>
      <w:r w:rsidR="0068552D" w:rsidRPr="0068552D">
        <w:rPr>
          <w:rFonts w:asciiTheme="minorHAnsi" w:hAnsiTheme="minorHAnsi"/>
        </w:rPr>
        <w:t xml:space="preserve"> </w:t>
      </w:r>
      <w:r w:rsidR="0068552D" w:rsidRPr="00BC3A6F">
        <w:rPr>
          <w:rFonts w:asciiTheme="minorHAnsi" w:hAnsiTheme="minorHAnsi"/>
        </w:rPr>
        <w:t>Výše DPH bude stanovena dle aktuálních platných předpisů.</w:t>
      </w:r>
    </w:p>
    <w:p w:rsidR="005B7E53" w:rsidRDefault="005B7E53" w:rsidP="005B7E53">
      <w:pPr>
        <w:pStyle w:val="Odstavecseseznamem"/>
        <w:ind w:left="426"/>
        <w:rPr>
          <w:rFonts w:asciiTheme="minorHAnsi" w:hAnsiTheme="minorHAnsi"/>
        </w:rPr>
      </w:pPr>
    </w:p>
    <w:p w:rsidR="0068552D" w:rsidRDefault="0068552D" w:rsidP="005B7E53">
      <w:pPr>
        <w:pStyle w:val="Odstavecseseznamem"/>
        <w:ind w:left="426"/>
        <w:rPr>
          <w:rFonts w:asciiTheme="minorHAnsi" w:hAnsiTheme="minorHAnsi"/>
        </w:rPr>
      </w:pPr>
    </w:p>
    <w:p w:rsidR="005B7E53" w:rsidRDefault="005B7E53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  <w:r w:rsidRPr="002C6782">
        <w:rPr>
          <w:rFonts w:asciiTheme="minorHAnsi" w:hAnsiTheme="minorHAnsi"/>
          <w:b/>
        </w:rPr>
        <w:t>III.</w:t>
      </w:r>
    </w:p>
    <w:p w:rsidR="00075168" w:rsidRDefault="00075168" w:rsidP="00F764D2">
      <w:pPr>
        <w:pStyle w:val="Odstavecseseznamem"/>
        <w:spacing w:after="0"/>
        <w:ind w:left="425"/>
        <w:jc w:val="center"/>
        <w:rPr>
          <w:b/>
        </w:rPr>
      </w:pPr>
      <w:r>
        <w:rPr>
          <w:b/>
        </w:rPr>
        <w:t>O</w:t>
      </w:r>
      <w:r w:rsidRPr="00A00162">
        <w:rPr>
          <w:b/>
        </w:rPr>
        <w:t>dpovědnost za vady</w:t>
      </w:r>
    </w:p>
    <w:p w:rsidR="00F764D2" w:rsidRDefault="00F764D2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:rsidR="0068552D" w:rsidRDefault="0068552D" w:rsidP="00F764D2">
      <w:pPr>
        <w:pStyle w:val="Odstavecseseznamem"/>
        <w:spacing w:after="0"/>
        <w:ind w:left="425"/>
        <w:jc w:val="center"/>
        <w:rPr>
          <w:rFonts w:asciiTheme="minorHAnsi" w:hAnsiTheme="minorHAnsi"/>
          <w:b/>
        </w:rPr>
      </w:pPr>
    </w:p>
    <w:p w:rsidR="005B7E53" w:rsidRPr="00BD371C" w:rsidRDefault="005B7E53" w:rsidP="005B7E53">
      <w:pPr>
        <w:pStyle w:val="Odstavecseseznamem"/>
        <w:numPr>
          <w:ilvl w:val="0"/>
          <w:numId w:val="11"/>
        </w:numPr>
        <w:ind w:left="426"/>
        <w:contextualSpacing/>
        <w:rPr>
          <w:rFonts w:asciiTheme="minorHAnsi" w:hAnsiTheme="minorHAnsi"/>
          <w:u w:val="single"/>
        </w:rPr>
      </w:pPr>
      <w:r w:rsidRPr="00BD371C">
        <w:rPr>
          <w:rFonts w:asciiTheme="minorHAnsi" w:hAnsiTheme="minorHAnsi"/>
        </w:rPr>
        <w:t xml:space="preserve">Pro odpovědnost za škodu platí ustanovení o odpovědnosti v </w:t>
      </w:r>
      <w:r w:rsidR="00075168" w:rsidRPr="00BD371C">
        <w:rPr>
          <w:rFonts w:asciiTheme="minorHAnsi" w:hAnsiTheme="minorHAnsi"/>
        </w:rPr>
        <w:t>občanském</w:t>
      </w:r>
      <w:r w:rsidRPr="00BD371C">
        <w:rPr>
          <w:rFonts w:asciiTheme="minorHAnsi" w:hAnsiTheme="minorHAnsi"/>
        </w:rPr>
        <w:t xml:space="preserve"> zákoníku. </w:t>
      </w:r>
    </w:p>
    <w:p w:rsidR="00E43DE2" w:rsidRPr="00BD371C" w:rsidRDefault="00E43DE2" w:rsidP="005B7E53">
      <w:pPr>
        <w:pStyle w:val="Odstavecseseznamem"/>
        <w:numPr>
          <w:ilvl w:val="0"/>
          <w:numId w:val="11"/>
        </w:numPr>
        <w:ind w:left="426"/>
        <w:contextualSpacing/>
        <w:rPr>
          <w:rFonts w:asciiTheme="minorHAnsi" w:hAnsiTheme="minorHAnsi"/>
          <w:u w:val="single"/>
        </w:rPr>
      </w:pPr>
      <w:r w:rsidRPr="00BD371C">
        <w:rPr>
          <w:rFonts w:asciiTheme="minorHAnsi" w:hAnsiTheme="minorHAnsi"/>
        </w:rPr>
        <w:t xml:space="preserve">Smluvní strana má v případě vážných porušení smluvních povinností druhou stranou právo od smlouvy s okamžitou platností odstoupit. </w:t>
      </w:r>
    </w:p>
    <w:p w:rsidR="001C4848" w:rsidRPr="00BD371C" w:rsidRDefault="001C4848" w:rsidP="005B7E53">
      <w:pPr>
        <w:pStyle w:val="Odstavecseseznamem"/>
        <w:numPr>
          <w:ilvl w:val="0"/>
          <w:numId w:val="11"/>
        </w:numPr>
        <w:ind w:left="426"/>
        <w:contextualSpacing/>
        <w:rPr>
          <w:rFonts w:asciiTheme="minorHAnsi" w:hAnsiTheme="minorHAnsi"/>
          <w:u w:val="single"/>
        </w:rPr>
      </w:pPr>
      <w:r w:rsidRPr="00BD371C">
        <w:rPr>
          <w:rFonts w:asciiTheme="minorHAnsi" w:hAnsiTheme="minorHAnsi"/>
        </w:rPr>
        <w:t xml:space="preserve">Vážným porušením smlouvy je např.: </w:t>
      </w:r>
    </w:p>
    <w:p w:rsidR="001C4848" w:rsidRPr="00BD371C" w:rsidRDefault="00BD371C" w:rsidP="001C4848">
      <w:pPr>
        <w:pStyle w:val="Odstavecseseznamem"/>
        <w:numPr>
          <w:ilvl w:val="0"/>
          <w:numId w:val="13"/>
        </w:numPr>
        <w:contextualSpacing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Neúčast stavebního dozoru nebo koordinátora BOZP na kontrolním dni bez předchozího vědomí objednatele</w:t>
      </w:r>
      <w:r w:rsidR="00B80CA9" w:rsidRPr="00BD371C">
        <w:rPr>
          <w:rFonts w:asciiTheme="minorHAnsi" w:hAnsiTheme="minorHAnsi"/>
        </w:rPr>
        <w:t>,</w:t>
      </w:r>
    </w:p>
    <w:p w:rsidR="001C4848" w:rsidRPr="00BD371C" w:rsidRDefault="001C4848" w:rsidP="001C4848">
      <w:pPr>
        <w:pStyle w:val="Odstavecseseznamem"/>
        <w:numPr>
          <w:ilvl w:val="0"/>
          <w:numId w:val="13"/>
        </w:numPr>
        <w:contextualSpacing/>
        <w:rPr>
          <w:rFonts w:asciiTheme="minorHAnsi" w:hAnsiTheme="minorHAnsi"/>
          <w:u w:val="single"/>
        </w:rPr>
      </w:pPr>
      <w:r w:rsidRPr="00BD371C">
        <w:rPr>
          <w:rFonts w:asciiTheme="minorHAnsi" w:hAnsiTheme="minorHAnsi"/>
        </w:rPr>
        <w:t>Neuhrazení faktury objednatelem do 30 kalendářních dní od data její splatnosti</w:t>
      </w:r>
      <w:r w:rsidR="00B80CA9" w:rsidRPr="00BD371C">
        <w:rPr>
          <w:rFonts w:asciiTheme="minorHAnsi" w:hAnsiTheme="minorHAnsi"/>
        </w:rPr>
        <w:t>.</w:t>
      </w:r>
    </w:p>
    <w:p w:rsidR="001C4848" w:rsidRPr="00BD371C" w:rsidRDefault="001C4848" w:rsidP="001C4848">
      <w:pPr>
        <w:pStyle w:val="Odstavecseseznamem"/>
        <w:numPr>
          <w:ilvl w:val="0"/>
          <w:numId w:val="11"/>
        </w:numPr>
        <w:ind w:left="426"/>
        <w:contextualSpacing/>
        <w:rPr>
          <w:rFonts w:asciiTheme="minorHAnsi" w:hAnsiTheme="minorHAnsi"/>
        </w:rPr>
      </w:pPr>
      <w:r w:rsidRPr="00BD371C">
        <w:rPr>
          <w:rFonts w:asciiTheme="minorHAnsi" w:hAnsiTheme="minorHAnsi"/>
        </w:rPr>
        <w:t>Smluvní strany mají právo smlouvu bez udání důvodů vypovědět. Výpovědní doba činí 3 měsíce a počíná běžet 1. dnem kalendářního měsíce následujícího po měsíci, v němž byla doručena.</w:t>
      </w:r>
    </w:p>
    <w:p w:rsidR="002B60AA" w:rsidRDefault="002B60AA" w:rsidP="002B60AA">
      <w:pPr>
        <w:pStyle w:val="Odstavecseseznamem"/>
        <w:ind w:left="426"/>
        <w:contextualSpacing/>
        <w:rPr>
          <w:rFonts w:asciiTheme="minorHAnsi" w:hAnsiTheme="minorHAnsi"/>
        </w:rPr>
      </w:pPr>
    </w:p>
    <w:p w:rsidR="00075168" w:rsidRDefault="00075168" w:rsidP="002B60AA">
      <w:pPr>
        <w:pStyle w:val="Odstavecseseznamem"/>
        <w:ind w:left="426"/>
        <w:contextualSpacing/>
        <w:rPr>
          <w:rFonts w:asciiTheme="minorHAnsi" w:hAnsiTheme="minorHAnsi"/>
        </w:rPr>
      </w:pPr>
    </w:p>
    <w:p w:rsidR="0068552D" w:rsidRPr="001C4848" w:rsidRDefault="0068552D" w:rsidP="002B60AA">
      <w:pPr>
        <w:pStyle w:val="Odstavecseseznamem"/>
        <w:ind w:left="426"/>
        <w:contextualSpacing/>
        <w:rPr>
          <w:rFonts w:asciiTheme="minorHAnsi" w:hAnsiTheme="minorHAnsi"/>
        </w:rPr>
      </w:pPr>
    </w:p>
    <w:p w:rsidR="005B7E53" w:rsidRDefault="005B7E53" w:rsidP="00F764D2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</w:t>
      </w:r>
      <w:r w:rsidRPr="00F65B61">
        <w:rPr>
          <w:rFonts w:asciiTheme="minorHAnsi" w:hAnsiTheme="minorHAnsi"/>
          <w:b/>
        </w:rPr>
        <w:t>IV.</w:t>
      </w:r>
    </w:p>
    <w:p w:rsidR="00075168" w:rsidRDefault="00075168" w:rsidP="00F764D2">
      <w:pPr>
        <w:spacing w:after="0"/>
        <w:jc w:val="center"/>
        <w:rPr>
          <w:b/>
        </w:rPr>
      </w:pPr>
      <w:r w:rsidRPr="001D3CA6">
        <w:rPr>
          <w:b/>
        </w:rPr>
        <w:t>Závěrečná ujednání</w:t>
      </w:r>
    </w:p>
    <w:p w:rsidR="00F764D2" w:rsidRDefault="00F764D2" w:rsidP="00F764D2">
      <w:pPr>
        <w:spacing w:after="0"/>
        <w:jc w:val="center"/>
        <w:rPr>
          <w:rFonts w:asciiTheme="minorHAnsi" w:hAnsiTheme="minorHAnsi"/>
          <w:b/>
        </w:rPr>
      </w:pPr>
    </w:p>
    <w:p w:rsidR="0068552D" w:rsidRPr="00F65B61" w:rsidRDefault="0068552D" w:rsidP="00F764D2">
      <w:pPr>
        <w:spacing w:after="0"/>
        <w:jc w:val="center"/>
        <w:rPr>
          <w:rFonts w:asciiTheme="minorHAnsi" w:hAnsiTheme="minorHAnsi"/>
          <w:b/>
        </w:rPr>
      </w:pPr>
    </w:p>
    <w:p w:rsidR="00075168" w:rsidRPr="001D3CA6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ind w:hanging="357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Pr="001D3CA6">
        <w:t xml:space="preserve"> </w:t>
      </w:r>
    </w:p>
    <w:p w:rsidR="00075168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</w:t>
      </w:r>
      <w:r w:rsidR="00964313">
        <w:t>,</w:t>
      </w:r>
      <w:r w:rsidRPr="00525282">
        <w:t xml:space="preserve"> druhý den po předání k odeslání poštovním službám.</w:t>
      </w:r>
    </w:p>
    <w:p w:rsidR="00075168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Tato smlouva nabývá platnosti a účinnosti podpisem smluvních stran.</w:t>
      </w:r>
    </w:p>
    <w:p w:rsidR="009720DE" w:rsidRDefault="009720DE" w:rsidP="009720DE">
      <w:pPr>
        <w:tabs>
          <w:tab w:val="left" w:pos="720"/>
        </w:tabs>
        <w:spacing w:after="120" w:line="240" w:lineRule="auto"/>
        <w:jc w:val="both"/>
      </w:pPr>
    </w:p>
    <w:p w:rsidR="009720DE" w:rsidRPr="00525282" w:rsidRDefault="009720DE" w:rsidP="009720DE">
      <w:pPr>
        <w:tabs>
          <w:tab w:val="left" w:pos="720"/>
        </w:tabs>
        <w:spacing w:after="120" w:line="240" w:lineRule="auto"/>
        <w:jc w:val="both"/>
      </w:pPr>
    </w:p>
    <w:p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075168" w:rsidRPr="00525282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075168" w:rsidRDefault="00075168" w:rsidP="00075168">
      <w:pPr>
        <w:numPr>
          <w:ilvl w:val="0"/>
          <w:numId w:val="12"/>
        </w:numPr>
        <w:tabs>
          <w:tab w:val="left" w:pos="720"/>
        </w:tabs>
        <w:spacing w:after="120" w:line="240" w:lineRule="auto"/>
        <w:jc w:val="both"/>
      </w:pPr>
      <w:r w:rsidRPr="00525282">
        <w:t>Tato smlouva je vyhotovena ve 2 stejnopisech, z nichž každá smluvní strana obdrží 1 vyhotovení, které má platnost originálu. </w:t>
      </w:r>
      <w:r w:rsidR="0068552D">
        <w:t>Strany rovněž souhlasí se zveřejněním smlouvy v registru smluv dle zákona 340/2015 Sb.</w:t>
      </w:r>
    </w:p>
    <w:p w:rsidR="005B7E53" w:rsidRDefault="005B7E53" w:rsidP="005B7E53">
      <w:pPr>
        <w:jc w:val="both"/>
        <w:rPr>
          <w:rFonts w:asciiTheme="minorHAnsi" w:hAnsiTheme="minorHAnsi" w:cs="Arial"/>
        </w:rPr>
      </w:pPr>
    </w:p>
    <w:p w:rsidR="00D07DE1" w:rsidRDefault="00D07DE1" w:rsidP="005B7E53">
      <w:pPr>
        <w:jc w:val="both"/>
        <w:rPr>
          <w:rFonts w:asciiTheme="minorHAnsi" w:hAnsiTheme="minorHAnsi" w:cs="Arial"/>
        </w:rPr>
      </w:pPr>
    </w:p>
    <w:p w:rsidR="00D07DE1" w:rsidRDefault="00D07DE1" w:rsidP="005B7E53">
      <w:pPr>
        <w:jc w:val="both"/>
        <w:rPr>
          <w:rFonts w:asciiTheme="minorHAnsi" w:hAnsiTheme="minorHAnsi" w:cs="Arial"/>
        </w:rPr>
      </w:pPr>
    </w:p>
    <w:p w:rsidR="00D07DE1" w:rsidRPr="00405F0E" w:rsidRDefault="00D07DE1" w:rsidP="005B7E53">
      <w:pPr>
        <w:jc w:val="both"/>
        <w:rPr>
          <w:rFonts w:asciiTheme="minorHAnsi" w:hAnsiTheme="minorHAnsi" w:cs="Arial"/>
        </w:rPr>
      </w:pPr>
    </w:p>
    <w:p w:rsidR="005B7E53" w:rsidRPr="00405F0E" w:rsidRDefault="005B7E53" w:rsidP="005B7E53">
      <w:pPr>
        <w:jc w:val="both"/>
        <w:rPr>
          <w:rFonts w:asciiTheme="minorHAnsi" w:hAnsiTheme="minorHAnsi" w:cs="Arial"/>
        </w:rPr>
      </w:pPr>
      <w:r w:rsidRPr="00405F0E">
        <w:rPr>
          <w:rFonts w:asciiTheme="minorHAnsi" w:hAnsiTheme="minorHAnsi" w:cs="Arial"/>
        </w:rPr>
        <w:t>V Třinci dne</w:t>
      </w:r>
      <w:r>
        <w:rPr>
          <w:rFonts w:asciiTheme="minorHAnsi" w:hAnsiTheme="minorHAnsi" w:cs="Arial"/>
        </w:rPr>
        <w:t xml:space="preserve"> </w:t>
      </w:r>
      <w:r w:rsidR="00964313">
        <w:rPr>
          <w:rFonts w:asciiTheme="minorHAnsi" w:hAnsiTheme="minorHAnsi" w:cs="Arial"/>
        </w:rPr>
        <w:t>…………………………………….</w:t>
      </w:r>
      <w:r w:rsidR="00964313">
        <w:rPr>
          <w:rFonts w:asciiTheme="minorHAnsi" w:hAnsiTheme="minorHAnsi" w:cs="Arial"/>
        </w:rPr>
        <w:tab/>
      </w:r>
      <w:r w:rsidR="00964313">
        <w:rPr>
          <w:rFonts w:asciiTheme="minorHAnsi" w:hAnsiTheme="minorHAnsi" w:cs="Arial"/>
        </w:rPr>
        <w:tab/>
      </w:r>
      <w:r w:rsidR="00964313">
        <w:rPr>
          <w:rFonts w:asciiTheme="minorHAnsi" w:hAnsiTheme="minorHAnsi" w:cs="Arial"/>
        </w:rPr>
        <w:tab/>
        <w:t>V ……………</w:t>
      </w:r>
      <w:proofErr w:type="gramStart"/>
      <w:r w:rsidR="00964313">
        <w:rPr>
          <w:rFonts w:asciiTheme="minorHAnsi" w:hAnsiTheme="minorHAnsi" w:cs="Arial"/>
        </w:rPr>
        <w:t>….. dne</w:t>
      </w:r>
      <w:proofErr w:type="gramEnd"/>
      <w:r w:rsidR="00964313">
        <w:rPr>
          <w:rFonts w:asciiTheme="minorHAnsi" w:hAnsiTheme="minorHAnsi" w:cs="Arial"/>
        </w:rPr>
        <w:t xml:space="preserve"> …………………………</w:t>
      </w:r>
    </w:p>
    <w:p w:rsidR="005B7E53" w:rsidRDefault="005B7E53" w:rsidP="005B7E53">
      <w:pPr>
        <w:rPr>
          <w:rFonts w:asciiTheme="minorHAnsi" w:hAnsiTheme="minorHAnsi"/>
        </w:rPr>
      </w:pPr>
    </w:p>
    <w:p w:rsidR="005B7E53" w:rsidRDefault="005B7E53" w:rsidP="005B7E53">
      <w:pPr>
        <w:rPr>
          <w:rFonts w:asciiTheme="minorHAnsi" w:hAnsiTheme="minorHAnsi"/>
        </w:rPr>
      </w:pPr>
    </w:p>
    <w:p w:rsidR="005B7E53" w:rsidRPr="00405F0E" w:rsidRDefault="005B7E53" w:rsidP="005B7E53">
      <w:pPr>
        <w:rPr>
          <w:rFonts w:asciiTheme="minorHAnsi" w:hAnsiTheme="minorHAnsi"/>
        </w:rPr>
      </w:pPr>
    </w:p>
    <w:p w:rsidR="005B7E53" w:rsidRPr="00405F0E" w:rsidRDefault="005B7E53" w:rsidP="005B7E53">
      <w:pPr>
        <w:jc w:val="both"/>
        <w:rPr>
          <w:rFonts w:asciiTheme="minorHAnsi" w:hAnsiTheme="minorHAnsi" w:cs="Arial"/>
        </w:rPr>
      </w:pPr>
      <w:r w:rsidRPr="00405F0E">
        <w:rPr>
          <w:rFonts w:asciiTheme="minorHAnsi" w:hAnsiTheme="minorHAnsi" w:cs="Arial"/>
        </w:rPr>
        <w:t>..............................................</w:t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</w:r>
      <w:r w:rsidRPr="00405F0E">
        <w:rPr>
          <w:rFonts w:asciiTheme="minorHAnsi" w:hAnsiTheme="minorHAnsi" w:cs="Arial"/>
        </w:rPr>
        <w:tab/>
        <w:t>..................................................</w:t>
      </w:r>
    </w:p>
    <w:p w:rsidR="00923C65" w:rsidRDefault="005B7E53" w:rsidP="001B4299">
      <w:r>
        <w:rPr>
          <w:rFonts w:asciiTheme="minorHAnsi" w:hAnsiTheme="minorHAnsi"/>
        </w:rPr>
        <w:t xml:space="preserve">      </w:t>
      </w:r>
      <w:r w:rsidR="00075168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z</w:t>
      </w:r>
      <w:r w:rsidRPr="00405F0E">
        <w:rPr>
          <w:rFonts w:asciiTheme="minorHAnsi" w:hAnsiTheme="minorHAnsi"/>
        </w:rPr>
        <w:t>a objednatele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z</w:t>
      </w:r>
      <w:r w:rsidRPr="00405F0E">
        <w:rPr>
          <w:rFonts w:asciiTheme="minorHAnsi" w:hAnsiTheme="minorHAnsi"/>
        </w:rPr>
        <w:t xml:space="preserve">a </w:t>
      </w:r>
      <w:r w:rsidR="00E37BD5">
        <w:rPr>
          <w:rFonts w:asciiTheme="minorHAnsi" w:hAnsiTheme="minorHAnsi"/>
        </w:rPr>
        <w:t>dodavatele</w:t>
      </w:r>
      <w:r w:rsidRPr="00405F0E">
        <w:rPr>
          <w:rFonts w:asciiTheme="minorHAnsi" w:hAnsiTheme="minorHAnsi"/>
        </w:rPr>
        <w:tab/>
      </w:r>
      <w:r w:rsidRPr="00405F0E">
        <w:rPr>
          <w:rFonts w:asciiTheme="minorHAnsi" w:hAnsiTheme="minorHAnsi"/>
        </w:rPr>
        <w:tab/>
      </w:r>
    </w:p>
    <w:sectPr w:rsidR="00923C65" w:rsidSect="000C1E03">
      <w:footerReference w:type="default" r:id="rId10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3A" w:rsidRDefault="00D33B3A" w:rsidP="000C1E03">
      <w:pPr>
        <w:spacing w:after="0" w:line="240" w:lineRule="auto"/>
      </w:pPr>
      <w:r>
        <w:separator/>
      </w:r>
    </w:p>
  </w:endnote>
  <w:endnote w:type="continuationSeparator" w:id="0">
    <w:p w:rsidR="00D33B3A" w:rsidRDefault="00D33B3A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E03" w:rsidRDefault="000C1E03">
    <w:pPr>
      <w:pStyle w:val="Zpat"/>
    </w:pPr>
  </w:p>
  <w:p w:rsidR="000C1E03" w:rsidRDefault="000C1E03" w:rsidP="000C1E03">
    <w:pPr>
      <w:spacing w:after="0"/>
      <w:ind w:left="-426"/>
      <w:rPr>
        <w:rFonts w:ascii="Cambria" w:hAnsi="Cambria"/>
        <w:sz w:val="16"/>
        <w:szCs w:val="16"/>
      </w:rPr>
    </w:pPr>
    <w:r w:rsidRPr="00394298">
      <w:rPr>
        <w:rFonts w:ascii="Cambria" w:hAnsi="Cambria"/>
        <w:sz w:val="16"/>
        <w:szCs w:val="16"/>
      </w:rPr>
      <w:t>Bankovní spojení:</w:t>
    </w:r>
    <w:r>
      <w:rPr>
        <w:rFonts w:ascii="Cambria" w:hAnsi="Cambria"/>
        <w:sz w:val="16"/>
        <w:szCs w:val="16"/>
      </w:rPr>
      <w:t xml:space="preserve"> KB Třinec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>IČ: 00600954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 xml:space="preserve">Telefon: </w:t>
    </w:r>
    <w:r>
      <w:rPr>
        <w:rFonts w:ascii="Cambria" w:hAnsi="Cambria"/>
        <w:sz w:val="16"/>
        <w:szCs w:val="16"/>
      </w:rPr>
      <w:tab/>
      <w:t>558 993 711</w:t>
    </w:r>
  </w:p>
  <w:p w:rsidR="000C1E03" w:rsidRPr="00394298" w:rsidRDefault="000C1E03" w:rsidP="000C1E03">
    <w:pPr>
      <w:spacing w:after="0"/>
      <w:ind w:left="-42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Číslo účtu: 27-9260050267/0100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737357">
        <w:rPr>
          <w:rStyle w:val="Hypertextovodkaz"/>
          <w:rFonts w:ascii="Cambria" w:hAnsi="Cambria"/>
          <w:sz w:val="16"/>
          <w:szCs w:val="16"/>
        </w:rPr>
        <w:t>ssmt@ssmt.cz</w:t>
      </w:r>
    </w:hyperlink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  <w:t>FAX:</w:t>
    </w:r>
    <w:r>
      <w:rPr>
        <w:rFonts w:ascii="Cambria" w:hAnsi="Cambria"/>
        <w:sz w:val="16"/>
        <w:szCs w:val="16"/>
      </w:rPr>
      <w:tab/>
      <w:t>558 993 725</w:t>
    </w:r>
  </w:p>
  <w:p w:rsidR="000C1E03" w:rsidRDefault="000C1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3A" w:rsidRDefault="00D33B3A" w:rsidP="000C1E03">
      <w:pPr>
        <w:spacing w:after="0" w:line="240" w:lineRule="auto"/>
      </w:pPr>
      <w:r>
        <w:separator/>
      </w:r>
    </w:p>
  </w:footnote>
  <w:footnote w:type="continuationSeparator" w:id="0">
    <w:p w:rsidR="00D33B3A" w:rsidRDefault="00D33B3A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6F62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747694C"/>
    <w:multiLevelType w:val="multilevel"/>
    <w:tmpl w:val="C88635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9105F"/>
    <w:multiLevelType w:val="hybridMultilevel"/>
    <w:tmpl w:val="E3304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F0D0F"/>
    <w:multiLevelType w:val="hybridMultilevel"/>
    <w:tmpl w:val="B0402ED0"/>
    <w:lvl w:ilvl="0" w:tplc="B53647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C7C2A"/>
    <w:multiLevelType w:val="hybridMultilevel"/>
    <w:tmpl w:val="01B6D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934A38"/>
    <w:multiLevelType w:val="hybridMultilevel"/>
    <w:tmpl w:val="F7B205C6"/>
    <w:lvl w:ilvl="0" w:tplc="E15E81EE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E6A2406"/>
    <w:multiLevelType w:val="hybridMultilevel"/>
    <w:tmpl w:val="4BC08C68"/>
    <w:lvl w:ilvl="0" w:tplc="05C6C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45B1117"/>
    <w:multiLevelType w:val="hybridMultilevel"/>
    <w:tmpl w:val="8B06D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97981"/>
    <w:multiLevelType w:val="hybridMultilevel"/>
    <w:tmpl w:val="C9927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626AC"/>
    <w:multiLevelType w:val="hybridMultilevel"/>
    <w:tmpl w:val="B5B43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37C2D"/>
    <w:multiLevelType w:val="hybridMultilevel"/>
    <w:tmpl w:val="47946944"/>
    <w:lvl w:ilvl="0" w:tplc="05C6C514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9492140"/>
    <w:multiLevelType w:val="hybridMultilevel"/>
    <w:tmpl w:val="CA9C6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0220A"/>
    <w:multiLevelType w:val="hybridMultilevel"/>
    <w:tmpl w:val="12689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3574B"/>
    <w:multiLevelType w:val="hybridMultilevel"/>
    <w:tmpl w:val="5CC0A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C1E63"/>
    <w:multiLevelType w:val="hybridMultilevel"/>
    <w:tmpl w:val="8A1E395E"/>
    <w:lvl w:ilvl="0" w:tplc="3836EC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D44DF2"/>
    <w:multiLevelType w:val="hybridMultilevel"/>
    <w:tmpl w:val="02FE145A"/>
    <w:lvl w:ilvl="0" w:tplc="05C6C5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233B8F"/>
    <w:multiLevelType w:val="hybridMultilevel"/>
    <w:tmpl w:val="F87C3004"/>
    <w:lvl w:ilvl="0" w:tplc="4C1656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86783"/>
    <w:multiLevelType w:val="hybridMultilevel"/>
    <w:tmpl w:val="F6CA56FA"/>
    <w:lvl w:ilvl="0" w:tplc="60C8661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B705403"/>
    <w:multiLevelType w:val="hybridMultilevel"/>
    <w:tmpl w:val="5224B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4"/>
  </w:num>
  <w:num w:numId="5">
    <w:abstractNumId w:val="9"/>
  </w:num>
  <w:num w:numId="6">
    <w:abstractNumId w:val="19"/>
  </w:num>
  <w:num w:numId="7">
    <w:abstractNumId w:val="3"/>
  </w:num>
  <w:num w:numId="8">
    <w:abstractNumId w:val="17"/>
  </w:num>
  <w:num w:numId="9">
    <w:abstractNumId w:val="12"/>
  </w:num>
  <w:num w:numId="10">
    <w:abstractNumId w:val="7"/>
  </w:num>
  <w:num w:numId="11">
    <w:abstractNumId w:val="11"/>
  </w:num>
  <w:num w:numId="12">
    <w:abstractNumId w:val="16"/>
  </w:num>
  <w:num w:numId="13">
    <w:abstractNumId w:val="6"/>
  </w:num>
  <w:num w:numId="14">
    <w:abstractNumId w:val="8"/>
  </w:num>
  <w:num w:numId="15">
    <w:abstractNumId w:val="2"/>
  </w:num>
  <w:num w:numId="16">
    <w:abstractNumId w:val="20"/>
  </w:num>
  <w:num w:numId="17">
    <w:abstractNumId w:val="5"/>
  </w:num>
  <w:num w:numId="18">
    <w:abstractNumId w:val="0"/>
  </w:num>
  <w:num w:numId="19">
    <w:abstractNumId w:val="1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43AAC"/>
    <w:rsid w:val="00075168"/>
    <w:rsid w:val="00091343"/>
    <w:rsid w:val="000B651D"/>
    <w:rsid w:val="000C1E03"/>
    <w:rsid w:val="000D2DA3"/>
    <w:rsid w:val="000F435A"/>
    <w:rsid w:val="00110FBB"/>
    <w:rsid w:val="001654CF"/>
    <w:rsid w:val="00166546"/>
    <w:rsid w:val="001901E2"/>
    <w:rsid w:val="001B15C1"/>
    <w:rsid w:val="001B4299"/>
    <w:rsid w:val="001C4848"/>
    <w:rsid w:val="001E1BFD"/>
    <w:rsid w:val="00232DC8"/>
    <w:rsid w:val="00275E46"/>
    <w:rsid w:val="002B60AA"/>
    <w:rsid w:val="002B71C3"/>
    <w:rsid w:val="002F295C"/>
    <w:rsid w:val="00314A73"/>
    <w:rsid w:val="003D3523"/>
    <w:rsid w:val="003D3840"/>
    <w:rsid w:val="003E4198"/>
    <w:rsid w:val="004264A1"/>
    <w:rsid w:val="004357CD"/>
    <w:rsid w:val="005005E6"/>
    <w:rsid w:val="005B7E53"/>
    <w:rsid w:val="005E7ED6"/>
    <w:rsid w:val="00610BA8"/>
    <w:rsid w:val="0066604D"/>
    <w:rsid w:val="0068552D"/>
    <w:rsid w:val="006A3127"/>
    <w:rsid w:val="006D3DA9"/>
    <w:rsid w:val="00752231"/>
    <w:rsid w:val="00773A3C"/>
    <w:rsid w:val="0077581B"/>
    <w:rsid w:val="007A6C60"/>
    <w:rsid w:val="00855790"/>
    <w:rsid w:val="008B7C83"/>
    <w:rsid w:val="008E2706"/>
    <w:rsid w:val="008F2750"/>
    <w:rsid w:val="00905A2C"/>
    <w:rsid w:val="00923C65"/>
    <w:rsid w:val="00952C5B"/>
    <w:rsid w:val="00964313"/>
    <w:rsid w:val="009720DE"/>
    <w:rsid w:val="00A02802"/>
    <w:rsid w:val="00A11CFA"/>
    <w:rsid w:val="00A36BD7"/>
    <w:rsid w:val="00AB2F94"/>
    <w:rsid w:val="00B20C8C"/>
    <w:rsid w:val="00B3788E"/>
    <w:rsid w:val="00B80CA9"/>
    <w:rsid w:val="00B97BB8"/>
    <w:rsid w:val="00BC3A6F"/>
    <w:rsid w:val="00BD371C"/>
    <w:rsid w:val="00C06884"/>
    <w:rsid w:val="00C71F20"/>
    <w:rsid w:val="00C92AAD"/>
    <w:rsid w:val="00D01052"/>
    <w:rsid w:val="00D07DE1"/>
    <w:rsid w:val="00D33B3A"/>
    <w:rsid w:val="00D436FF"/>
    <w:rsid w:val="00DE26B6"/>
    <w:rsid w:val="00E17A3C"/>
    <w:rsid w:val="00E222DB"/>
    <w:rsid w:val="00E37BD5"/>
    <w:rsid w:val="00E43DE2"/>
    <w:rsid w:val="00E968C4"/>
    <w:rsid w:val="00F3745A"/>
    <w:rsid w:val="00F764D2"/>
    <w:rsid w:val="00F87519"/>
    <w:rsid w:val="00F93599"/>
    <w:rsid w:val="00FC5A8C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C6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1E0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C1E03"/>
    <w:rPr>
      <w:color w:val="0000FF"/>
      <w:u w:val="single"/>
    </w:rPr>
  </w:style>
  <w:style w:type="paragraph" w:styleId="Bezmezer">
    <w:name w:val="No Spacing"/>
    <w:uiPriority w:val="1"/>
    <w:qFormat/>
    <w:rsid w:val="00A11CF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A11CFA"/>
    <w:pPr>
      <w:ind w:left="708"/>
    </w:pPr>
  </w:style>
  <w:style w:type="paragraph" w:styleId="Zkladntext">
    <w:name w:val="Body Text"/>
    <w:basedOn w:val="Normln"/>
    <w:link w:val="ZkladntextChar"/>
    <w:rsid w:val="005B7E5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7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2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32D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C6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E03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1E0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C1E03"/>
    <w:rPr>
      <w:color w:val="0000FF"/>
      <w:u w:val="single"/>
    </w:rPr>
  </w:style>
  <w:style w:type="paragraph" w:styleId="Bezmezer">
    <w:name w:val="No Spacing"/>
    <w:uiPriority w:val="1"/>
    <w:qFormat/>
    <w:rsid w:val="00A11CF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99"/>
    <w:qFormat/>
    <w:rsid w:val="00A11CFA"/>
    <w:pPr>
      <w:ind w:left="708"/>
    </w:pPr>
  </w:style>
  <w:style w:type="paragraph" w:styleId="Zkladntext">
    <w:name w:val="Body Text"/>
    <w:basedOn w:val="Normln"/>
    <w:link w:val="ZkladntextChar"/>
    <w:rsid w:val="005B7E5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7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2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32D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B648-06D9-4B2A-921F-59BEFE33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Sprava Budov</cp:lastModifiedBy>
  <cp:revision>2</cp:revision>
  <cp:lastPrinted>2018-01-15T07:53:00Z</cp:lastPrinted>
  <dcterms:created xsi:type="dcterms:W3CDTF">2018-02-02T07:30:00Z</dcterms:created>
  <dcterms:modified xsi:type="dcterms:W3CDTF">2018-02-02T07:30:00Z</dcterms:modified>
</cp:coreProperties>
</file>