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C" w:rsidRDefault="008E1127">
      <w:pPr>
        <w:tabs>
          <w:tab w:val="right" w:pos="5500"/>
        </w:tabs>
        <w:spacing w:line="304" w:lineRule="auto"/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0;margin-top:715.35pt;width:491pt;height:11.4pt;z-index:-251661824;mso-wrap-distance-left:0;mso-wrap-distance-right:0" filled="f" stroked="f">
            <v:textbox inset="0,0,0,0">
              <w:txbxContent>
                <w:p w:rsidR="00A276EC" w:rsidRDefault="008E1127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Poskytovatel: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Státní fond kultury České republiky</w:t>
      </w:r>
    </w:p>
    <w:p w:rsidR="00A276EC" w:rsidRDefault="008E1127">
      <w:pPr>
        <w:tabs>
          <w:tab w:val="right" w:pos="6804"/>
        </w:tabs>
        <w:spacing w:before="72"/>
        <w:rPr>
          <w:rFonts w:ascii="Times New Roman" w:hAnsi="Times New Roman"/>
          <w:b/>
          <w:color w:val="000000"/>
          <w:spacing w:val="-22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2"/>
          <w:w w:val="105"/>
          <w:sz w:val="23"/>
          <w:lang w:val="cs-CZ"/>
        </w:rPr>
        <w:t>Adresa:</w:t>
      </w:r>
      <w:r>
        <w:rPr>
          <w:rFonts w:ascii="Times New Roman" w:hAnsi="Times New Roman"/>
          <w:b/>
          <w:color w:val="000000"/>
          <w:spacing w:val="-22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Maltézské nám. 471/1, 118 01 Praha 1- Malá Strana</w:t>
      </w:r>
    </w:p>
    <w:p w:rsidR="00A276EC" w:rsidRDefault="008E1127">
      <w:pPr>
        <w:tabs>
          <w:tab w:val="right" w:pos="2905"/>
        </w:tabs>
        <w:spacing w:line="204" w:lineRule="auto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IC: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45 80 69 85</w:t>
      </w:r>
    </w:p>
    <w:p w:rsidR="00A276EC" w:rsidRDefault="008E1127">
      <w:pPr>
        <w:tabs>
          <w:tab w:val="right" w:pos="9057"/>
        </w:tabs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zapsaný:</w:t>
      </w: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v obchodním rejstříku vedeném Městským soudem v Praze,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oddíl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A,vložka</w:t>
      </w:r>
      <w:proofErr w:type="spellEnd"/>
      <w:proofErr w:type="gramEnd"/>
    </w:p>
    <w:p w:rsidR="00A276EC" w:rsidRDefault="008E1127">
      <w:pPr>
        <w:spacing w:before="36" w:line="199" w:lineRule="auto"/>
        <w:ind w:left="1728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6804</w:t>
      </w:r>
    </w:p>
    <w:p w:rsidR="00A276EC" w:rsidRDefault="008E1127">
      <w:pPr>
        <w:tabs>
          <w:tab w:val="right" w:pos="8636"/>
        </w:tabs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  <w:t>jednající:</w:t>
      </w:r>
      <w:r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Mgr. Milanem N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ěmečkem, Ph.D., ředitelem odboru umění, literatury a</w:t>
      </w:r>
    </w:p>
    <w:p w:rsidR="00A276EC" w:rsidRDefault="008E1127">
      <w:pPr>
        <w:spacing w:before="36" w:line="199" w:lineRule="auto"/>
        <w:ind w:left="1728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knihoven</w:t>
      </w:r>
    </w:p>
    <w:p w:rsidR="00A276EC" w:rsidRDefault="008E1127">
      <w:pPr>
        <w:tabs>
          <w:tab w:val="right" w:pos="3290"/>
        </w:tabs>
        <w:spacing w:before="72" w:line="204" w:lineRule="auto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bankovní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ab/>
      </w:r>
    </w:p>
    <w:p w:rsidR="00A276EC" w:rsidRDefault="008E1127">
      <w:pPr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spojení:</w:t>
      </w:r>
    </w:p>
    <w:p w:rsidR="00A276EC" w:rsidRDefault="008E1127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„Fond")</w:t>
      </w:r>
    </w:p>
    <w:p w:rsidR="00A276EC" w:rsidRDefault="008E1127">
      <w:pPr>
        <w:spacing w:before="360" w:line="170" w:lineRule="exact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a</w:t>
      </w:r>
    </w:p>
    <w:p w:rsidR="00A276EC" w:rsidRDefault="008E1127">
      <w:pPr>
        <w:tabs>
          <w:tab w:val="right" w:pos="3567"/>
        </w:tabs>
        <w:spacing w:before="288" w:line="266" w:lineRule="auto"/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>Žadatel</w:t>
      </w: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Divadlo v Dlouhé</w:t>
      </w:r>
    </w:p>
    <w:p w:rsidR="00A276EC" w:rsidRDefault="008E1127">
      <w:pPr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(Příjemce):</w:t>
      </w:r>
    </w:p>
    <w:p w:rsidR="00A276EC" w:rsidRDefault="008E1127">
      <w:pPr>
        <w:tabs>
          <w:tab w:val="right" w:pos="3225"/>
        </w:tabs>
        <w:spacing w:before="36" w:line="199" w:lineRule="auto"/>
        <w:rPr>
          <w:rFonts w:ascii="Times New Roman" w:hAnsi="Times New Roman"/>
          <w:b/>
          <w:color w:val="000000"/>
          <w:spacing w:val="-16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6"/>
          <w:w w:val="105"/>
          <w:sz w:val="23"/>
          <w:lang w:val="cs-CZ"/>
        </w:rPr>
        <w:t>adresa:</w:t>
      </w:r>
      <w:r>
        <w:rPr>
          <w:rFonts w:ascii="Times New Roman" w:hAnsi="Times New Roman"/>
          <w:b/>
          <w:color w:val="000000"/>
          <w:spacing w:val="-16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Dlouhá 727/39</w:t>
      </w:r>
    </w:p>
    <w:p w:rsidR="00A276EC" w:rsidRDefault="008E1127">
      <w:pPr>
        <w:spacing w:before="36" w:line="204" w:lineRule="auto"/>
        <w:ind w:left="180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Praha 1</w:t>
      </w:r>
    </w:p>
    <w:p w:rsidR="00A276EC" w:rsidRDefault="008E1127">
      <w:pPr>
        <w:spacing w:before="72" w:line="194" w:lineRule="auto"/>
        <w:ind w:left="180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110 00</w:t>
      </w:r>
    </w:p>
    <w:p w:rsidR="00A276EC" w:rsidRDefault="008E1127">
      <w:pPr>
        <w:tabs>
          <w:tab w:val="right" w:pos="2739"/>
        </w:tabs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>RČ/IČ:</w:t>
      </w:r>
      <w:r>
        <w:rPr>
          <w:rFonts w:ascii="Times New Roman" w:hAnsi="Times New Roman"/>
          <w:b/>
          <w:color w:val="000000"/>
          <w:spacing w:val="-6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00064343</w:t>
      </w:r>
    </w:p>
    <w:p w:rsidR="00A276EC" w:rsidRDefault="008E1127">
      <w:pPr>
        <w:tabs>
          <w:tab w:val="right" w:pos="5572"/>
        </w:tabs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>zapsaný:</w:t>
      </w: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Zřizovací listina Hlavního města Prahy</w:t>
      </w:r>
    </w:p>
    <w:p w:rsidR="00A276EC" w:rsidRDefault="008E1127">
      <w:pPr>
        <w:spacing w:before="3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pod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číslem:</w:t>
      </w:r>
    </w:p>
    <w:p w:rsidR="00A276EC" w:rsidRDefault="008E1127">
      <w:pPr>
        <w:tabs>
          <w:tab w:val="right" w:pos="3920"/>
        </w:tabs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  <w:t>zastoupený:</w:t>
      </w:r>
      <w:r>
        <w:rPr>
          <w:rFonts w:ascii="Times New Roman" w:hAnsi="Times New Roman"/>
          <w:b/>
          <w:color w:val="000000"/>
          <w:spacing w:val="-14"/>
          <w:w w:val="105"/>
          <w:sz w:val="23"/>
          <w:lang w:val="cs-CZ"/>
        </w:rPr>
        <w:tab/>
      </w:r>
      <w:r w:rsidR="00C76FC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Mgr. Daniela Š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álková</w:t>
      </w:r>
    </w:p>
    <w:p w:rsidR="00A276EC" w:rsidRDefault="008E1127">
      <w:pPr>
        <w:tabs>
          <w:tab w:val="right" w:pos="3553"/>
        </w:tabs>
        <w:spacing w:before="36" w:line="206" w:lineRule="auto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bankovní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ab/>
      </w:r>
      <w:bookmarkStart w:id="0" w:name="_GoBack"/>
      <w:bookmarkEnd w:id="0"/>
    </w:p>
    <w:p w:rsidR="00A276EC" w:rsidRDefault="008E1127">
      <w:pPr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spojení:</w:t>
      </w:r>
    </w:p>
    <w:p w:rsidR="00A276EC" w:rsidRDefault="008E1127">
      <w:pPr>
        <w:spacing w:line="264" w:lineRule="auto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„Žadatel")</w:t>
      </w:r>
    </w:p>
    <w:p w:rsidR="00A276EC" w:rsidRDefault="008E1127">
      <w:pPr>
        <w:spacing w:before="360"/>
        <w:jc w:val="both"/>
        <w:rPr>
          <w:rFonts w:ascii="Times New Roman" w:hAnsi="Times New Roman"/>
          <w:color w:val="000000"/>
          <w:spacing w:val="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 xml:space="preserve">uzavírají podle §, 8 odst. 2 zákona č. 239/1992 Sb., o Státním fondu kultury České republiky,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v platném znění (dále jen </w:t>
      </w:r>
      <w:r>
        <w:rPr>
          <w:rFonts w:ascii="Times New Roman" w:hAnsi="Times New Roman"/>
          <w:b/>
          <w:color w:val="000000"/>
          <w:spacing w:val="-8"/>
          <w:w w:val="105"/>
          <w:sz w:val="23"/>
          <w:lang w:val="cs-CZ"/>
        </w:rPr>
        <w:t xml:space="preserve">„Zákon"),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a zákona č. 218/2000 Sb., o rozpočtových pravidlech a o změně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některých zákonů, v platném znění (dále jen </w:t>
      </w:r>
      <w:r>
        <w:rPr>
          <w:rFonts w:ascii="Times New Roman" w:hAnsi="Times New Roman"/>
          <w:b/>
          <w:color w:val="000000"/>
          <w:spacing w:val="-3"/>
          <w:w w:val="105"/>
          <w:sz w:val="23"/>
          <w:lang w:val="cs-CZ"/>
        </w:rPr>
        <w:t xml:space="preserve">„rozpočtová pravidla"),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tuto</w:t>
      </w:r>
    </w:p>
    <w:p w:rsidR="00A276EC" w:rsidRDefault="008E1127">
      <w:pPr>
        <w:spacing w:before="288"/>
        <w:jc w:val="center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smlouvu o poskytnutí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br/>
        <w:t>účelové dotace</w:t>
      </w:r>
    </w:p>
    <w:p w:rsidR="00A276EC" w:rsidRDefault="008E1127">
      <w:pPr>
        <w:spacing w:before="288"/>
        <w:jc w:val="center"/>
        <w:rPr>
          <w:rFonts w:ascii="Times New Roman" w:hAnsi="Times New Roman"/>
          <w:color w:val="000000"/>
          <w:w w:val="120"/>
          <w:sz w:val="24"/>
          <w:lang w:val="cs-CZ"/>
        </w:rPr>
      </w:pPr>
      <w:r>
        <w:rPr>
          <w:rFonts w:ascii="Times New Roman" w:hAnsi="Times New Roman"/>
          <w:color w:val="000000"/>
          <w:w w:val="120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w w:val="12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Předmět a účel smlouvy</w:t>
      </w:r>
    </w:p>
    <w:p w:rsidR="00A276EC" w:rsidRDefault="008E1127">
      <w:pPr>
        <w:tabs>
          <w:tab w:val="left" w:pos="2739"/>
          <w:tab w:val="right" w:pos="8020"/>
        </w:tabs>
        <w:spacing w:before="288"/>
        <w:ind w:left="576" w:right="1152" w:hanging="576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(1) Na základ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br/>
        <w:t>ě rozhodnutí Rady Fondu se Fond zavazuje po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skytnout Žadateli v souladu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12"/>
          <w:w w:val="105"/>
          <w:sz w:val="24"/>
          <w:lang w:val="cs-CZ"/>
        </w:rPr>
        <w:t>s § 8 odst. 1 písm.</w:t>
      </w:r>
      <w:r>
        <w:rPr>
          <w:rFonts w:ascii="Times New Roman" w:hAnsi="Times New Roman"/>
          <w:color w:val="000000"/>
          <w:spacing w:val="-1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8"/>
          <w:w w:val="105"/>
          <w:sz w:val="24"/>
          <w:lang w:val="cs-CZ"/>
        </w:rPr>
        <w:t>f)</w:t>
      </w:r>
      <w:r>
        <w:rPr>
          <w:rFonts w:ascii="Times New Roman" w:hAnsi="Times New Roman"/>
          <w:color w:val="000000"/>
          <w:spacing w:val="-48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Zákona účelovou dotaci ve výši (v Kč):</w:t>
      </w:r>
    </w:p>
    <w:p w:rsidR="00A276EC" w:rsidRDefault="008E1127">
      <w:pPr>
        <w:spacing w:before="288"/>
        <w:ind w:left="3960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55 000,- Kč</w:t>
      </w:r>
    </w:p>
    <w:p w:rsidR="00A276EC" w:rsidRDefault="008E1127">
      <w:pPr>
        <w:spacing w:before="252"/>
        <w:ind w:left="50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na projekt:</w:t>
      </w:r>
    </w:p>
    <w:p w:rsidR="00A276EC" w:rsidRDefault="008E1127">
      <w:pPr>
        <w:pBdr>
          <w:top w:val="single" w:sz="4" w:space="0" w:color="000000"/>
          <w:left w:val="single" w:sz="4" w:space="3" w:color="000000"/>
          <w:bottom w:val="single" w:sz="4" w:space="3" w:color="000000"/>
          <w:right w:val="single" w:sz="5" w:space="0" w:color="000000"/>
        </w:pBdr>
        <w:tabs>
          <w:tab w:val="right" w:pos="5230"/>
        </w:tabs>
        <w:ind w:left="540" w:right="615"/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>Název Projektu</w:t>
      </w: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ab/>
      </w:r>
      <w:r w:rsidR="00C76FCF"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 xml:space="preserve">     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Festival 13+, 9. ročník</w:t>
      </w:r>
    </w:p>
    <w:p w:rsidR="00A276EC" w:rsidRDefault="008E1127">
      <w:pPr>
        <w:pBdr>
          <w:top w:val="single" w:sz="4" w:space="0" w:color="000000"/>
          <w:left w:val="single" w:sz="4" w:space="3" w:color="000000"/>
          <w:bottom w:val="single" w:sz="4" w:space="3" w:color="000000"/>
          <w:right w:val="single" w:sz="5" w:space="0" w:color="000000"/>
        </w:pBdr>
        <w:tabs>
          <w:tab w:val="right" w:pos="3729"/>
        </w:tabs>
        <w:ind w:left="540" w:right="615"/>
        <w:rPr>
          <w:rFonts w:ascii="Times New Roman" w:hAnsi="Times New Roman"/>
          <w:b/>
          <w:color w:val="000000"/>
          <w:spacing w:val="-10"/>
          <w:w w:val="105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3"/>
          <w:u w:val="single"/>
          <w:lang w:val="cs-CZ"/>
        </w:rPr>
        <w:t>Číslo Projektu</w:t>
      </w:r>
      <w:r>
        <w:rPr>
          <w:rFonts w:ascii="Times New Roman" w:hAnsi="Times New Roman"/>
          <w:b/>
          <w:color w:val="000000"/>
          <w:spacing w:val="-10"/>
          <w:w w:val="105"/>
          <w:sz w:val="23"/>
          <w:u w:val="single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80 2018</w:t>
      </w:r>
    </w:p>
    <w:p w:rsidR="00A276EC" w:rsidRDefault="008E1127">
      <w:pPr>
        <w:spacing w:before="1080"/>
        <w:ind w:left="504"/>
        <w:rPr>
          <w:rFonts w:ascii="Times New Roman" w:hAnsi="Times New Roman"/>
          <w:color w:val="000000"/>
          <w:w w:val="105"/>
          <w:sz w:val="24"/>
          <w:lang w:val="cs-CZ"/>
        </w:rPr>
      </w:pPr>
      <w:r>
        <w:pict>
          <v:line id="_x0000_s1031" style="position:absolute;left:0;text-align:left;z-index:251659776;mso-position-horizontal-relative:page;mso-position-vertical-relative:page" from="217.65pt,674.8pt" to="217.65pt,704pt" strokeweight=".55pt">
            <w10:wrap anchorx="page" anchory="page"/>
          </v:line>
        </w:pict>
      </w:r>
      <w:r>
        <w:pict>
          <v:line id="_x0000_s1030" style="position:absolute;left:0;text-align:left;z-index:251660800;mso-position-horizontal-relative:page;mso-position-vertical-relative:page" from="76pt,689pt" to="512.75pt,689pt" strokeweight=".7pt">
            <w10:wrap anchorx="page" anchory="page"/>
          </v:line>
        </w:pict>
      </w:r>
      <w:r>
        <w:rPr>
          <w:rFonts w:ascii="Times New Roman" w:hAnsi="Times New Roman"/>
          <w:color w:val="000000"/>
          <w:w w:val="105"/>
          <w:sz w:val="24"/>
          <w:lang w:val="cs-CZ"/>
        </w:rPr>
        <w:t>(dále jen „Projekt")</w:t>
      </w:r>
    </w:p>
    <w:p w:rsidR="00A276EC" w:rsidRPr="00C76FCF" w:rsidRDefault="00A276EC">
      <w:pPr>
        <w:rPr>
          <w:lang w:val="cs-CZ"/>
        </w:rPr>
        <w:sectPr w:rsidR="00A276EC" w:rsidRPr="00C76FCF">
          <w:pgSz w:w="11918" w:h="16854"/>
          <w:pgMar w:top="1454" w:right="989" w:bottom="763" w:left="1049" w:header="720" w:footer="720" w:gutter="0"/>
          <w:cols w:space="708"/>
        </w:sectPr>
      </w:pPr>
    </w:p>
    <w:p w:rsidR="00A276EC" w:rsidRDefault="008E1127">
      <w:pPr>
        <w:numPr>
          <w:ilvl w:val="0"/>
          <w:numId w:val="1"/>
        </w:numPr>
        <w:tabs>
          <w:tab w:val="clear" w:pos="504"/>
          <w:tab w:val="decimal" w:pos="576"/>
        </w:tabs>
        <w:spacing w:line="280" w:lineRule="auto"/>
        <w:ind w:left="576" w:hanging="504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lastRenderedPageBreak/>
        <w:pict>
          <v:shape id="_x0000_s1029" type="#_x0000_t202" style="position:absolute;left:0;text-align:left;margin-left:0;margin-top:701.3pt;width:491pt;height:11.4pt;z-index:-251660800;mso-wrap-distance-left:0;mso-wrap-distance-right:0" filled="f" stroked="f">
            <v:textbox inset="0,0,0,0">
              <w:txbxContent>
                <w:p w:rsidR="00A276EC" w:rsidRDefault="008E1127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Žadatel ú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čelovou dotaci výslovně přijímá za podmínek touto smlouvou dále sjednaných.</w:t>
      </w:r>
    </w:p>
    <w:p w:rsidR="00A276EC" w:rsidRDefault="008E1127">
      <w:pPr>
        <w:numPr>
          <w:ilvl w:val="0"/>
          <w:numId w:val="1"/>
        </w:numPr>
        <w:tabs>
          <w:tab w:val="clear" w:pos="504"/>
          <w:tab w:val="decimal" w:pos="576"/>
        </w:tabs>
        <w:spacing w:before="252"/>
        <w:ind w:left="576" w:hanging="504"/>
        <w:jc w:val="both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Žadatel bere na vědomí v souladu s § 8 odst. 4 Zákona, že účelovou dotaci, poskytnutou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v souladu s odstavcem 1 tohoto článku, nesmí použít ke krytí ztráty ze své činnosti, ani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příp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adných dalších subjektů podílejících se na realizaci Projektu.</w:t>
      </w:r>
    </w:p>
    <w:p w:rsidR="00A276EC" w:rsidRDefault="008E1127">
      <w:pPr>
        <w:numPr>
          <w:ilvl w:val="0"/>
          <w:numId w:val="1"/>
        </w:numPr>
        <w:tabs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Pokud byla účelová dotace poskytnuta ve formě neinvestiční dotace, poskytnuté finanční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prostředky nelze použít na pořízení dlouhodobého hmotného a nehmotného majetku.</w:t>
      </w:r>
    </w:p>
    <w:p w:rsidR="00A276EC" w:rsidRDefault="008E1127">
      <w:pPr>
        <w:numPr>
          <w:ilvl w:val="0"/>
          <w:numId w:val="2"/>
        </w:numPr>
        <w:tabs>
          <w:tab w:val="clear" w:pos="288"/>
          <w:tab w:val="decimal" w:pos="5040"/>
        </w:tabs>
        <w:spacing w:before="324"/>
        <w:ind w:left="3024" w:right="3096" w:firstLine="1728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Zp</w:t>
      </w:r>
      <w:r w:rsidR="00C76FCF"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ůsob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poskytování účelové dotace</w:t>
      </w:r>
    </w:p>
    <w:p w:rsidR="00A276EC" w:rsidRDefault="008E1127">
      <w:pPr>
        <w:spacing w:before="288"/>
        <w:ind w:left="432" w:hanging="43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(1) Účelová dotace ve výši dle článku I odst. 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1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této smlouvy bude poskytnuta jednorázově na účet Žadatele uvedený v záhlaví této smlouvy, a to nejpozději do 30 dnů ode dne podpisu Smlouvy.</w:t>
      </w:r>
    </w:p>
    <w:p w:rsidR="00A276EC" w:rsidRDefault="008E1127">
      <w:pPr>
        <w:numPr>
          <w:ilvl w:val="0"/>
          <w:numId w:val="2"/>
        </w:numPr>
        <w:tabs>
          <w:tab w:val="decimal" w:pos="5112"/>
        </w:tabs>
        <w:spacing w:before="288"/>
        <w:ind w:left="3888" w:right="3960" w:firstLine="864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Rozpočet Projektu</w:t>
      </w:r>
    </w:p>
    <w:p w:rsidR="00A276EC" w:rsidRDefault="008E1127">
      <w:pPr>
        <w:spacing w:before="288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(1) Celkové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plán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ované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náklady na Projekt dle odst. 1 čl. I této smlouvy činí (v Kč):</w:t>
      </w:r>
    </w:p>
    <w:p w:rsidR="00A276EC" w:rsidRDefault="008E1127">
      <w:pPr>
        <w:spacing w:before="288"/>
        <w:ind w:left="4176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773 479,- Kč</w:t>
      </w:r>
    </w:p>
    <w:p w:rsidR="00A276EC" w:rsidRDefault="008E1127">
      <w:pPr>
        <w:numPr>
          <w:ilvl w:val="0"/>
          <w:numId w:val="2"/>
        </w:numPr>
        <w:tabs>
          <w:tab w:val="decimal" w:pos="5112"/>
        </w:tabs>
        <w:spacing w:before="288"/>
        <w:ind w:left="2952" w:right="3024" w:firstLine="180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Podmínky poskytnutí účelové dotace</w:t>
      </w:r>
    </w:p>
    <w:p w:rsidR="00A276EC" w:rsidRDefault="008E1127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432" w:hanging="432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Účelovou dotaci se Žadatel zavazuje použít výhradně k účelu stanovenému v čl. I odst. 1 této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smlouvy.</w:t>
      </w:r>
    </w:p>
    <w:p w:rsidR="00A276EC" w:rsidRDefault="008E1127">
      <w:pPr>
        <w:numPr>
          <w:ilvl w:val="0"/>
          <w:numId w:val="3"/>
        </w:numPr>
        <w:tabs>
          <w:tab w:val="clear" w:pos="432"/>
          <w:tab w:val="decimal" w:pos="504"/>
        </w:tabs>
        <w:spacing w:before="252" w:line="283" w:lineRule="auto"/>
        <w:ind w:left="504" w:hanging="432"/>
        <w:rPr>
          <w:rFonts w:ascii="Times New Roman" w:hAnsi="Times New Roman"/>
          <w:color w:val="000000"/>
          <w:spacing w:val="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>Žadatel se dále zavazuje:</w:t>
      </w:r>
    </w:p>
    <w:p w:rsidR="00A276EC" w:rsidRDefault="008E1127">
      <w:pPr>
        <w:numPr>
          <w:ilvl w:val="0"/>
          <w:numId w:val="4"/>
        </w:numPr>
        <w:tabs>
          <w:tab w:val="clear" w:pos="360"/>
          <w:tab w:val="decimal" w:pos="1080"/>
        </w:tabs>
        <w:spacing w:before="252"/>
        <w:ind w:left="1080" w:hanging="360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vést odd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ělenou, průkaznou a průběžnou evidenci (dle platného zákona o účetnictví) 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Projektu a umožnit Fondu do této evidence a příslušných dokladů nahlížet,</w:t>
      </w:r>
    </w:p>
    <w:p w:rsidR="00A276EC" w:rsidRDefault="008E1127">
      <w:pPr>
        <w:numPr>
          <w:ilvl w:val="0"/>
          <w:numId w:val="4"/>
        </w:numPr>
        <w:tabs>
          <w:tab w:val="clear" w:pos="360"/>
          <w:tab w:val="decimal" w:pos="1080"/>
        </w:tabs>
        <w:spacing w:before="252"/>
        <w:ind w:left="1152" w:right="5760" w:hanging="432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dokončit Projekt nejpozději </w:t>
      </w:r>
      <w:proofErr w:type="gramStart"/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do</w:t>
      </w:r>
      <w:proofErr w:type="gramEnd"/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: </w:t>
      </w:r>
      <w:r>
        <w:rPr>
          <w:rFonts w:ascii="Times New Roman" w:hAnsi="Times New Roman"/>
          <w:b/>
          <w:color w:val="000000"/>
          <w:sz w:val="23"/>
          <w:lang w:val="cs-CZ"/>
        </w:rPr>
        <w:t>28. února 2018</w:t>
      </w:r>
    </w:p>
    <w:p w:rsidR="00A276EC" w:rsidRDefault="008E1127">
      <w:pPr>
        <w:spacing w:before="288"/>
        <w:ind w:left="1152" w:right="4392" w:hanging="14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a do 30 dnů ode dne uplynutí této lhůty, tj. do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30. března 2018</w:t>
      </w:r>
    </w:p>
    <w:p w:rsidR="00A276EC" w:rsidRDefault="008E1127">
      <w:pPr>
        <w:spacing w:before="288"/>
        <w:ind w:left="864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oznámit písemně Fondu, že byl Projekt dokončen a datum dokončení Projektu, a předložit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Fondu písemné vyúčtování účelové dotace na formuláři k </w:t>
      </w:r>
      <w:proofErr w:type="gramStart"/>
      <w:r>
        <w:rPr>
          <w:rFonts w:ascii="Times New Roman" w:hAnsi="Times New Roman"/>
          <w:color w:val="000000"/>
          <w:w w:val="105"/>
          <w:sz w:val="24"/>
          <w:lang w:val="cs-CZ"/>
        </w:rPr>
        <w:t>tornu</w:t>
      </w:r>
      <w:proofErr w:type="gramEnd"/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 účelu Fondem vydaném.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 případě, že Žadatel je plátcem daně z přidané hodnoty a na rozpočtov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é položky, hrazené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z dotace, lze uplatnit nárok na odpočet a Žadatel tento nárok uplatnil, Žadatel nesmí dotaci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použít na částku, odpovídající nárokovanému odpočtu daně a rovněž nesmí tuto částku 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zahrnout do vyúčtování dotace. Ve stejné lhůtě je Žadatel ta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ké povinen vrátit Fondu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případně nevyužitou část účelové dotace. Podíl Fondu na celkových skutečných nákladech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Projektu nesmí přesáhnout v procentním vyjádření:</w:t>
      </w:r>
    </w:p>
    <w:p w:rsidR="00A276EC" w:rsidRDefault="008E1127">
      <w:pPr>
        <w:ind w:left="936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66,66%</w:t>
      </w:r>
    </w:p>
    <w:p w:rsidR="00A276EC" w:rsidRDefault="008E1127">
      <w:pPr>
        <w:ind w:left="864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 celkových nákladů projektu.</w:t>
      </w:r>
    </w:p>
    <w:p w:rsidR="00A276EC" w:rsidRPr="00C76FCF" w:rsidRDefault="00A276EC">
      <w:pPr>
        <w:rPr>
          <w:lang w:val="cs-CZ"/>
        </w:rPr>
        <w:sectPr w:rsidR="00A276EC" w:rsidRPr="00C76FCF">
          <w:pgSz w:w="11918" w:h="16854"/>
          <w:pgMar w:top="1674" w:right="1006" w:bottom="824" w:left="1032" w:header="720" w:footer="720" w:gutter="0"/>
          <w:cols w:space="708"/>
        </w:sectPr>
      </w:pPr>
    </w:p>
    <w:p w:rsidR="00A276EC" w:rsidRDefault="008E1127">
      <w:pPr>
        <w:ind w:left="144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lastRenderedPageBreak/>
        <w:pict>
          <v:shape id="_x0000_s1028" type="#_x0000_t202" style="position:absolute;left:0;text-align:left;margin-left:0;margin-top:715.45pt;width:458pt;height:11.55pt;z-index:-251659776;mso-wrap-distance-left:0;mso-wrap-distance-right:0" filled="f" stroked="f">
            <v:textbox inset="0,0,0,0">
              <w:txbxContent>
                <w:p w:rsidR="00A276EC" w:rsidRDefault="008E1127">
                  <w:pPr>
                    <w:spacing w:line="201" w:lineRule="auto"/>
                    <w:ind w:left="4176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Pokud by výše poskytnutých prost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ředků z Fondu převyšovala tento podíl, je Žadatel povinen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rozdíl ve shora stanovené lhůtě Fondu vrátit. Peněžní prostředky převede žadatel na účet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Fondu, uvedený v záhlaví této smlouvy,</w:t>
      </w:r>
    </w:p>
    <w:p w:rsidR="00A276EC" w:rsidRDefault="008E1127">
      <w:pPr>
        <w:numPr>
          <w:ilvl w:val="0"/>
          <w:numId w:val="5"/>
        </w:numPr>
        <w:tabs>
          <w:tab w:val="clear" w:pos="288"/>
          <w:tab w:val="decimal" w:pos="360"/>
        </w:tabs>
        <w:spacing w:before="288"/>
        <w:ind w:left="648" w:hanging="576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předložit Fondu písemnou závěrečnou zprávu (slovní hodnocení) o realiz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aci a výsledcích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Projektu, a to nejpozději s vyúčtováním Projektu. Závěrečná zpráva bude obsahovat: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popis realizace Projektu,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zhodnocení Projektu,</w:t>
      </w:r>
    </w:p>
    <w:p w:rsidR="00A276EC" w:rsidRDefault="008E1127">
      <w:pPr>
        <w:ind w:left="108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dokumentaci realizace Projektu obsahující nejméně 1 originální exemplář všech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propagačních materiálů, které byly použity k realizaci a propagaci Projektu (např.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pozvánky, plakáty, katalog, průvodce, jiné tiskoviny, CD apod.),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přehled o financování Projektu včetně čestného prohlášení k vyúčtování dotace (</w:t>
      </w:r>
      <w:hyperlink r:id="rId8">
        <w:r>
          <w:rPr>
            <w:rFonts w:ascii="Times New Roman" w:hAnsi="Times New Roman"/>
            <w:color w:val="0000FF"/>
            <w:spacing w:val="-4"/>
            <w:w w:val="105"/>
            <w:sz w:val="24"/>
            <w:u w:val="single"/>
            <w:lang w:val="cs-CZ"/>
          </w:rPr>
          <w:t>https://www.mkcr.cz/formulare-565.html),</w:t>
        </w:r>
      </w:hyperlink>
    </w:p>
    <w:p w:rsidR="00A276EC" w:rsidRDefault="008E1127">
      <w:pPr>
        <w:numPr>
          <w:ilvl w:val="0"/>
          <w:numId w:val="5"/>
        </w:numPr>
        <w:tabs>
          <w:tab w:val="clear" w:pos="288"/>
          <w:tab w:val="decimal" w:pos="360"/>
        </w:tabs>
        <w:spacing w:before="288"/>
        <w:ind w:left="648" w:hanging="576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Pro účely vyúčtování dotace poskytnuté žadateli, uznatelnými náklady nejsou:</w:t>
      </w:r>
    </w:p>
    <w:p w:rsidR="00A276EC" w:rsidRDefault="008E1127">
      <w:pPr>
        <w:spacing w:before="288"/>
        <w:ind w:left="108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náklady na </w:t>
      </w:r>
      <w:r w:rsidR="00C76FCF"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poskytnuté příjemci podpory třetí osobou, jež je sama příjemcem </w:t>
      </w:r>
      <w:r w:rsidR="00C76FCF"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 od příjemce podpor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y, které má souvislost s projektem, a to nejvýše v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rozsahu ceny </w:t>
      </w:r>
      <w:r w:rsidR="00C76FC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poskytovaného příjemcem podpory takové třetí osobě;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věcné </w:t>
      </w:r>
      <w:r w:rsidR="00C76FCF"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 poskytnuté pro realizaci projektu příjemcem podpory, tj. zejména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využití vlastních výrobních kapacit příjemce podpory;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rezervy na ztráty nebo budoucí možné závazky;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úroky z úvěrů a půjček;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náklady na koupi pohledávek;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bankovní poplatky;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daň z přidané hodnoty (DPH) v rozsahu, v němž příjemce podpory, který je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plátcem DPH, uplatnil nebo mohl uplatnit nárok na její odpočet;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mluvní pokuty, úroky z prodlení a poplatek z prodlení, odstupné, náhrada škody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náklady na služby auditora, není-li příjemce podpory povinen předložit Fondu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zprávu auditora podle zákona;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kupní cena nemovitostí;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daň z příjmu, silniční daň, daň z nemovitostí,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daň darovací, daň dědická, daň z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převodu nemovitostí a clo;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výdaje na soudní spory vzniklé v souvislosti s projektem, včetně soudního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poplatku a nákladů na právní zastoupení;</w:t>
      </w:r>
    </w:p>
    <w:p w:rsidR="00A276EC" w:rsidRDefault="008E1127">
      <w:pPr>
        <w:ind w:left="108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výdaje na zaměstnance, ke kterým nejsou zaměstnavatelé povinni dle právních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předpisů (zejména příspěvky na penzijní připojištění, životní pojištění, dary k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životním jubileím, příspěvky na rekreaci);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splátky leasingu;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stipendia nebo platby podobného charakteru;</w:t>
      </w:r>
    </w:p>
    <w:p w:rsidR="00A276EC" w:rsidRDefault="008E1127">
      <w:pPr>
        <w:ind w:left="1080" w:right="72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ceny, medaile, odměny, diplomy, upomínkové předměty pro vítěze resp. úč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astníky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soutěží;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dárcovské SMS a MMS a jízdenky na městskou hromadnou dopravu;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alkoholické nápoje, tabákové výrobky, pokud se nejedná o materiál nezbytný k realizaci projektu;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náklady na zpracování žádosti o podporu;</w:t>
      </w:r>
    </w:p>
    <w:p w:rsidR="00A276EC" w:rsidRDefault="008E1127">
      <w:pPr>
        <w:ind w:left="1080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výdaje na reklamu a propagaci p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říjemce podpory, která není přímo spojená s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projektem (prezentační předměty, propagace značky, firemní internetová stránka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apod.);</w:t>
      </w:r>
    </w:p>
    <w:p w:rsidR="00A276EC" w:rsidRDefault="008E1127">
      <w:pPr>
        <w:ind w:left="1080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poplatky za členství příjemce podpory v občanských sdruženích nebo v jiných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právnických osobách;</w:t>
      </w:r>
    </w:p>
    <w:p w:rsidR="00A276EC" w:rsidRPr="00C76FCF" w:rsidRDefault="00A276EC">
      <w:pPr>
        <w:rPr>
          <w:lang w:val="cs-CZ"/>
        </w:rPr>
        <w:sectPr w:rsidR="00A276EC" w:rsidRPr="00C76FCF">
          <w:pgSz w:w="11918" w:h="16854"/>
          <w:pgMar w:top="1434" w:right="1318" w:bottom="781" w:left="1380" w:header="720" w:footer="720" w:gutter="0"/>
          <w:cols w:space="708"/>
        </w:sectPr>
      </w:pPr>
    </w:p>
    <w:p w:rsidR="00A276EC" w:rsidRDefault="008E1127">
      <w:pPr>
        <w:ind w:left="1728"/>
        <w:rPr>
          <w:rFonts w:ascii="Times New Roman" w:hAnsi="Times New Roman"/>
          <w:color w:val="000000"/>
          <w:spacing w:val="2"/>
          <w:w w:val="105"/>
          <w:sz w:val="23"/>
          <w:lang w:val="cs-CZ"/>
        </w:rPr>
      </w:pPr>
      <w:r>
        <w:lastRenderedPageBreak/>
        <w:pict>
          <v:shape id="_x0000_s1027" type="#_x0000_t202" style="position:absolute;left:0;text-align:left;margin-left:0;margin-top:713pt;width:491pt;height:11.15pt;z-index:-251658752;mso-wrap-distance-left:0;mso-wrap-distance-right:0" filled="f" stroked="f">
            <v:textbox inset="0,0,0,0">
              <w:txbxContent>
                <w:p w:rsidR="00A276EC" w:rsidRDefault="008E1127">
                  <w:pPr>
                    <w:spacing w:line="204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>odm</w:t>
      </w: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ěny statutárnímu orgánu nebo členům statutárního nebo dozorčího orgánu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právnické osoby, která je příjemcem podpory, za výkon funkce.</w:t>
      </w:r>
    </w:p>
    <w:p w:rsidR="00A276EC" w:rsidRDefault="008E1127">
      <w:pPr>
        <w:ind w:left="1728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výdaje na pohoštění</w:t>
      </w:r>
    </w:p>
    <w:p w:rsidR="00A276EC" w:rsidRDefault="008E1127">
      <w:pPr>
        <w:spacing w:line="266" w:lineRule="auto"/>
        <w:ind w:left="1728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výdaje na zahraniční cesty, které přímo nesouvisí s realizací projektu</w:t>
      </w:r>
    </w:p>
    <w:p w:rsidR="00A276EC" w:rsidRDefault="008E1127">
      <w:pPr>
        <w:numPr>
          <w:ilvl w:val="0"/>
          <w:numId w:val="6"/>
        </w:numPr>
        <w:tabs>
          <w:tab w:val="clear" w:pos="360"/>
          <w:tab w:val="decimal" w:pos="1080"/>
        </w:tabs>
        <w:spacing w:before="288"/>
        <w:ind w:left="1080" w:hanging="360"/>
        <w:jc w:val="both"/>
        <w:rPr>
          <w:rFonts w:ascii="Times New Roman" w:hAnsi="Times New Roman"/>
          <w:color w:val="000000"/>
          <w:spacing w:val="5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>v případě, že kompletní realizac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e Projektu neproběhne před uzavřením této Smlouvy, 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 xml:space="preserve">v rámci Projektu a v souvislosti s Projektem uvádět, že Projekt vznikl za finanční podpory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Fondu, a to následujícím způsobem: ve všech materiálech spojených s propagací Projektu </w:t>
      </w:r>
      <w:r>
        <w:rPr>
          <w:rFonts w:ascii="Times New Roman" w:hAnsi="Times New Roman"/>
          <w:color w:val="000000"/>
          <w:spacing w:val="18"/>
          <w:w w:val="105"/>
          <w:sz w:val="23"/>
          <w:lang w:val="cs-CZ"/>
        </w:rPr>
        <w:t>uvést vedle malého státního</w:t>
      </w:r>
      <w:r>
        <w:rPr>
          <w:rFonts w:ascii="Times New Roman" w:hAnsi="Times New Roman"/>
          <w:color w:val="000000"/>
          <w:spacing w:val="18"/>
          <w:w w:val="105"/>
          <w:sz w:val="23"/>
          <w:lang w:val="cs-CZ"/>
        </w:rPr>
        <w:t xml:space="preserve"> znaku „Státní fond kultury České republiky"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(</w:t>
      </w:r>
      <w:hyperlink r:id="rId9">
        <w:r>
          <w:rPr>
            <w:rFonts w:ascii="Times New Roman" w:hAnsi="Times New Roman"/>
            <w:color w:val="0000FF"/>
            <w:w w:val="105"/>
            <w:sz w:val="23"/>
            <w:u w:val="single"/>
            <w:lang w:val="cs-CZ"/>
          </w:rPr>
          <w:t>https://www.mkcr.cz/logo-ke-stazeni-557.html),</w:t>
        </w:r>
      </w:hyperlink>
    </w:p>
    <w:p w:rsidR="00A276EC" w:rsidRDefault="008E1127">
      <w:pPr>
        <w:numPr>
          <w:ilvl w:val="0"/>
          <w:numId w:val="6"/>
        </w:numPr>
        <w:tabs>
          <w:tab w:val="clear" w:pos="360"/>
          <w:tab w:val="decimal" w:pos="1080"/>
        </w:tabs>
        <w:spacing w:before="324"/>
        <w:ind w:left="1080" w:hanging="360"/>
        <w:jc w:val="both"/>
        <w:rPr>
          <w:rFonts w:ascii="Times New Roman" w:hAnsi="Times New Roman"/>
          <w:color w:val="000000"/>
          <w:spacing w:val="4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3"/>
          <w:lang w:val="cs-CZ"/>
        </w:rPr>
        <w:t xml:space="preserve">předložit Fondu pozvánky na dotovanou akci v dostatečném předstihu. Je-li dotace </w:t>
      </w:r>
      <w:r>
        <w:rPr>
          <w:rFonts w:ascii="Times New Roman" w:hAnsi="Times New Roman"/>
          <w:color w:val="000000"/>
          <w:spacing w:val="6"/>
          <w:w w:val="105"/>
          <w:sz w:val="23"/>
          <w:lang w:val="cs-CZ"/>
        </w:rPr>
        <w:t xml:space="preserve">čerpána na vydání periodické nebo neperiodické publikace, předložit dva výtisky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publikace ihned po vydání,</w:t>
      </w:r>
    </w:p>
    <w:p w:rsidR="00A276EC" w:rsidRDefault="008E1127">
      <w:pPr>
        <w:tabs>
          <w:tab w:val="right" w:leader="underscore" w:pos="9779"/>
        </w:tabs>
        <w:spacing w:before="324"/>
        <w:ind w:left="648"/>
        <w:rPr>
          <w:rFonts w:ascii="Times New Roman" w:hAnsi="Times New Roman"/>
          <w:color w:val="000000"/>
          <w:spacing w:val="-36"/>
          <w:sz w:val="23"/>
          <w:lang w:val="cs-CZ"/>
        </w:rPr>
      </w:pPr>
      <w:r>
        <w:rPr>
          <w:rFonts w:ascii="Times New Roman" w:hAnsi="Times New Roman"/>
          <w:color w:val="000000"/>
          <w:spacing w:val="-36"/>
          <w:sz w:val="23"/>
          <w:lang w:val="cs-CZ"/>
        </w:rPr>
        <w:t>g.</w:t>
      </w:r>
      <w:r>
        <w:rPr>
          <w:rFonts w:ascii="Times New Roman" w:hAnsi="Times New Roman"/>
          <w:color w:val="000000"/>
          <w:spacing w:val="-36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na základě písemné výzvy umožnit Fondu kontrolu všech vykazovaných údajů v souladu</w:t>
      </w:r>
    </w:p>
    <w:p w:rsidR="00A276EC" w:rsidRDefault="008E1127">
      <w:pPr>
        <w:ind w:left="1008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s platnými právními předpisy a to do 30 dnů od data doručení v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ýzvy Fondu,</w:t>
      </w:r>
    </w:p>
    <w:p w:rsidR="00A276EC" w:rsidRDefault="008E1127">
      <w:pPr>
        <w:numPr>
          <w:ilvl w:val="0"/>
          <w:numId w:val="7"/>
        </w:numPr>
        <w:tabs>
          <w:tab w:val="clear" w:pos="360"/>
          <w:tab w:val="decimal" w:pos="1080"/>
        </w:tabs>
        <w:spacing w:before="288" w:line="266" w:lineRule="auto"/>
        <w:ind w:left="1080" w:hanging="360"/>
        <w:rPr>
          <w:rFonts w:ascii="Times New Roman" w:hAnsi="Times New Roman"/>
          <w:color w:val="000000"/>
          <w:spacing w:val="4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3"/>
          <w:lang w:val="cs-CZ"/>
        </w:rPr>
        <w:t>Fond neprodleně písemně informovat o změnách údajů v této smlouvě uvedených,</w:t>
      </w:r>
    </w:p>
    <w:p w:rsidR="00A276EC" w:rsidRDefault="008E1127">
      <w:pPr>
        <w:numPr>
          <w:ilvl w:val="0"/>
          <w:numId w:val="7"/>
        </w:numPr>
        <w:tabs>
          <w:tab w:val="clear" w:pos="360"/>
          <w:tab w:val="decimal" w:pos="1080"/>
        </w:tabs>
        <w:spacing w:before="288"/>
        <w:ind w:left="1080" w:hanging="360"/>
        <w:jc w:val="both"/>
        <w:rPr>
          <w:rFonts w:ascii="Times New Roman" w:hAnsi="Times New Roman"/>
          <w:color w:val="000000"/>
          <w:spacing w:val="3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 xml:space="preserve">postupovat v souladu se zákonem č. 137/2006 Sb., o veřejných zakázkách, v planém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 xml:space="preserve">znění, pokud použije peněžní prostředky z veřejných zdrojů k úhradě zakázky, která je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nadlimitní nebo podlimitní veřejnou zakázku podle tohoto zákona,</w:t>
      </w:r>
    </w:p>
    <w:p w:rsidR="00A276EC" w:rsidRDefault="008E1127">
      <w:pPr>
        <w:spacing w:before="288"/>
        <w:ind w:left="1008"/>
        <w:jc w:val="both"/>
        <w:rPr>
          <w:rFonts w:ascii="Times New Roman" w:hAnsi="Times New Roman"/>
          <w:color w:val="000000"/>
          <w:spacing w:val="3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3"/>
          <w:lang w:val="cs-CZ"/>
        </w:rPr>
        <w:t xml:space="preserve">Fond písemně informovat o výši využití finančních prostředků, které byly Žadateli v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průběhu realizace projektu poskytnuty. Informace předávat na formuláři k tomuto účelu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Fondem vydaném (Formulář využití finančních prostředků), nejpozději k 10. lednu za </w:t>
      </w:r>
      <w:r>
        <w:rPr>
          <w:rFonts w:ascii="Times New Roman" w:hAnsi="Times New Roman"/>
          <w:color w:val="000000"/>
          <w:spacing w:val="-4"/>
          <w:w w:val="105"/>
          <w:sz w:val="23"/>
          <w:lang w:val="cs-CZ"/>
        </w:rPr>
        <w:t xml:space="preserve">předchozí kalendářní rok. Tato povinnost se nevztahuje na kalendářní rok, ve kterém bylo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>předloženo konečné vyúčtování Projektu.</w:t>
      </w:r>
    </w:p>
    <w:p w:rsidR="00A276EC" w:rsidRDefault="008E1127">
      <w:pPr>
        <w:numPr>
          <w:ilvl w:val="0"/>
          <w:numId w:val="8"/>
        </w:numPr>
        <w:tabs>
          <w:tab w:val="clear" w:pos="360"/>
          <w:tab w:val="decimal" w:pos="432"/>
        </w:tabs>
        <w:spacing w:before="360"/>
        <w:ind w:left="432" w:hanging="360"/>
        <w:jc w:val="both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Případné prodloužení lhůty pro dokončení Pro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jektu, uvedené v odstavci 2 písm. b) tohoto článku,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je možné pouze na základě odůvodněné písemné žádosti Žadatele, doručené Fondu nejpozději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cs-CZ"/>
        </w:rPr>
        <w:t xml:space="preserve">14 dní </w:t>
      </w:r>
      <w:r>
        <w:rPr>
          <w:rFonts w:ascii="Times New Roman" w:hAnsi="Times New Roman"/>
          <w:color w:val="000000"/>
          <w:spacing w:val="-1"/>
          <w:w w:val="105"/>
          <w:sz w:val="23"/>
          <w:lang w:val="cs-CZ"/>
        </w:rPr>
        <w:t>před uplynutím lhůty pro dokončení Projektu.</w:t>
      </w:r>
    </w:p>
    <w:p w:rsidR="00A276EC" w:rsidRDefault="008E1127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504" w:hanging="432"/>
        <w:jc w:val="both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>Shledá-li Fond písemnou žádost podle odst. (3) tohoto článku řá</w:t>
      </w: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dně odůvodněnou, uzavře se </w:t>
      </w:r>
      <w:r>
        <w:rPr>
          <w:rFonts w:ascii="Times New Roman" w:hAnsi="Times New Roman"/>
          <w:color w:val="000000"/>
          <w:spacing w:val="-2"/>
          <w:w w:val="105"/>
          <w:sz w:val="23"/>
          <w:lang w:val="cs-CZ"/>
        </w:rPr>
        <w:t xml:space="preserve">Žadatelem písemný dodatek ke smlouvě. Do doby účinného uzavření dodatku ke smlouvě není </w:t>
      </w:r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Žadatel v prodlení s dokončením Projektu. Fond uzavře-se Žadatelem </w:t>
      </w:r>
      <w:proofErr w:type="spellStart"/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>odatek</w:t>
      </w:r>
      <w:proofErr w:type="spellEnd"/>
      <w:r>
        <w:rPr>
          <w:rFonts w:ascii="Times New Roman" w:hAnsi="Times New Roman"/>
          <w:color w:val="000000"/>
          <w:spacing w:val="2"/>
          <w:w w:val="105"/>
          <w:sz w:val="23"/>
          <w:lang w:val="cs-CZ"/>
        </w:rPr>
        <w:t xml:space="preserve"> ke smlouvě ve 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>lhůtě 30 dnů ode dne doručení odůvodněné žádosti, pop</w:t>
      </w:r>
      <w:r>
        <w:rPr>
          <w:rFonts w:ascii="Times New Roman" w:hAnsi="Times New Roman"/>
          <w:color w:val="000000"/>
          <w:spacing w:val="1"/>
          <w:w w:val="105"/>
          <w:sz w:val="23"/>
          <w:lang w:val="cs-CZ"/>
        </w:rPr>
        <w:t xml:space="preserve">ř. v této lhůtě informuje žadatele o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nevyhovění jeho žádosti.</w:t>
      </w:r>
    </w:p>
    <w:p w:rsidR="00A276EC" w:rsidRDefault="008E1127">
      <w:pPr>
        <w:numPr>
          <w:ilvl w:val="0"/>
          <w:numId w:val="8"/>
        </w:numPr>
        <w:tabs>
          <w:tab w:val="clear" w:pos="360"/>
          <w:tab w:val="decimal" w:pos="432"/>
        </w:tabs>
        <w:spacing w:before="360"/>
        <w:ind w:left="432" w:hanging="360"/>
        <w:jc w:val="both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V případě nesouhlasu s uzavřením písemného dodatku ke smlouvě ze strany Fondu, Žadatel není </w:t>
      </w:r>
      <w:r>
        <w:rPr>
          <w:rFonts w:ascii="Times New Roman" w:hAnsi="Times New Roman"/>
          <w:color w:val="000000"/>
          <w:spacing w:val="5"/>
          <w:w w:val="105"/>
          <w:sz w:val="23"/>
          <w:lang w:val="cs-CZ"/>
        </w:rPr>
        <w:t xml:space="preserve">v prodlení s vrácením poskytnuté účelové dotace do doby doručení písemného sdělení o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nevyhovění jeho žádosti.</w:t>
      </w:r>
    </w:p>
    <w:p w:rsidR="00A276EC" w:rsidRDefault="00C76FCF">
      <w:pPr>
        <w:spacing w:before="576"/>
        <w:jc w:val="center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V.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br/>
        <w:t>Následky nespln</w:t>
      </w:r>
      <w:r w:rsidR="008E1127"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ění podmínek </w:t>
      </w:r>
      <w:r w:rsidR="008E1127">
        <w:rPr>
          <w:rFonts w:ascii="Times New Roman" w:hAnsi="Times New Roman"/>
          <w:b/>
          <w:color w:val="000000"/>
          <w:w w:val="105"/>
          <w:sz w:val="23"/>
          <w:lang w:val="cs-CZ"/>
        </w:rPr>
        <w:br/>
        <w:t>poskytnutí účelové dotace</w:t>
      </w:r>
    </w:p>
    <w:p w:rsidR="00A276EC" w:rsidRPr="00C76FCF" w:rsidRDefault="00A276EC">
      <w:pPr>
        <w:rPr>
          <w:lang w:val="cs-CZ"/>
        </w:rPr>
        <w:sectPr w:rsidR="00A276EC" w:rsidRPr="00C76FCF">
          <w:pgSz w:w="11918" w:h="16854"/>
          <w:pgMar w:top="1452" w:right="1015" w:bottom="812" w:left="1023" w:header="720" w:footer="720" w:gutter="0"/>
          <w:cols w:space="708"/>
        </w:sectPr>
      </w:pPr>
    </w:p>
    <w:p w:rsidR="00A276EC" w:rsidRDefault="008E1127">
      <w:pPr>
        <w:numPr>
          <w:ilvl w:val="0"/>
          <w:numId w:val="9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lastRenderedPageBreak/>
        <w:pict>
          <v:shape id="_x0000_s1026" type="#_x0000_t202" style="position:absolute;left:0;text-align:left;margin-left:0;margin-top:713.2pt;width:492.9pt;height:11.55pt;z-index:-251657728;mso-wrap-distance-left:0;mso-wrap-distance-right:0" filled="f" stroked="f">
            <v:textbox inset="0,0,0,0">
              <w:txbxContent>
                <w:p w:rsidR="00A276EC" w:rsidRDefault="008E1127">
                  <w:pPr>
                    <w:spacing w:line="201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V případě porušení podmínek pro poskytnutí účelové dotace se jedná o neoprávněné použití nebo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zadržení peněžních prostředků poskytnutých z Fondu a je porušením rozpočtové kázně dle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rozpočtových pravidel.</w:t>
      </w:r>
    </w:p>
    <w:p w:rsidR="00A276EC" w:rsidRDefault="008E1127">
      <w:pPr>
        <w:numPr>
          <w:ilvl w:val="0"/>
          <w:numId w:val="9"/>
        </w:numPr>
        <w:tabs>
          <w:tab w:val="clear" w:pos="360"/>
          <w:tab w:val="decimal" w:pos="432"/>
        </w:tabs>
        <w:spacing w:before="252"/>
        <w:ind w:left="432" w:right="72" w:hanging="3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Za méně závažné porušení povinností Žadatele se považují podmínky stanovené v čl. IV odst. 2 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písm. d) — j) této smlouvy.</w:t>
      </w:r>
    </w:p>
    <w:p w:rsidR="00A276EC" w:rsidRDefault="008E1127">
      <w:pPr>
        <w:numPr>
          <w:ilvl w:val="0"/>
          <w:numId w:val="9"/>
        </w:numPr>
        <w:tabs>
          <w:tab w:val="clear" w:pos="360"/>
          <w:tab w:val="decimal" w:pos="432"/>
        </w:tabs>
        <w:spacing w:before="252"/>
        <w:ind w:left="432" w:right="72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V p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řípadě porušení podmínky dle čl. IV odst. 1 této smlouvy, Žadatel v souladu s §, 10 odst. 5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Zákona zaplatí Fondu pokutu ve výši 10% z přiznané částky účelové dotace. Povinnost Žadatele 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>vrátit Fondu prostředky užité v rozporu s touto smlouvou tím není dotče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na; smluvní pokutu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v uvedené výši je </w:t>
      </w:r>
      <w:r w:rsidR="00C76FC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Ž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adatel povinen uhradit Fondu nejpozději ve lhůtě 30 dnů ode dne doručení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výzvy k její úhradě, a to bezhotovostním převodem na účet Fondu uvedený v záhlaví této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smlouvy.</w:t>
      </w:r>
    </w:p>
    <w:p w:rsidR="00A276EC" w:rsidRDefault="008E1127">
      <w:pPr>
        <w:numPr>
          <w:ilvl w:val="0"/>
          <w:numId w:val="9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V p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řípadě, že žadatel v průběhu realizace Projektu zjistí, že není schopen z objektivních důvodů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Projekt realizovat, je povinen tuto skutečnost neprodleně Fondu písemně sdělit a současně </w:t>
      </w:r>
      <w:r w:rsidR="00C76FCF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přijatou účelovou dotaci v pl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né výši bezhotovostním převodem na účet Fon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du vrátit. Bude-li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vyplacená dotace připsána zpět na účet Fondu nejpozději v termínu stanoveném v čl. IV. odst. 2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písm. b), platnost a účinnost této smlouvy tímto okamžikem zaniká.</w:t>
      </w:r>
    </w:p>
    <w:p w:rsidR="00A276EC" w:rsidRDefault="008E1127">
      <w:pPr>
        <w:numPr>
          <w:ilvl w:val="0"/>
          <w:numId w:val="10"/>
        </w:numPr>
        <w:tabs>
          <w:tab w:val="clear" w:pos="360"/>
          <w:tab w:val="decimal" w:pos="5112"/>
        </w:tabs>
        <w:spacing w:before="288"/>
        <w:ind w:left="3960" w:right="4032" w:firstLine="792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Zvláštní ujednání</w:t>
      </w:r>
    </w:p>
    <w:p w:rsidR="00A276EC" w:rsidRDefault="008E1127">
      <w:pPr>
        <w:spacing w:before="288"/>
        <w:ind w:left="360" w:right="72" w:hanging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(1) Nes</w:t>
      </w:r>
      <w:r w:rsidR="00C76FCF"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 či porušení podmínek, za nichž je účelová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dotace poskytována dle čl. IV. této smlouvy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Žadatelem, je porušením smluvních povinností, pro které Fond může od této smlouvy odstoupit.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Odstoupení je třeba učinit písemně, účinky odstoupení nastávají okamžikem doručení žadateli.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V takovém případě je Žadatel povinen poskytnutou účelovou dotaci Fondu vrátit nejpozději ve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lhůtě 30 dnů ode dne doručení písemného projevu vůle Fondu o odstoupení.</w:t>
      </w:r>
    </w:p>
    <w:p w:rsidR="00A276EC" w:rsidRDefault="008E1127">
      <w:pPr>
        <w:numPr>
          <w:ilvl w:val="0"/>
          <w:numId w:val="10"/>
        </w:numPr>
        <w:tabs>
          <w:tab w:val="clear" w:pos="360"/>
          <w:tab w:val="decimal" w:pos="5112"/>
        </w:tabs>
        <w:spacing w:before="288"/>
        <w:ind w:left="3744" w:right="3816" w:firstLine="1008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Závěrečná ustanovení</w:t>
      </w:r>
    </w:p>
    <w:p w:rsidR="00A276EC" w:rsidRDefault="008E1127">
      <w:pPr>
        <w:numPr>
          <w:ilvl w:val="0"/>
          <w:numId w:val="11"/>
        </w:numPr>
        <w:tabs>
          <w:tab w:val="clear" w:pos="360"/>
          <w:tab w:val="decimal" w:pos="432"/>
        </w:tabs>
        <w:spacing w:before="288"/>
        <w:ind w:left="432" w:right="72" w:hanging="360"/>
        <w:rPr>
          <w:rFonts w:ascii="Times New Roman" w:hAnsi="Times New Roman"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Tato Smlouva se uzavírá na dobu do s</w:t>
      </w:r>
      <w:r w:rsidR="00C76FCF"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 závazku žadatele. Práva a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povinnosti z této smlouvy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přecházejí na právní nástupce obou smluvních stran.</w:t>
      </w:r>
    </w:p>
    <w:p w:rsidR="00A276EC" w:rsidRDefault="008E1127">
      <w:pPr>
        <w:numPr>
          <w:ilvl w:val="0"/>
          <w:numId w:val="11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Smluvní strany se dohodly, že doručování v souvislosti s touto smlouvou je účinné dnem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doručení druhé smluvní straně nebo dnem, kdy se zásilka odeslaná doporučenou poštou na adresu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žadatele uvedenou</w:t>
      </w:r>
      <w:r w:rsidR="00C76FCF"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v záhlaví této smlouvy (pokud Ž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adatel písemně neoznámil Fondu její změnu),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vrátila odesilateli jako nevyzvednutá nebo nedoručitelná.</w:t>
      </w:r>
    </w:p>
    <w:p w:rsidR="00A276EC" w:rsidRDefault="008E1127">
      <w:pPr>
        <w:numPr>
          <w:ilvl w:val="0"/>
          <w:numId w:val="11"/>
        </w:numPr>
        <w:tabs>
          <w:tab w:val="clear" w:pos="360"/>
          <w:tab w:val="decimal" w:pos="432"/>
        </w:tabs>
        <w:spacing w:before="288"/>
        <w:ind w:left="432" w:right="72" w:hanging="36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Smluvní str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any se dohodly, že připadá-li konec některé lhůty podle této smlouvy na den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pracovního volna nebo pracovního klidu, skončí lhůta až nejblíže následujícím pracovním dnem.</w:t>
      </w:r>
    </w:p>
    <w:p w:rsidR="00A276EC" w:rsidRPr="00C45CE9" w:rsidRDefault="008E1127">
      <w:pPr>
        <w:numPr>
          <w:ilvl w:val="0"/>
          <w:numId w:val="11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 p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řípadě, že Žadateli bude pravomocným rozhodnutím orgánu finanční kontroly předepsán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odvod za porušení rozpočtové kázně ve výši 100% čerpané dotace včetně případného penále za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nes</w:t>
      </w:r>
      <w:r w:rsidR="00C76FC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plnění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podmínek využití dotace podle této smlouvy, platnost a účinnost této sm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louvy zaniká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dnem připsání tohoto odvodu na účet správce daně. V případě, že k připsání odvodu na účet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spr</w:t>
      </w:r>
      <w:r w:rsidR="00C76FCF"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ávce daně nedojde z důvodu, že Ž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adatel požádal Generální finanční ředitelství v souladu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 rozpočtovými pravidly o prominutí povinnosti pravomocně ulož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eného odvodu za porušení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rozpočtové kázně a Generální finanční ředitelství tomuto návrhu Žadatele vyhoví, platnost této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smlouvy nezaniká.</w:t>
      </w:r>
    </w:p>
    <w:p w:rsidR="00C45CE9" w:rsidRDefault="00C45CE9" w:rsidP="00C45CE9">
      <w:pPr>
        <w:numPr>
          <w:ilvl w:val="0"/>
          <w:numId w:val="11"/>
        </w:numPr>
        <w:tabs>
          <w:tab w:val="decimal" w:pos="432"/>
          <w:tab w:val="right" w:pos="9749"/>
        </w:tabs>
        <w:ind w:hanging="360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lastRenderedPageBreak/>
        <w:t xml:space="preserve">Ve vztahu k Žadateli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je k jednání za Fond oprávněn a povinen příslušný pracovník Ministerstva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kultury České republiky, které v souladu s § 1 odst. 2 Zákona Fond spravuje.</w:t>
      </w:r>
    </w:p>
    <w:p w:rsidR="00C45CE9" w:rsidRDefault="00C45CE9" w:rsidP="00C45CE9">
      <w:pPr>
        <w:numPr>
          <w:ilvl w:val="0"/>
          <w:numId w:val="11"/>
        </w:numPr>
        <w:tabs>
          <w:tab w:val="decimal" w:pos="432"/>
        </w:tabs>
        <w:spacing w:before="288"/>
        <w:ind w:hanging="360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>Změny a dodatky k této smlouvě jsou platné pouze tehdy, pokud byly sjednány písemně.</w:t>
      </w:r>
    </w:p>
    <w:p w:rsidR="00C45CE9" w:rsidRDefault="00C45CE9" w:rsidP="00C45CE9">
      <w:pPr>
        <w:numPr>
          <w:ilvl w:val="0"/>
          <w:numId w:val="11"/>
        </w:numPr>
        <w:tabs>
          <w:tab w:val="decimal" w:pos="432"/>
        </w:tabs>
        <w:spacing w:before="288"/>
        <w:ind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Žadatel bere na vědomí, že pověřené osoby jsou u Žadatele oprávněny provádět finanční kontrolu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dle platných právních předpisů, zejména dle zákona č. 320/2001 Sb., o finanční kontrole ve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veřejné správě a o změně některých zákonů, v platném znění, a zákona č. 552/1991 Sb., o státní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kontrole, v platném znění.</w:t>
      </w:r>
    </w:p>
    <w:p w:rsidR="00C45CE9" w:rsidRDefault="00C45CE9" w:rsidP="00C45CE9">
      <w:pPr>
        <w:numPr>
          <w:ilvl w:val="0"/>
          <w:numId w:val="11"/>
        </w:numPr>
        <w:tabs>
          <w:tab w:val="decimal" w:pos="432"/>
        </w:tabs>
        <w:spacing w:before="252"/>
        <w:ind w:hanging="360"/>
        <w:jc w:val="both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Žadatel bere na vědomí, že v souladu s rozpočtovými pravidly a příslušnou vyhláškou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Ministerstva financí, je Fond povinen zaznamenat v centrální evidenci dotací a návratných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finančních výpomocí údaje o poskytnuté dotaci a jejím příjemci.</w:t>
      </w:r>
    </w:p>
    <w:p w:rsidR="00C45CE9" w:rsidRDefault="00C45CE9" w:rsidP="00C45CE9">
      <w:pPr>
        <w:numPr>
          <w:ilvl w:val="0"/>
          <w:numId w:val="11"/>
        </w:numPr>
        <w:tabs>
          <w:tab w:val="decimal" w:pos="432"/>
        </w:tabs>
        <w:spacing w:before="288"/>
        <w:ind w:hanging="360"/>
        <w:jc w:val="both"/>
        <w:rPr>
          <w:rFonts w:ascii="Times New Roman" w:hAnsi="Times New Roman"/>
          <w:color w:val="000000"/>
          <w:spacing w:val="3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4"/>
          <w:w w:val="105"/>
          <w:sz w:val="24"/>
          <w:lang w:val="cs-CZ"/>
        </w:rPr>
        <w:t xml:space="preserve">Fond- je osobou, na níž se vztahuje informační povinnost dle zákona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Č. 106/1999 Sb., o svobodném přístupu k informacím, v platném znění. Žadatel bere tuto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skutečnost na vědomí a souhlasí s případným zveřejněním údajů z této smlouvy v rozsahu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informační povinnosti Fondu dle uvedeného zákona.</w:t>
      </w:r>
    </w:p>
    <w:p w:rsidR="00C45CE9" w:rsidRDefault="00C45CE9" w:rsidP="00C45CE9">
      <w:pPr>
        <w:numPr>
          <w:ilvl w:val="0"/>
          <w:numId w:val="11"/>
        </w:numPr>
        <w:tabs>
          <w:tab w:val="decimal" w:pos="576"/>
        </w:tabs>
        <w:spacing w:before="288"/>
        <w:ind w:hanging="288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Tato smlouva nabývá platnosti a účinnosti dnem jejího podpisu oprávněnými zástupci obou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smluvních stran; smlouva se uzavírá ve dvou vyhotoveních, z nichž jedno obdrží Žadatel a jedno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Fond.</w:t>
      </w:r>
    </w:p>
    <w:p w:rsidR="00C45CE9" w:rsidRDefault="00C45CE9" w:rsidP="00C45CE9">
      <w:pPr>
        <w:numPr>
          <w:ilvl w:val="0"/>
          <w:numId w:val="11"/>
        </w:numPr>
        <w:tabs>
          <w:tab w:val="decimal" w:pos="576"/>
        </w:tabs>
        <w:spacing w:before="288"/>
        <w:ind w:hanging="504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Účastníci této smlouvy shodně prohlašují, že tato smlouva byla sepsána podle jejich pravé a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svobodné vůle, určitě, vážně a srozumitelně. Na důkaz souhlasu s jejím obsahem připojují své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vlastnoruční podpisy.</w:t>
      </w:r>
    </w:p>
    <w:p w:rsidR="00C45CE9" w:rsidRDefault="00C45CE9" w:rsidP="00C45CE9">
      <w:pPr>
        <w:tabs>
          <w:tab w:val="decimal" w:pos="360"/>
          <w:tab w:val="decimal" w:pos="432"/>
        </w:tabs>
        <w:spacing w:before="252"/>
        <w:ind w:left="432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</w:p>
    <w:p w:rsidR="00C45CE9" w:rsidRDefault="00C45CE9" w:rsidP="00C45CE9">
      <w:pPr>
        <w:tabs>
          <w:tab w:val="decimal" w:pos="360"/>
          <w:tab w:val="decimal" w:pos="432"/>
        </w:tabs>
        <w:spacing w:before="252"/>
        <w:ind w:left="432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 Praze dne………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…..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 Praze dne………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…..</w:t>
      </w:r>
      <w:proofErr w:type="gramEnd"/>
    </w:p>
    <w:p w:rsidR="00C45CE9" w:rsidRDefault="00C45CE9" w:rsidP="00C45CE9">
      <w:pPr>
        <w:tabs>
          <w:tab w:val="decimal" w:pos="360"/>
          <w:tab w:val="decimal" w:pos="432"/>
        </w:tabs>
        <w:spacing w:before="252"/>
        <w:ind w:left="432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………………………….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………………………….</w:t>
      </w:r>
    </w:p>
    <w:p w:rsidR="00C45CE9" w:rsidRDefault="00C45CE9" w:rsidP="00C45CE9">
      <w:pPr>
        <w:tabs>
          <w:tab w:val="decimal" w:pos="360"/>
          <w:tab w:val="decimal" w:pos="432"/>
        </w:tabs>
        <w:spacing w:before="252"/>
        <w:ind w:left="432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Žadatel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ab/>
        <w:t>Fond</w:t>
      </w:r>
    </w:p>
    <w:p w:rsidR="00C45CE9" w:rsidRDefault="00C45CE9" w:rsidP="00C45CE9">
      <w:pPr>
        <w:tabs>
          <w:tab w:val="decimal" w:pos="360"/>
          <w:tab w:val="decimal" w:pos="432"/>
        </w:tabs>
        <w:spacing w:before="252"/>
        <w:ind w:left="432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noProof/>
          <w:color w:val="000000"/>
          <w:spacing w:val="-2"/>
          <w:sz w:val="24"/>
          <w:lang w:val="cs-CZ" w:eastAsia="cs-CZ"/>
        </w:rPr>
        <w:pict>
          <v:shape id="_x0000_s1034" type="#_x0000_t202" style="position:absolute;left:0;text-align:left;margin-left:12pt;margin-top:259.05pt;width:492.9pt;height:11.55pt;z-index:-251654656;mso-wrap-distance-left:0;mso-wrap-distance-right:0" filled="f" stroked="f">
            <v:textbox inset="0,0,0,0">
              <w:txbxContent>
                <w:p w:rsidR="00C45CE9" w:rsidRDefault="00C45CE9" w:rsidP="00C45CE9">
                  <w:pPr>
                    <w:spacing w:line="201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6</w:t>
                  </w:r>
                </w:p>
              </w:txbxContent>
            </v:textbox>
            <w10:wrap type="square"/>
          </v:shape>
        </w:pict>
      </w:r>
    </w:p>
    <w:sectPr w:rsidR="00C45CE9">
      <w:pgSz w:w="11918" w:h="16854"/>
      <w:pgMar w:top="1494" w:right="970" w:bottom="766" w:left="103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27" w:rsidRDefault="008E1127" w:rsidP="00C45CE9">
      <w:r>
        <w:separator/>
      </w:r>
    </w:p>
  </w:endnote>
  <w:endnote w:type="continuationSeparator" w:id="0">
    <w:p w:rsidR="008E1127" w:rsidRDefault="008E1127" w:rsidP="00C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27" w:rsidRDefault="008E1127" w:rsidP="00C45CE9">
      <w:r>
        <w:separator/>
      </w:r>
    </w:p>
  </w:footnote>
  <w:footnote w:type="continuationSeparator" w:id="0">
    <w:p w:rsidR="008E1127" w:rsidRDefault="008E1127" w:rsidP="00C4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C35"/>
    <w:multiLevelType w:val="multilevel"/>
    <w:tmpl w:val="0B369986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F7592"/>
    <w:multiLevelType w:val="multilevel"/>
    <w:tmpl w:val="887C9C68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7679F"/>
    <w:multiLevelType w:val="multilevel"/>
    <w:tmpl w:val="F1E0BBD6"/>
    <w:lvl w:ilvl="0">
      <w:start w:val="5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76482"/>
    <w:multiLevelType w:val="multilevel"/>
    <w:tmpl w:val="36167668"/>
    <w:lvl w:ilvl="0">
      <w:start w:val="3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3639F"/>
    <w:multiLevelType w:val="multilevel"/>
    <w:tmpl w:val="418E6A1E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20BDD"/>
    <w:multiLevelType w:val="multilevel"/>
    <w:tmpl w:val="92ECEE20"/>
    <w:lvl w:ilvl="0">
      <w:start w:val="5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66976"/>
    <w:multiLevelType w:val="multilevel"/>
    <w:tmpl w:val="2EE0D246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213035"/>
    <w:multiLevelType w:val="multilevel"/>
    <w:tmpl w:val="336E87B0"/>
    <w:lvl w:ilvl="0">
      <w:start w:val="2"/>
      <w:numFmt w:val="decimal"/>
      <w:lvlText w:val="(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6E29CA"/>
    <w:multiLevelType w:val="multilevel"/>
    <w:tmpl w:val="D05CFF4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90FBC"/>
    <w:multiLevelType w:val="multilevel"/>
    <w:tmpl w:val="C71C34AE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F97CFE"/>
    <w:multiLevelType w:val="multilevel"/>
    <w:tmpl w:val="CCDE08DC"/>
    <w:lvl w:ilvl="0">
      <w:start w:val="3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226D9"/>
    <w:multiLevelType w:val="multilevel"/>
    <w:tmpl w:val="00004526"/>
    <w:lvl w:ilvl="0">
      <w:start w:val="8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6EC"/>
    <w:rsid w:val="008E1127"/>
    <w:rsid w:val="00A276EC"/>
    <w:rsid w:val="00C45CE9"/>
    <w:rsid w:val="00C76FCF"/>
    <w:rsid w:val="00E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C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CE9"/>
  </w:style>
  <w:style w:type="paragraph" w:styleId="Zpat">
    <w:name w:val="footer"/>
    <w:basedOn w:val="Normln"/>
    <w:link w:val="ZpatChar"/>
    <w:uiPriority w:val="99"/>
    <w:unhideWhenUsed/>
    <w:rsid w:val="00C45C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formulare-565.html),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kcr.cz/logo-ke-stazeni-557.html),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1900</Words>
  <Characters>11211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Recepce</cp:lastModifiedBy>
  <cp:revision>4</cp:revision>
  <dcterms:created xsi:type="dcterms:W3CDTF">2018-02-01T08:36:00Z</dcterms:created>
  <dcterms:modified xsi:type="dcterms:W3CDTF">2018-02-01T08:43:00Z</dcterms:modified>
</cp:coreProperties>
</file>