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A6" w:rsidRDefault="00D308F5">
      <w:pPr>
        <w:pStyle w:val="Heading110"/>
        <w:framePr w:w="9970" w:h="624" w:hRule="exact" w:wrap="none" w:vAnchor="page" w:hAnchor="page" w:x="787" w:y="1191"/>
        <w:shd w:val="clear" w:color="auto" w:fill="auto"/>
        <w:ind w:right="80"/>
      </w:pPr>
      <w:bookmarkStart w:id="0" w:name="bookmark0"/>
      <w:r>
        <w:rPr>
          <w:lang w:val="cs-CZ" w:eastAsia="cs-CZ" w:bidi="cs-CZ"/>
        </w:rPr>
        <w:t xml:space="preserve">O, </w:t>
      </w:r>
      <w:r>
        <w:t>PROfi</w:t>
      </w:r>
      <w:bookmarkEnd w:id="0"/>
    </w:p>
    <w:p w:rsidR="002C51A6" w:rsidRDefault="00D308F5">
      <w:pPr>
        <w:pStyle w:val="Bodytext30"/>
        <w:framePr w:w="9970" w:h="624" w:hRule="exact" w:wrap="none" w:vAnchor="page" w:hAnchor="page" w:x="787" w:y="1191"/>
        <w:shd w:val="clear" w:color="auto" w:fill="auto"/>
        <w:spacing w:after="0"/>
        <w:ind w:left="4760"/>
      </w:pPr>
      <w:r>
        <w:t xml:space="preserve">rtrtcni pro </w:t>
      </w:r>
      <w:r>
        <w:rPr>
          <w:rStyle w:val="Bodytext3NotBold"/>
        </w:rPr>
        <w:t xml:space="preserve">potfnrk </w:t>
      </w:r>
      <w:r>
        <w:t>stele</w:t>
      </w:r>
    </w:p>
    <w:p w:rsidR="002C51A6" w:rsidRDefault="00D308F5">
      <w:pPr>
        <w:pStyle w:val="Heading210"/>
        <w:framePr w:w="9970" w:h="313" w:hRule="exact" w:wrap="none" w:vAnchor="page" w:hAnchor="page" w:x="787" w:y="2146"/>
        <w:shd w:val="clear" w:color="auto" w:fill="auto"/>
        <w:spacing w:before="0"/>
        <w:ind w:right="80"/>
      </w:pPr>
      <w:bookmarkStart w:id="1" w:name="bookmark1"/>
      <w:r>
        <w:t>DOHODA O POSKYTNUTÍ SLEVY</w:t>
      </w:r>
      <w:bookmarkEnd w:id="1"/>
    </w:p>
    <w:p w:rsidR="002C51A6" w:rsidRDefault="00D308F5">
      <w:pPr>
        <w:pStyle w:val="Bodytext20"/>
        <w:framePr w:w="4675" w:h="1613" w:hRule="exact" w:wrap="none" w:vAnchor="page" w:hAnchor="page" w:x="850" w:y="2463"/>
        <w:shd w:val="clear" w:color="auto" w:fill="auto"/>
      </w:pPr>
      <w:r>
        <w:t>Základní škola T. G. Masaryka Náchod, Bartoňova 1005 Bartoňova 1005, Náchod, 54701 IČO: 00857611, DIČ:</w:t>
      </w:r>
    </w:p>
    <w:p w:rsidR="002C51A6" w:rsidRDefault="00D308F5">
      <w:pPr>
        <w:pStyle w:val="Bodytext20"/>
        <w:framePr w:w="4675" w:h="1613" w:hRule="exact" w:wrap="none" w:vAnchor="page" w:hAnchor="page" w:x="850" w:y="2463"/>
        <w:shd w:val="clear" w:color="auto" w:fill="auto"/>
        <w:ind w:right="1900"/>
      </w:pPr>
      <w:r>
        <w:t xml:space="preserve">Zastoupená: </w:t>
      </w:r>
      <w:bookmarkStart w:id="2" w:name="_GoBack"/>
      <w:bookmarkEnd w:id="2"/>
      <w:r>
        <w:t xml:space="preserve">Telefon: 776391398 Email: </w:t>
      </w:r>
      <w:hyperlink r:id="rId7" w:history="1">
        <w:r>
          <w:rPr>
            <w:lang w:val="en-US" w:eastAsia="en-US" w:bidi="en-US"/>
          </w:rPr>
          <w:t>ekonom@zstgmnachod.cz</w:t>
        </w:r>
      </w:hyperlink>
      <w:r>
        <w:rPr>
          <w:lang w:val="en-US" w:eastAsia="en-US" w:bidi="en-US"/>
        </w:rPr>
        <w:t xml:space="preserve"> </w:t>
      </w:r>
      <w:r>
        <w:t xml:space="preserve">(dále jen </w:t>
      </w:r>
      <w:r>
        <w:rPr>
          <w:rStyle w:val="Bodytext2Bold"/>
        </w:rPr>
        <w:t>"Zákazník")</w:t>
      </w:r>
    </w:p>
    <w:p w:rsidR="002C51A6" w:rsidRDefault="00D308F5">
      <w:pPr>
        <w:pStyle w:val="Bodytext20"/>
        <w:framePr w:w="4277" w:h="1817" w:hRule="exact" w:wrap="none" w:vAnchor="page" w:hAnchor="page" w:x="6029" w:y="2490"/>
        <w:shd w:val="clear" w:color="auto" w:fill="auto"/>
        <w:spacing w:line="200" w:lineRule="exact"/>
      </w:pPr>
      <w:r>
        <w:t xml:space="preserve">02 </w:t>
      </w:r>
      <w:r>
        <w:rPr>
          <w:lang w:val="en-US" w:eastAsia="en-US" w:bidi="en-US"/>
        </w:rPr>
        <w:t xml:space="preserve">Czech Republic </w:t>
      </w:r>
      <w:r>
        <w:t>a.s.</w:t>
      </w:r>
    </w:p>
    <w:p w:rsidR="002C51A6" w:rsidRDefault="00D308F5">
      <w:pPr>
        <w:pStyle w:val="Bodytext20"/>
        <w:framePr w:w="4277" w:h="1817" w:hRule="exact" w:wrap="none" w:vAnchor="page" w:hAnchor="page" w:x="6029" w:y="2490"/>
        <w:shd w:val="clear" w:color="auto" w:fill="auto"/>
      </w:pPr>
      <w:r>
        <w:t>Za Brumlovkou 266/2, 140 22 Praha 4 - Michle</w:t>
      </w:r>
    </w:p>
    <w:p w:rsidR="002C51A6" w:rsidRDefault="00D308F5">
      <w:pPr>
        <w:pStyle w:val="Bodytext20"/>
        <w:framePr w:w="4277" w:h="1817" w:hRule="exact" w:wrap="none" w:vAnchor="page" w:hAnchor="page" w:x="6029" w:y="2490"/>
        <w:shd w:val="clear" w:color="auto" w:fill="auto"/>
      </w:pPr>
      <w:r>
        <w:t>IČO: 60193336, DIČ: CZ60193336</w:t>
      </w:r>
    </w:p>
    <w:p w:rsidR="002C51A6" w:rsidRDefault="00D308F5">
      <w:pPr>
        <w:pStyle w:val="Bodytext20"/>
        <w:framePr w:w="4277" w:h="1817" w:hRule="exact" w:wrap="none" w:vAnchor="page" w:hAnchor="page" w:x="6029" w:y="2490"/>
        <w:shd w:val="clear" w:color="auto" w:fill="auto"/>
      </w:pPr>
      <w:r>
        <w:t>zapsaná v Obchodním rejstříku vedeném Městským</w:t>
      </w:r>
    </w:p>
    <w:p w:rsidR="002C51A6" w:rsidRDefault="00D308F5">
      <w:pPr>
        <w:pStyle w:val="Bodytext20"/>
        <w:framePr w:w="4277" w:h="1817" w:hRule="exact" w:wrap="none" w:vAnchor="page" w:hAnchor="page" w:x="6029" w:y="2490"/>
        <w:shd w:val="clear" w:color="auto" w:fill="auto"/>
      </w:pPr>
      <w:r>
        <w:t xml:space="preserve">soudem v Praze, oddíl B, vložka </w:t>
      </w:r>
      <w:r>
        <w:t>232</w:t>
      </w:r>
    </w:p>
    <w:p w:rsidR="002C51A6" w:rsidRDefault="00D308F5">
      <w:pPr>
        <w:pStyle w:val="Bodytext20"/>
        <w:framePr w:w="4277" w:h="1817" w:hRule="exact" w:wrap="none" w:vAnchor="page" w:hAnchor="page" w:x="6029" w:y="2490"/>
        <w:shd w:val="clear" w:color="auto" w:fill="auto"/>
      </w:pPr>
      <w:r>
        <w:t>zastoupená: Martin Kábrt, BRP02.00005.00032</w:t>
      </w:r>
    </w:p>
    <w:p w:rsidR="002C51A6" w:rsidRDefault="00D308F5">
      <w:pPr>
        <w:pStyle w:val="Bodytext20"/>
        <w:framePr w:w="4277" w:h="1817" w:hRule="exact" w:wrap="none" w:vAnchor="page" w:hAnchor="page" w:x="6029" w:y="2490"/>
        <w:shd w:val="clear" w:color="auto" w:fill="auto"/>
      </w:pPr>
      <w:r>
        <w:t>Číslo dohody: 415235/8/28</w:t>
      </w:r>
    </w:p>
    <w:p w:rsidR="002C51A6" w:rsidRDefault="00D308F5">
      <w:pPr>
        <w:pStyle w:val="Bodytext20"/>
        <w:framePr w:w="4277" w:h="1817" w:hRule="exact" w:wrap="none" w:vAnchor="page" w:hAnchor="page" w:x="6029" w:y="2490"/>
        <w:shd w:val="clear" w:color="auto" w:fill="auto"/>
      </w:pPr>
      <w:r>
        <w:t>(dále jen "02")</w:t>
      </w:r>
    </w:p>
    <w:p w:rsidR="002C51A6" w:rsidRDefault="00D308F5">
      <w:pPr>
        <w:pStyle w:val="Bodytext40"/>
        <w:framePr w:w="9970" w:h="1537" w:hRule="exact" w:wrap="none" w:vAnchor="page" w:hAnchor="page" w:x="787" w:y="4282"/>
        <w:shd w:val="clear" w:color="auto" w:fill="auto"/>
        <w:ind w:right="60"/>
      </w:pPr>
      <w:r>
        <w:t>1. Na které položky se uplatní Sleva</w:t>
      </w:r>
    </w:p>
    <w:p w:rsidR="002C51A6" w:rsidRDefault="00D308F5">
      <w:pPr>
        <w:pStyle w:val="Bodytext20"/>
        <w:framePr w:w="9970" w:h="1537" w:hRule="exact" w:wrap="none" w:vAnchor="page" w:hAnchor="page" w:x="787" w:y="4282"/>
        <w:shd w:val="clear" w:color="auto" w:fill="auto"/>
        <w:spacing w:line="245" w:lineRule="exact"/>
      </w:pPr>
      <w:r>
        <w:t xml:space="preserve">Předmětem této dohody </w:t>
      </w:r>
      <w:r>
        <w:rPr>
          <w:rStyle w:val="Bodytext2Bold"/>
        </w:rPr>
        <w:t xml:space="preserve">(„Dohoda") </w:t>
      </w:r>
      <w:r>
        <w:t>je závazek 02 poskytovat Zákazníkovi slevu z položek ve vyúčtování služeb elektronických komunik</w:t>
      </w:r>
      <w:r>
        <w:t xml:space="preserve">aci, vystavených Zákazníkovi ze strany 02 v době trvání této dohody (dále jen </w:t>
      </w:r>
      <w:r>
        <w:rPr>
          <w:rStyle w:val="Bodytext2Bold"/>
        </w:rPr>
        <w:t xml:space="preserve">„Sleva"). </w:t>
      </w:r>
      <w:r>
        <w:t xml:space="preserve">Sleva se ve vyúčtování uplatní pouze na položky, které mají charakter pravidelného měsíčního paušálu za služby elektronických komunikací poskytované ze strany 02 (dále </w:t>
      </w:r>
      <w:r>
        <w:t xml:space="preserve">jen </w:t>
      </w:r>
      <w:r>
        <w:rPr>
          <w:rStyle w:val="Bodytext2Bold"/>
        </w:rPr>
        <w:t xml:space="preserve">„Zlevněné položky"). </w:t>
      </w:r>
      <w:r>
        <w:t>Sleva se uplatní na vyúčtování služeb elektronických komunikací v následujícím zúčtovacím období.</w:t>
      </w:r>
    </w:p>
    <w:p w:rsidR="002C51A6" w:rsidRDefault="00D308F5">
      <w:pPr>
        <w:pStyle w:val="Bodytext20"/>
        <w:framePr w:w="9970" w:h="2563" w:hRule="exact" w:wrap="none" w:vAnchor="page" w:hAnchor="page" w:x="787" w:y="5824"/>
        <w:shd w:val="clear" w:color="auto" w:fill="auto"/>
        <w:spacing w:line="245" w:lineRule="exact"/>
      </w:pPr>
      <w:r>
        <w:t>"'lezi Zlevněné položky patří měsíční paušály za základní tarify mobilní a fixní služby, včetně opakujících se balíčků dle standardní</w:t>
      </w:r>
      <w:r>
        <w:t>ho Ceníku společnosti 02. Zlevněnými položkami naopak nejsou zejména ceny za služby účtované nad rámec měsíčních paušálů základních tarifů, platební transakce a volitelné služby (např. roamingová spojení, odchozí mezinárodní hovory, služby obsahu atd.), po</w:t>
      </w:r>
      <w:r>
        <w:t>platek za tištěné vyúčtování, smluvní pokuty, penále či jiné sankce za porušení smluvní povinnosti nebo služby třetích stran. Zlevněnými položkami dále nejsou:</w:t>
      </w:r>
    </w:p>
    <w:p w:rsidR="002C51A6" w:rsidRDefault="00D308F5">
      <w:pPr>
        <w:pStyle w:val="Bodytext20"/>
        <w:framePr w:w="9970" w:h="2563" w:hRule="exact" w:wrap="none" w:vAnchor="page" w:hAnchor="page" w:x="787" w:y="5824"/>
        <w:shd w:val="clear" w:color="auto" w:fill="auto"/>
        <w:spacing w:line="245" w:lineRule="exact"/>
      </w:pPr>
      <w:r>
        <w:t>Hlasové řešení 02, Mobilní tarif Vario a Profil, Mobilní tarify 02 Spolu, 02 Virtuální server, 0</w:t>
      </w:r>
      <w:r>
        <w:t xml:space="preserve">2 Virtualizované řešení, 02 Datové centrum, 02 Office 365, 02 Dedikovaný server/NAS, 02 Azure, 02 </w:t>
      </w:r>
      <w:r>
        <w:rPr>
          <w:lang w:val="en-US" w:eastAsia="en-US" w:bidi="en-US"/>
        </w:rPr>
        <w:t xml:space="preserve">Firewall, </w:t>
      </w:r>
      <w:r>
        <w:t xml:space="preserve">02 </w:t>
      </w:r>
      <w:r>
        <w:rPr>
          <w:lang w:val="en-US" w:eastAsia="en-US" w:bidi="en-US"/>
        </w:rPr>
        <w:t xml:space="preserve">Managed Print </w:t>
      </w:r>
      <w:r>
        <w:t>Services, 02 Desktop. 02 Desktop pronájem, 02 Mobile Device Management a služby obdobné neboje nahrazující.</w:t>
      </w:r>
    </w:p>
    <w:p w:rsidR="002C51A6" w:rsidRDefault="00D308F5">
      <w:pPr>
        <w:pStyle w:val="Bodytext20"/>
        <w:framePr w:w="9970" w:h="2563" w:hRule="exact" w:wrap="none" w:vAnchor="page" w:hAnchor="page" w:x="787" w:y="5824"/>
        <w:shd w:val="clear" w:color="auto" w:fill="auto"/>
        <w:spacing w:line="240" w:lineRule="exact"/>
      </w:pPr>
      <w:r>
        <w:t>Touto dohodou nedochází</w:t>
      </w:r>
      <w:r>
        <w:t xml:space="preserve"> k objednání žádných služeb 02, poskytování služeb je předmětem samostatných smluvních ujednání mezi Zákazníkem a 02.</w:t>
      </w:r>
    </w:p>
    <w:p w:rsidR="002C51A6" w:rsidRDefault="00D308F5">
      <w:pPr>
        <w:pStyle w:val="Tablecaption20"/>
        <w:framePr w:wrap="none" w:vAnchor="page" w:hAnchor="page" w:x="4570" w:y="8422"/>
        <w:shd w:val="clear" w:color="auto" w:fill="auto"/>
      </w:pPr>
      <w:r>
        <w:t>2. Jak se stanoví výše Slevy</w:t>
      </w:r>
    </w:p>
    <w:p w:rsidR="002C51A6" w:rsidRDefault="00D308F5">
      <w:pPr>
        <w:pStyle w:val="Tablecaption10"/>
        <w:framePr w:wrap="none" w:vAnchor="page" w:hAnchor="page" w:x="802" w:y="8672"/>
        <w:shd w:val="clear" w:color="auto" w:fill="auto"/>
      </w:pPr>
      <w:r>
        <w:rPr>
          <w:rStyle w:val="Tablecaption11"/>
        </w:rPr>
        <w:t>Výše Slevy pro konkrétní vyúčtování bude určena podle</w:t>
      </w:r>
      <w:r>
        <w:t xml:space="preserve"> následující tabulky: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1373"/>
        <w:gridCol w:w="715"/>
        <w:gridCol w:w="715"/>
        <w:gridCol w:w="715"/>
        <w:gridCol w:w="720"/>
        <w:gridCol w:w="720"/>
        <w:gridCol w:w="1416"/>
        <w:gridCol w:w="850"/>
        <w:gridCol w:w="840"/>
        <w:gridCol w:w="715"/>
      </w:tblGrid>
      <w:tr w:rsidR="002C51A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66" w:type="dxa"/>
            <w:shd w:val="clear" w:color="auto" w:fill="B7B9B8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16" w:lineRule="exact"/>
              <w:jc w:val="center"/>
            </w:pPr>
            <w:r>
              <w:rPr>
                <w:rStyle w:val="Bodytext2Bold0"/>
              </w:rPr>
              <w:t>Základ v Kč (bez DPH)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B7B9B8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tabs>
                <w:tab w:val="left" w:pos="822"/>
              </w:tabs>
              <w:ind w:left="140" w:firstLine="80"/>
            </w:pPr>
            <w:r>
              <w:rPr>
                <w:rStyle w:val="Bodytext2Bold0"/>
              </w:rPr>
              <w:t xml:space="preserve">0 - 2000 - </w:t>
            </w:r>
            <w:r>
              <w:rPr>
                <w:rStyle w:val="Bodytext2Bold0"/>
              </w:rPr>
              <w:t>1999</w:t>
            </w:r>
            <w:r>
              <w:rPr>
                <w:rStyle w:val="Bodytext2Bold0"/>
              </w:rPr>
              <w:tab/>
              <w:t>2999</w:t>
            </w:r>
          </w:p>
        </w:tc>
        <w:tc>
          <w:tcPr>
            <w:tcW w:w="715" w:type="dxa"/>
            <w:shd w:val="clear" w:color="auto" w:fill="B7B9B8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16" w:lineRule="exact"/>
              <w:ind w:right="140"/>
              <w:jc w:val="both"/>
            </w:pPr>
            <w:r>
              <w:rPr>
                <w:rStyle w:val="Bodytext2Bold0"/>
              </w:rPr>
              <w:t>3000 - 3999</w:t>
            </w:r>
          </w:p>
        </w:tc>
        <w:tc>
          <w:tcPr>
            <w:tcW w:w="715" w:type="dxa"/>
            <w:shd w:val="clear" w:color="auto" w:fill="B7B9B8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4000-</w:t>
            </w:r>
          </w:p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4999</w:t>
            </w:r>
          </w:p>
        </w:tc>
        <w:tc>
          <w:tcPr>
            <w:tcW w:w="715" w:type="dxa"/>
            <w:shd w:val="clear" w:color="auto" w:fill="B7B9B8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5000-</w:t>
            </w:r>
          </w:p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5999</w:t>
            </w:r>
          </w:p>
        </w:tc>
        <w:tc>
          <w:tcPr>
            <w:tcW w:w="720" w:type="dxa"/>
            <w:shd w:val="clear" w:color="auto" w:fill="B7B9B8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6000-</w:t>
            </w:r>
          </w:p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6999</w:t>
            </w:r>
          </w:p>
        </w:tc>
        <w:tc>
          <w:tcPr>
            <w:tcW w:w="720" w:type="dxa"/>
            <w:shd w:val="clear" w:color="auto" w:fill="B7B9B8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7000-</w:t>
            </w:r>
          </w:p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7999</w:t>
            </w:r>
          </w:p>
        </w:tc>
        <w:tc>
          <w:tcPr>
            <w:tcW w:w="1416" w:type="dxa"/>
            <w:shd w:val="clear" w:color="auto" w:fill="B7B9B8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tabs>
                <w:tab w:val="left" w:pos="754"/>
              </w:tabs>
              <w:ind w:right="140"/>
              <w:jc w:val="both"/>
            </w:pPr>
            <w:r>
              <w:rPr>
                <w:rStyle w:val="Bodytext2Bold0"/>
              </w:rPr>
              <w:t>8000- 9000- 8999</w:t>
            </w:r>
            <w:r>
              <w:rPr>
                <w:rStyle w:val="Bodytext2Bold0"/>
              </w:rPr>
              <w:tab/>
              <w:t>9999</w:t>
            </w:r>
          </w:p>
        </w:tc>
        <w:tc>
          <w:tcPr>
            <w:tcW w:w="850" w:type="dxa"/>
            <w:shd w:val="clear" w:color="auto" w:fill="B7B9B8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  <w:ind w:left="140"/>
            </w:pPr>
            <w:r>
              <w:rPr>
                <w:rStyle w:val="Bodytext2Bold0"/>
              </w:rPr>
              <w:t>10000-</w:t>
            </w:r>
          </w:p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  <w:ind w:left="140"/>
            </w:pPr>
            <w:r>
              <w:rPr>
                <w:rStyle w:val="Bodytext2Bold0"/>
              </w:rPr>
              <w:t>10999</w:t>
            </w:r>
          </w:p>
        </w:tc>
        <w:tc>
          <w:tcPr>
            <w:tcW w:w="840" w:type="dxa"/>
            <w:shd w:val="clear" w:color="auto" w:fill="B7B9B8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11000-</w:t>
            </w:r>
          </w:p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11999</w:t>
            </w:r>
          </w:p>
        </w:tc>
        <w:tc>
          <w:tcPr>
            <w:tcW w:w="715" w:type="dxa"/>
            <w:shd w:val="clear" w:color="auto" w:fill="B7B9B8"/>
            <w:vAlign w:val="center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12000 +</w:t>
            </w:r>
          </w:p>
        </w:tc>
      </w:tr>
      <w:tr w:rsidR="002C51A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6" w:type="dxa"/>
            <w:shd w:val="clear" w:color="auto" w:fill="FFFFFF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  <w:ind w:left="140"/>
            </w:pPr>
            <w:r>
              <w:rPr>
                <w:rStyle w:val="Bodytext21"/>
              </w:rPr>
              <w:t>Výše slevy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  <w:ind w:left="140"/>
            </w:pPr>
            <w:r>
              <w:rPr>
                <w:rStyle w:val="Bodytext21"/>
              </w:rPr>
              <w:t>0 % 26 %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  <w:jc w:val="both"/>
            </w:pPr>
            <w:r>
              <w:rPr>
                <w:rStyle w:val="Bodytext2Bold1"/>
              </w:rPr>
              <w:t>28 %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1"/>
              </w:rPr>
              <w:t>30 %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1"/>
              </w:rPr>
              <w:t>32 %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1"/>
              </w:rPr>
              <w:t>34 %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1"/>
              </w:rPr>
              <w:t>36 %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  <w:jc w:val="both"/>
            </w:pPr>
            <w:r>
              <w:rPr>
                <w:rStyle w:val="Bodytext21"/>
              </w:rPr>
              <w:t>38% | 38%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38 %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40%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  <w:ind w:left="160"/>
            </w:pPr>
            <w:r>
              <w:rPr>
                <w:rStyle w:val="Bodytext21"/>
              </w:rPr>
              <w:t>40%</w:t>
            </w:r>
          </w:p>
        </w:tc>
      </w:tr>
      <w:tr w:rsidR="002C51A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25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C51A6" w:rsidRDefault="002C51A6">
            <w:pPr>
              <w:framePr w:w="9946" w:h="1166" w:wrap="none" w:vAnchor="page" w:hAnchor="page" w:x="811" w:y="889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51A6" w:rsidRDefault="002C51A6">
            <w:pPr>
              <w:framePr w:w="9946" w:h="1166" w:wrap="none" w:vAnchor="page" w:hAnchor="page" w:x="811" w:y="889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1"/>
                <w:vertAlign w:val="superscript"/>
              </w:rPr>
              <w:t>gi&gt;</w:t>
            </w:r>
            <w:r>
              <w:rPr>
                <w:rStyle w:val="Bodytext2Bold1"/>
              </w:rPr>
              <w:t>fcSiUi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51A6" w:rsidRDefault="002C51A6">
            <w:pPr>
              <w:framePr w:w="9946" w:h="1166" w:wrap="none" w:vAnchor="page" w:hAnchor="page" w:x="811" w:y="8895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7B9B8"/>
          </w:tcPr>
          <w:p w:rsidR="002C51A6" w:rsidRDefault="00D308F5">
            <w:pPr>
              <w:pStyle w:val="Bodytext20"/>
              <w:framePr w:w="9946" w:h="1166" w:wrap="none" w:vAnchor="page" w:hAnchor="page" w:x="811" w:y="8895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DPH) 3 712 Kč </w:t>
            </w:r>
            <w:r>
              <w:rPr>
                <w:rStyle w:val="Bodytext2BoldSmallCaps"/>
              </w:rPr>
              <w:t>Bum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C51A6" w:rsidRDefault="002C51A6">
            <w:pPr>
              <w:framePr w:w="9946" w:h="1166" w:wrap="none" w:vAnchor="page" w:hAnchor="page" w:x="811" w:y="8895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2C51A6" w:rsidRDefault="002C51A6">
            <w:pPr>
              <w:framePr w:w="9946" w:h="1166" w:wrap="none" w:vAnchor="page" w:hAnchor="page" w:x="811" w:y="889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2C51A6" w:rsidRDefault="002C51A6">
            <w:pPr>
              <w:framePr w:w="9946" w:h="1166" w:wrap="none" w:vAnchor="page" w:hAnchor="page" w:x="811" w:y="8895"/>
              <w:rPr>
                <w:sz w:val="10"/>
                <w:szCs w:val="10"/>
              </w:rPr>
            </w:pPr>
          </w:p>
        </w:tc>
      </w:tr>
    </w:tbl>
    <w:p w:rsidR="002C51A6" w:rsidRDefault="00D308F5">
      <w:pPr>
        <w:pStyle w:val="Bodytext20"/>
        <w:framePr w:w="9970" w:h="5429" w:hRule="exact" w:wrap="none" w:vAnchor="page" w:hAnchor="page" w:x="787" w:y="10057"/>
        <w:shd w:val="clear" w:color="auto" w:fill="auto"/>
        <w:spacing w:line="245" w:lineRule="exact"/>
      </w:pPr>
      <w:r>
        <w:t xml:space="preserve">Základem pro určení výše </w:t>
      </w:r>
      <w:r>
        <w:t xml:space="preserve">Slevy pro konkrétní vyúčtování a zúčtovací období, k němuž se vyúčtováni vztahuje, je suma řevněných položek před Slevou (bez DPH), uvedených na všech vyúčtováních vystavených Zákazníkovi ze strany 02 během takového zúčtovacího období (dále jen „Základ"). </w:t>
      </w:r>
      <w:r>
        <w:t>Z Očekávaného Základu se Sleva vypočte u všech vyúčtování vystavených Zákazníkovi ze strany 02 za zúčtovací období ukončená do 60 dnů od nabytí účinnosti této dohody</w:t>
      </w:r>
    </w:p>
    <w:p w:rsidR="002C51A6" w:rsidRDefault="00D308F5">
      <w:pPr>
        <w:pStyle w:val="Bodytext20"/>
        <w:framePr w:w="9970" w:h="5429" w:hRule="exact" w:wrap="none" w:vAnchor="page" w:hAnchor="page" w:x="787" w:y="10057"/>
        <w:shd w:val="clear" w:color="auto" w:fill="auto"/>
        <w:spacing w:line="250" w:lineRule="exact"/>
      </w:pPr>
      <w:r>
        <w:t xml:space="preserve">Zákazník a 02 se ohledně zúčtovacího období a vyúčtování dohodli na následující změně VP: </w:t>
      </w:r>
      <w:r>
        <w:t>Zúčtovací období je měsíční, kdy počíná plynout vždy 1. dne kalendářního měsíce a končí posledním dnem tohoto měsíce.</w:t>
      </w:r>
    </w:p>
    <w:p w:rsidR="002C51A6" w:rsidRDefault="00D308F5">
      <w:pPr>
        <w:pStyle w:val="Bodytext40"/>
        <w:framePr w:w="9970" w:h="5429" w:hRule="exact" w:wrap="none" w:vAnchor="page" w:hAnchor="page" w:x="787" w:y="10057"/>
        <w:numPr>
          <w:ilvl w:val="0"/>
          <w:numId w:val="1"/>
        </w:numPr>
        <w:shd w:val="clear" w:color="auto" w:fill="auto"/>
        <w:tabs>
          <w:tab w:val="left" w:pos="3574"/>
        </w:tabs>
        <w:spacing w:line="240" w:lineRule="exact"/>
        <w:ind w:left="3300"/>
        <w:jc w:val="left"/>
      </w:pPr>
      <w:r>
        <w:t>Kdy je 02 oprávněna Slevu nepřiznat</w:t>
      </w:r>
    </w:p>
    <w:p w:rsidR="002C51A6" w:rsidRDefault="00D308F5">
      <w:pPr>
        <w:pStyle w:val="Bodytext20"/>
        <w:framePr w:w="9970" w:h="5429" w:hRule="exact" w:wrap="none" w:vAnchor="page" w:hAnchor="page" w:x="787" w:y="10057"/>
        <w:shd w:val="clear" w:color="auto" w:fill="auto"/>
        <w:spacing w:line="240" w:lineRule="exact"/>
      </w:pPr>
      <w:r>
        <w:t xml:space="preserve">02 je oprávněna Zákazníkovi Slevu nepřiznat nebo částku Slevy Zákazníkovi zpětné doúčtovat, pokud </w:t>
      </w:r>
      <w:r>
        <w:t>Zákazník porušuje povinnosti vyplývající ze smluvních ujednání s 02.</w:t>
      </w:r>
    </w:p>
    <w:p w:rsidR="002C51A6" w:rsidRDefault="00D308F5">
      <w:pPr>
        <w:pStyle w:val="Bodytext20"/>
        <w:framePr w:w="9970" w:h="5429" w:hRule="exact" w:wrap="none" w:vAnchor="page" w:hAnchor="page" w:x="787" w:y="10057"/>
        <w:shd w:val="clear" w:color="auto" w:fill="auto"/>
        <w:spacing w:line="240" w:lineRule="exact"/>
      </w:pPr>
      <w:r>
        <w:t>Slevu dle této Dohody nelze kombinovat s dalšími slevami, akcemi, nebo zvýhodněním (např. Servisní bankou).</w:t>
      </w:r>
    </w:p>
    <w:p w:rsidR="002C51A6" w:rsidRDefault="00D308F5">
      <w:pPr>
        <w:pStyle w:val="Bodytext20"/>
        <w:framePr w:w="9970" w:h="5429" w:hRule="exact" w:wrap="none" w:vAnchor="page" w:hAnchor="page" w:x="787" w:y="10057"/>
        <w:shd w:val="clear" w:color="auto" w:fill="auto"/>
        <w:spacing w:line="240" w:lineRule="exact"/>
      </w:pPr>
      <w:r>
        <w:t>02 je oprávněna Zákazníkovi Slevu nepřiznat je-li v den vystavení vyúčtování, u</w:t>
      </w:r>
      <w:r>
        <w:t xml:space="preserve"> něhož by Sleva dle předchozích článků této dohody náležela, v prodlení s placením jakýchkoli svých peněžitých závazků vůči 02. 02 je dále oprávněna doúčtovat Zákazníkovi zbylou cenu za Zlevněné položky ve výši Slevy, a to v nejbližším vyúčtování vystavené</w:t>
      </w:r>
      <w:r>
        <w:t>m poté, co 02 zjistí, že Zákazník nezaplatil včas své závazky z jakéhokoli vyúčtování, jehož Zlevněné položky byly zahrnuty do výpočtu Základu takové Slevy. 02 je dále oprávněna nezahrnout do Základu Zlevněné položky z vyúčtováni, které Zákazník nezaplatil</w:t>
      </w:r>
      <w:r>
        <w:t xml:space="preserve"> včas, a to i v případě jeho následné úhrady.</w:t>
      </w:r>
    </w:p>
    <w:p w:rsidR="002C51A6" w:rsidRDefault="00D308F5">
      <w:pPr>
        <w:pStyle w:val="Bodytext20"/>
        <w:framePr w:w="9970" w:h="5429" w:hRule="exact" w:wrap="none" w:vAnchor="page" w:hAnchor="page" w:x="787" w:y="10057"/>
        <w:shd w:val="clear" w:color="auto" w:fill="auto"/>
        <w:spacing w:line="245" w:lineRule="exact"/>
      </w:pPr>
      <w:r>
        <w:t>Pro vyloučení pochybností strany shodně prohlašuji, že tato dohoda není a nebude za žádných okolností považována či interpretována jako smlouva o propojení či přístupu k síti či službám elektronických komunikac</w:t>
      </w:r>
      <w:r>
        <w:t>í ve smyslu § 78 a násl. ZoEK a není ani písemným souhlasem společnosti 02 ve smyslu čl. 4.1 písm. c) Všeobecných podmínek. Zákazník není na základě této dohody oprávněn umožnit užití Služeb třetí osobě za úplatu nebo v souvislosti se svou podnikatelskou č</w:t>
      </w:r>
      <w:r>
        <w:t>inností a ani není oprávněn ve vztahu ke Službám podnikat v oblasti elektronických komunikací. Pokud Zákazník</w:t>
      </w:r>
    </w:p>
    <w:p w:rsidR="002C51A6" w:rsidRDefault="002C51A6">
      <w:pPr>
        <w:rPr>
          <w:sz w:val="2"/>
          <w:szCs w:val="2"/>
        </w:rPr>
        <w:sectPr w:rsidR="002C51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51A6" w:rsidRDefault="00D308F5">
      <w:pPr>
        <w:pStyle w:val="Bodytext20"/>
        <w:framePr w:w="9965" w:h="10009" w:hRule="exact" w:wrap="none" w:vAnchor="page" w:hAnchor="page" w:x="921" w:y="893"/>
        <w:shd w:val="clear" w:color="auto" w:fill="auto"/>
        <w:spacing w:line="245" w:lineRule="exact"/>
      </w:pPr>
      <w:r>
        <w:lastRenderedPageBreak/>
        <w:t>umožní užití Služeb třetí osobě za úplatu nebo v souvislosti se svou podnikatelskou činností, nebo uzavře s třetí osobou ú</w:t>
      </w:r>
      <w:r>
        <w:t xml:space="preserve">častnickou či jinou smlouvu, jejímž předmětem bude poskytování služeb totožných se Službami </w:t>
      </w:r>
      <w:r>
        <w:rPr>
          <w:rStyle w:val="Bodytext2Bold"/>
        </w:rPr>
        <w:t xml:space="preserve">(„Přeprodej Služeb") </w:t>
      </w:r>
      <w:r>
        <w:t xml:space="preserve">třetí osobě, pozbývá Zákazník uzavřením takové smlouvy oprávněni nakládat s účastnickými čísly (SIM), ohledně kterých takovou smlouvu se třetí </w:t>
      </w:r>
      <w:r>
        <w:t>osobou uzavřel, v případě porušení povinnosti dle tohoto článku Zákazníkem je 02 oprávněna odstoupit od této Dohody s okamžitou účinnosti. 02 je dále oprávněna požadovat po Zákazníkovi smluvní pokutu ve výši 70.000,- Kč za každé jednotlivé porušení povinno</w:t>
      </w:r>
      <w:r>
        <w:t>stí dle tohoto článku, čímž není dotčen nárok společnosti 02 na náhradu škody. Smluvní strany prohlašují, že výši smluvní pokuty považují za přiměřenou.</w:t>
      </w:r>
    </w:p>
    <w:p w:rsidR="002C51A6" w:rsidRDefault="00D308F5">
      <w:pPr>
        <w:pStyle w:val="Bodytext20"/>
        <w:framePr w:w="9965" w:h="10009" w:hRule="exact" w:wrap="none" w:vAnchor="page" w:hAnchor="page" w:x="921" w:y="893"/>
        <w:shd w:val="clear" w:color="auto" w:fill="auto"/>
        <w:spacing w:line="245" w:lineRule="exact"/>
      </w:pPr>
      <w:r>
        <w:t xml:space="preserve">Smluvní strany se dohodly na tom, že Zákazník je oprávněn pod zvýhodněné obchodní podmínky této dohody </w:t>
      </w:r>
      <w:r>
        <w:t>zařadit maximálně 14 účastnických čísel (SIM). Bude-li mít Zákazník aktivních více účastnických čísel (SIM), než je uvedeno v tomto článku, je 02 oprávněna Zákazníkovi slevu dle této dohody nepřiznat na účastnická čísla aktivovaná nad limit sjednaný dle to</w:t>
      </w:r>
      <w:r>
        <w:t>hoto odstavce. Limit účastnických čísel (SIM) lze navýšit pouze na základě písemné dohody uzavřené mezi Zákazníkem a 02.</w:t>
      </w:r>
    </w:p>
    <w:p w:rsidR="002C51A6" w:rsidRDefault="00D308F5">
      <w:pPr>
        <w:pStyle w:val="Heading310"/>
        <w:framePr w:w="9965" w:h="10009" w:hRule="exact" w:wrap="none" w:vAnchor="page" w:hAnchor="page" w:x="921" w:y="893"/>
        <w:numPr>
          <w:ilvl w:val="0"/>
          <w:numId w:val="1"/>
        </w:numPr>
        <w:shd w:val="clear" w:color="auto" w:fill="auto"/>
        <w:tabs>
          <w:tab w:val="left" w:pos="4559"/>
        </w:tabs>
        <w:ind w:left="4280"/>
      </w:pPr>
      <w:bookmarkStart w:id="3" w:name="bookmark2"/>
      <w:r>
        <w:t>Trvání dohody</w:t>
      </w:r>
      <w:bookmarkEnd w:id="3"/>
    </w:p>
    <w:p w:rsidR="002C51A6" w:rsidRDefault="00D308F5">
      <w:pPr>
        <w:pStyle w:val="Bodytext20"/>
        <w:framePr w:w="9965" w:h="10009" w:hRule="exact" w:wrap="none" w:vAnchor="page" w:hAnchor="page" w:x="921" w:y="893"/>
        <w:shd w:val="clear" w:color="auto" w:fill="auto"/>
        <w:spacing w:line="245" w:lineRule="exact"/>
      </w:pPr>
      <w:r>
        <w:t>Tato dohoda nabývá platnosti dnem jejiho uzavření a účinnosti prvním dnem zúčtovacího období následujícího po jejím uzavř</w:t>
      </w:r>
      <w:r>
        <w:t>ení, nejpozději však za třicet (30) kalendářních dní po jejím uzavření.</w:t>
      </w:r>
    </w:p>
    <w:p w:rsidR="002C51A6" w:rsidRDefault="00D308F5">
      <w:pPr>
        <w:pStyle w:val="Bodytext20"/>
        <w:framePr w:w="9965" w:h="10009" w:hRule="exact" w:wrap="none" w:vAnchor="page" w:hAnchor="page" w:x="921" w:y="893"/>
        <w:shd w:val="clear" w:color="auto" w:fill="auto"/>
        <w:spacing w:line="245" w:lineRule="exact"/>
      </w:pPr>
      <w:r>
        <w:t xml:space="preserve">Tato dohoda se uzavírá na dobu neurčitou s tím, že každá ze stran je oprávněna tuto dohodu vypovědět, a to i bez udání důvodu. Výpovědní doba činí 1 měsíc a začíná plynout prvního dne </w:t>
      </w:r>
      <w:r>
        <w:t>kalendářního měsíce následujícího po doručení výpovědi. Výpověď lze podat i prostřednictvím prostředků komunikace na dálku. 02 však je v prvních dvou letech trvání této dohody oprávněna tuto dohodu vypovědět pouze v případě, že Zákazník bude v prodlení s p</w:t>
      </w:r>
      <w:r>
        <w:t>lacením svých peněžitých závazků vůči 02 nebo Zákazník jiným způsobem podstatné poruší své povinnosti vyplývající ze smlouvy s 02</w:t>
      </w:r>
      <w:r>
        <w:rPr>
          <w:rStyle w:val="Bodytext25ptBold"/>
        </w:rPr>
        <w:t>.</w:t>
      </w:r>
    </w:p>
    <w:p w:rsidR="002C51A6" w:rsidRDefault="00D308F5">
      <w:pPr>
        <w:pStyle w:val="Bodytext20"/>
        <w:framePr w:w="9965" w:h="10009" w:hRule="exact" w:wrap="none" w:vAnchor="page" w:hAnchor="page" w:x="921" w:y="893"/>
        <w:shd w:val="clear" w:color="auto" w:fill="auto"/>
        <w:spacing w:line="245" w:lineRule="exact"/>
      </w:pPr>
      <w:r>
        <w:t>Tato dohoda a její přílohy představují úplnou dohodu smluvních stran týkající se předmětu této dohody a ke dni nabytí účinnos</w:t>
      </w:r>
      <w:r>
        <w:t>ti této dohody plně nahrazují Rámcovou smlouvu/dohodu č 31812 uzavřenou mezi společností 02 a Zákazníkem dne 13.9.2017.</w:t>
      </w:r>
    </w:p>
    <w:p w:rsidR="002C51A6" w:rsidRDefault="00D308F5">
      <w:pPr>
        <w:pStyle w:val="Heading310"/>
        <w:framePr w:w="9965" w:h="10009" w:hRule="exact" w:wrap="none" w:vAnchor="page" w:hAnchor="page" w:x="921" w:y="893"/>
        <w:numPr>
          <w:ilvl w:val="0"/>
          <w:numId w:val="1"/>
        </w:numPr>
        <w:shd w:val="clear" w:color="auto" w:fill="auto"/>
        <w:tabs>
          <w:tab w:val="left" w:pos="4493"/>
        </w:tabs>
        <w:ind w:left="4180"/>
      </w:pPr>
      <w:bookmarkStart w:id="4" w:name="bookmark3"/>
      <w:r>
        <w:t>Další zvýhodnění</w:t>
      </w:r>
      <w:bookmarkEnd w:id="4"/>
    </w:p>
    <w:p w:rsidR="002C51A6" w:rsidRDefault="00D308F5">
      <w:pPr>
        <w:pStyle w:val="Bodytext20"/>
        <w:framePr w:w="9965" w:h="10009" w:hRule="exact" w:wrap="none" w:vAnchor="page" w:hAnchor="page" w:x="921" w:y="893"/>
        <w:shd w:val="clear" w:color="auto" w:fill="auto"/>
        <w:spacing w:line="245" w:lineRule="exact"/>
      </w:pPr>
      <w:r>
        <w:t xml:space="preserve">02 dále poskytne Zákazníkovi kredit (dále jen </w:t>
      </w:r>
      <w:r>
        <w:rPr>
          <w:rStyle w:val="Bodytext2Bold"/>
        </w:rPr>
        <w:t xml:space="preserve">"Kredit") </w:t>
      </w:r>
      <w:r>
        <w:t xml:space="preserve">k prvním 24 vyúčtováním za mobilní služby 02, vystaveným Zákazníkovi po uzavření této dohody. Kredit představuje zvýšení Slevy o podíl částky Kč </w:t>
      </w:r>
      <w:r>
        <w:rPr>
          <w:rStyle w:val="Bodytext2Bold"/>
        </w:rPr>
        <w:t xml:space="preserve">4800 </w:t>
      </w:r>
      <w:r>
        <w:t>a počtu vyúčtování, k nimž se Kredit poskytuje, maximálně však takové zvýšení Slevy, aby dlužná částka k z</w:t>
      </w:r>
      <w:r>
        <w:t>aplacení za Zlevněné položky na takovém vyúčtování nebyla nižší než Kč 2.</w:t>
      </w:r>
    </w:p>
    <w:p w:rsidR="002C51A6" w:rsidRDefault="00D308F5">
      <w:pPr>
        <w:pStyle w:val="Bodytext20"/>
        <w:framePr w:w="9965" w:h="10009" w:hRule="exact" w:wrap="none" w:vAnchor="page" w:hAnchor="page" w:x="921" w:y="893"/>
        <w:shd w:val="clear" w:color="auto" w:fill="auto"/>
        <w:spacing w:line="245" w:lineRule="exact"/>
      </w:pPr>
      <w:r>
        <w:t>02 je oprávněna Zákazníkovi Slevu nepřiznat nebo částku Slevy Zákazníkovi zpětně doúčtovat vedle případů stanovených v předcházejících článcích této Dohody, rovněž pokud Zákazník (i)</w:t>
      </w:r>
      <w:r>
        <w:t xml:space="preserve"> porušuje svůj závazek k užíváni určitých služeb 02 po stanovenou dobu či ve stanoveném rozsahu (byl-li sjednán), (ii) pokud bude takový závazek z jakéhokoli důvodu zrušen či omezen oproti svému původně sjednanému rozsahu či době, (iii) pokud zákazník nedo</w:t>
      </w:r>
      <w:r>
        <w:t>drží očekávanou výši Základu dle bodu 2 nebo (iv) pokud dojde k odebrání Dotace. Ustanovení předchozích článků této dohody o Slevě se na Kredit použijí obdobné, nestanoví-lí tento článek jinak.</w:t>
      </w:r>
    </w:p>
    <w:p w:rsidR="002C51A6" w:rsidRDefault="00D308F5">
      <w:pPr>
        <w:pStyle w:val="Heading310"/>
        <w:framePr w:w="9965" w:h="10009" w:hRule="exact" w:wrap="none" w:vAnchor="page" w:hAnchor="page" w:x="921" w:y="893"/>
        <w:numPr>
          <w:ilvl w:val="0"/>
          <w:numId w:val="1"/>
        </w:numPr>
        <w:shd w:val="clear" w:color="auto" w:fill="auto"/>
        <w:tabs>
          <w:tab w:val="left" w:pos="4493"/>
        </w:tabs>
        <w:ind w:left="4180"/>
      </w:pPr>
      <w:bookmarkStart w:id="5" w:name="bookmark4"/>
      <w:r>
        <w:t>Ostatní ujednání</w:t>
      </w:r>
      <w:bookmarkEnd w:id="5"/>
    </w:p>
    <w:p w:rsidR="002C51A6" w:rsidRDefault="00D308F5">
      <w:pPr>
        <w:pStyle w:val="Bodytext20"/>
        <w:framePr w:w="9965" w:h="10009" w:hRule="exact" w:wrap="none" w:vAnchor="page" w:hAnchor="page" w:x="921" w:y="893"/>
        <w:shd w:val="clear" w:color="auto" w:fill="auto"/>
        <w:spacing w:line="245" w:lineRule="exact"/>
      </w:pPr>
      <w:r>
        <w:t>Náleží-li Zákazník do okruhu subjektů uvedený</w:t>
      </w:r>
      <w:r>
        <w:t>ch v ustanovení § 2 odst. 1 zákona č. 340/2015 Sb., o zvláštních podmínkách účinnosti některých smluv, uveřejňování těchto smluv a o registru smluv, zavazuje se uveřejnit tuto Dohodu, případně jednotlivé Účastnické smlouvy v registru smluv v souladu s tímt</w:t>
      </w:r>
      <w:r>
        <w:t>o zákonem.</w:t>
      </w:r>
    </w:p>
    <w:p w:rsidR="002C51A6" w:rsidRDefault="00D308F5">
      <w:pPr>
        <w:pStyle w:val="Bodytext20"/>
        <w:framePr w:w="9965" w:h="997" w:hRule="exact" w:wrap="none" w:vAnchor="page" w:hAnchor="page" w:x="921" w:y="12511"/>
        <w:shd w:val="clear" w:color="auto" w:fill="auto"/>
        <w:spacing w:line="200" w:lineRule="exact"/>
      </w:pPr>
      <w:r>
        <w:t>EJ Souhlasím s podpisem této dohody vlastnoručním digitálním podpisem.</w:t>
      </w:r>
    </w:p>
    <w:p w:rsidR="002C51A6" w:rsidRDefault="00D308F5">
      <w:pPr>
        <w:pStyle w:val="Bodytext20"/>
        <w:framePr w:w="9965" w:h="997" w:hRule="exact" w:wrap="none" w:vAnchor="page" w:hAnchor="page" w:x="921" w:y="12511"/>
        <w:shd w:val="clear" w:color="auto" w:fill="auto"/>
        <w:tabs>
          <w:tab w:val="left" w:pos="4950"/>
        </w:tabs>
        <w:spacing w:line="226" w:lineRule="exact"/>
        <w:jc w:val="both"/>
      </w:pPr>
      <w:r>
        <w:t>Za Zákazníka:</w:t>
      </w:r>
      <w:r>
        <w:tab/>
        <w:t>Za 02:</w:t>
      </w:r>
    </w:p>
    <w:p w:rsidR="002C51A6" w:rsidRDefault="00D308F5">
      <w:pPr>
        <w:pStyle w:val="Bodytext20"/>
        <w:framePr w:w="9965" w:h="997" w:hRule="exact" w:wrap="none" w:vAnchor="page" w:hAnchor="page" w:x="921" w:y="12511"/>
        <w:shd w:val="clear" w:color="auto" w:fill="auto"/>
        <w:tabs>
          <w:tab w:val="left" w:pos="4950"/>
        </w:tabs>
        <w:spacing w:line="226" w:lineRule="exact"/>
        <w:jc w:val="both"/>
      </w:pPr>
      <w:r>
        <w:t>Jméno a příjmení:</w:t>
      </w:r>
      <w:r>
        <w:tab/>
        <w:t xml:space="preserve">Jméno a příjmení: </w:t>
      </w:r>
    </w:p>
    <w:p w:rsidR="002C51A6" w:rsidRDefault="00D308F5">
      <w:pPr>
        <w:pStyle w:val="Bodytext20"/>
        <w:framePr w:w="9965" w:h="997" w:hRule="exact" w:wrap="none" w:vAnchor="page" w:hAnchor="page" w:x="921" w:y="12511"/>
        <w:shd w:val="clear" w:color="auto" w:fill="auto"/>
        <w:tabs>
          <w:tab w:val="left" w:pos="4950"/>
        </w:tabs>
        <w:spacing w:line="226" w:lineRule="exact"/>
        <w:jc w:val="both"/>
      </w:pPr>
      <w:r>
        <w:t xml:space="preserve">V Náchodě dne </w:t>
      </w:r>
      <w:r>
        <w:rPr>
          <w:rStyle w:val="Bodytext275pt"/>
        </w:rPr>
        <w:t>25 10.2017</w:t>
      </w:r>
      <w:r>
        <w:rPr>
          <w:rStyle w:val="Bodytext275pt"/>
        </w:rPr>
        <w:tab/>
      </w:r>
      <w:r>
        <w:t xml:space="preserve">V Náchodě dne </w:t>
      </w:r>
      <w:r>
        <w:rPr>
          <w:rStyle w:val="Bodytext275pt"/>
        </w:rPr>
        <w:t>25 10.2017</w:t>
      </w:r>
    </w:p>
    <w:p w:rsidR="002C51A6" w:rsidRDefault="00D308F5">
      <w:pPr>
        <w:pStyle w:val="Headerorfooter10"/>
        <w:framePr w:wrap="none" w:vAnchor="page" w:hAnchor="page" w:x="993" w:y="13687"/>
        <w:shd w:val="clear" w:color="auto" w:fill="auto"/>
      </w:pPr>
      <w:r>
        <w:t>Podpis a razítko</w:t>
      </w:r>
    </w:p>
    <w:p w:rsidR="002C51A6" w:rsidRDefault="00D308F5">
      <w:pPr>
        <w:pStyle w:val="Headerorfooter10"/>
        <w:framePr w:wrap="none" w:vAnchor="page" w:hAnchor="page" w:x="5951" w:y="13692"/>
        <w:shd w:val="clear" w:color="auto" w:fill="auto"/>
      </w:pPr>
      <w:r>
        <w:t>Podpis a razítko</w:t>
      </w:r>
    </w:p>
    <w:p w:rsidR="002C51A6" w:rsidRDefault="002C51A6">
      <w:pPr>
        <w:rPr>
          <w:sz w:val="2"/>
          <w:szCs w:val="2"/>
        </w:rPr>
      </w:pPr>
    </w:p>
    <w:sectPr w:rsidR="002C51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08F5">
      <w:r>
        <w:separator/>
      </w:r>
    </w:p>
  </w:endnote>
  <w:endnote w:type="continuationSeparator" w:id="0">
    <w:p w:rsidR="00000000" w:rsidRDefault="00D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A6" w:rsidRDefault="002C51A6"/>
  </w:footnote>
  <w:footnote w:type="continuationSeparator" w:id="0">
    <w:p w:rsidR="002C51A6" w:rsidRDefault="002C51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430"/>
    <w:multiLevelType w:val="multilevel"/>
    <w:tmpl w:val="DAAEF4F6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51A6"/>
    <w:rsid w:val="002C51A6"/>
    <w:rsid w:val="00D3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2D85F-CCC4-420C-B508-1606428A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3NotBold">
    <w:name w:val="Body text|3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1">
    <w:name w:val="Table caption|1"/>
    <w:basedOn w:val="Tabl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1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SmallCaps">
    <w:name w:val="Body text|2 + 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FFFFFF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5ptBold">
    <w:name w:val="Body text|2 + 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514" w:lineRule="exact"/>
      <w:jc w:val="center"/>
      <w:outlineLvl w:val="0"/>
    </w:pPr>
    <w:rPr>
      <w:rFonts w:ascii="Arial" w:eastAsia="Arial" w:hAnsi="Arial" w:cs="Arial"/>
      <w:sz w:val="46"/>
      <w:szCs w:val="46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20" w:line="100" w:lineRule="exact"/>
    </w:pPr>
    <w:rPr>
      <w:rFonts w:ascii="Arial" w:eastAsia="Arial" w:hAnsi="Arial" w:cs="Arial"/>
      <w:b/>
      <w:bCs/>
      <w:sz w:val="9"/>
      <w:szCs w:val="9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52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21" w:lineRule="exac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45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@zstgm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1236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Jindra</cp:lastModifiedBy>
  <cp:revision>2</cp:revision>
  <dcterms:created xsi:type="dcterms:W3CDTF">2018-02-01T07:56:00Z</dcterms:created>
  <dcterms:modified xsi:type="dcterms:W3CDTF">2018-02-01T07:57:00Z</dcterms:modified>
</cp:coreProperties>
</file>