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5920"/>
        <w:gridCol w:w="3865"/>
      </w:tblGrid>
      <w:tr w:rsidR="00EA71DF" w:rsidTr="00FE539D">
        <w:tc>
          <w:tcPr>
            <w:tcW w:w="5920" w:type="dxa"/>
            <w:tcBorders>
              <w:right w:val="single" w:sz="4" w:space="0" w:color="auto"/>
            </w:tcBorders>
            <w:shd w:val="clear" w:color="auto" w:fill="auto"/>
          </w:tcPr>
          <w:p w:rsidR="00EA71DF" w:rsidRDefault="00EA71DF">
            <w:bookmarkStart w:id="0" w:name="_GoBack"/>
            <w:bookmarkEnd w:id="0"/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1DF" w:rsidRDefault="00E45B64" w:rsidP="00FE539D">
            <w:pPr>
              <w:spacing w:before="120" w:after="120"/>
              <w:jc w:val="center"/>
            </w:pPr>
            <w:r>
              <w:t>99016998404</w:t>
            </w:r>
          </w:p>
        </w:tc>
      </w:tr>
      <w:tr w:rsidR="00EA71DF" w:rsidTr="00FE539D">
        <w:tc>
          <w:tcPr>
            <w:tcW w:w="5920" w:type="dxa"/>
            <w:shd w:val="clear" w:color="auto" w:fill="auto"/>
          </w:tcPr>
          <w:p w:rsidR="00EA71DF" w:rsidRDefault="00EA71DF"/>
        </w:tc>
        <w:tc>
          <w:tcPr>
            <w:tcW w:w="3865" w:type="dxa"/>
            <w:tcBorders>
              <w:top w:val="single" w:sz="4" w:space="0" w:color="auto"/>
            </w:tcBorders>
            <w:shd w:val="clear" w:color="auto" w:fill="auto"/>
          </w:tcPr>
          <w:p w:rsidR="00EA71DF" w:rsidRDefault="00EA71DF" w:rsidP="00FE539D">
            <w:pPr>
              <w:jc w:val="center"/>
            </w:pPr>
            <w:r w:rsidRPr="00FE539D">
              <w:rPr>
                <w:sz w:val="16"/>
              </w:rPr>
              <w:t>registrační číslo</w:t>
            </w:r>
          </w:p>
        </w:tc>
      </w:tr>
    </w:tbl>
    <w:p w:rsidR="00EA71DF" w:rsidRDefault="00EA71DF"/>
    <w:p w:rsidR="00EA71DF" w:rsidRDefault="00EA71DF"/>
    <w:p w:rsidR="00EA71DF" w:rsidRDefault="00EA71DF">
      <w:r>
        <w:rPr>
          <w:b/>
        </w:rPr>
        <w:t>Komerční banka, a. s.</w:t>
      </w:r>
      <w:r>
        <w:t>, se sídlem Praha 1, Na Příkopě 33 čp. 969, PSČ 114 07, IČ</w:t>
      </w:r>
      <w:r w:rsidR="00B07642">
        <w:t>O</w:t>
      </w:r>
      <w:r>
        <w:t>: 4531 7054, zapsaná v obchodním rejstříku vedeném Městským soudem v Praze, oddíl B, vložka 1360 (dále jen „</w:t>
      </w:r>
      <w:r>
        <w:rPr>
          <w:b/>
        </w:rPr>
        <w:t>Banka</w:t>
      </w:r>
      <w:r>
        <w:t>“)</w:t>
      </w:r>
    </w:p>
    <w:p w:rsidR="00EA71DF" w:rsidRDefault="00EA71DF"/>
    <w:p w:rsidR="00EA71DF" w:rsidRDefault="00EA71DF">
      <w:r>
        <w:t>a</w:t>
      </w:r>
    </w:p>
    <w:p w:rsidR="00EA71DF" w:rsidRDefault="00EA71DF">
      <w:bookmarkStart w:id="1" w:name="hlava"/>
      <w:bookmarkStart w:id="2" w:name="INS_KID"/>
      <w:bookmarkEnd w:id="1"/>
    </w:p>
    <w:p w:rsidR="00EA71DF" w:rsidRDefault="00EA71DF">
      <w:r>
        <w:rPr>
          <w:b/>
        </w:rPr>
        <w:t>právnická osoba</w:t>
      </w:r>
      <w:r>
        <w:t xml:space="preserve"> (dále jen „</w:t>
      </w:r>
      <w:r>
        <w:rPr>
          <w:b/>
        </w:rPr>
        <w:t>Klient</w:t>
      </w:r>
      <w:r>
        <w:t>“)</w:t>
      </w:r>
    </w:p>
    <w:tbl>
      <w:tblPr>
        <w:tblW w:w="97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5597"/>
      </w:tblGrid>
      <w:tr w:rsidR="00EA71DF">
        <w:tc>
          <w:tcPr>
            <w:tcW w:w="4181" w:type="dxa"/>
          </w:tcPr>
          <w:p w:rsidR="00EA71DF" w:rsidRDefault="00EA71DF">
            <w:pPr>
              <w:spacing w:before="40" w:after="40"/>
            </w:pPr>
            <w:r>
              <w:rPr>
                <w:sz w:val="16"/>
              </w:rPr>
              <w:t>Obchodní firma* / název</w:t>
            </w:r>
            <w:r w:rsidR="00D933D8">
              <w:rPr>
                <w:sz w:val="16"/>
              </w:rPr>
              <w:t>**</w:t>
            </w:r>
            <w:r>
              <w:rPr>
                <w:sz w:val="16"/>
              </w:rPr>
              <w:t>:</w:t>
            </w:r>
          </w:p>
        </w:tc>
        <w:tc>
          <w:tcPr>
            <w:tcW w:w="5597" w:type="dxa"/>
          </w:tcPr>
          <w:p w:rsidR="00EA71DF" w:rsidRDefault="00C70AB0">
            <w:pPr>
              <w:spacing w:before="40" w:after="40"/>
              <w:rPr>
                <w:b/>
              </w:rPr>
            </w:pPr>
            <w:r>
              <w:rPr>
                <w:rStyle w:val="Siln"/>
              </w:rPr>
              <w:t>Městská bytová správa, spol. s r.o.</w:t>
            </w:r>
          </w:p>
        </w:tc>
      </w:tr>
      <w:tr w:rsidR="00EA71DF">
        <w:tc>
          <w:tcPr>
            <w:tcW w:w="4181" w:type="dxa"/>
          </w:tcPr>
          <w:p w:rsidR="00EA71DF" w:rsidRDefault="00EA71DF">
            <w:pPr>
              <w:spacing w:before="40" w:after="40"/>
            </w:pPr>
            <w:r>
              <w:rPr>
                <w:sz w:val="16"/>
              </w:rPr>
              <w:t xml:space="preserve">Sídlo: </w:t>
            </w:r>
          </w:p>
        </w:tc>
        <w:tc>
          <w:tcPr>
            <w:tcW w:w="5597" w:type="dxa"/>
          </w:tcPr>
          <w:p w:rsidR="00EA71DF" w:rsidRPr="00C70AB0" w:rsidRDefault="00C70AB0">
            <w:pPr>
              <w:spacing w:before="40" w:after="40"/>
              <w:rPr>
                <w:b/>
              </w:rPr>
            </w:pPr>
            <w:r w:rsidRPr="00C70AB0">
              <w:rPr>
                <w:b/>
              </w:rPr>
              <w:t>Rodinova 691/4, 695 01 Hodonín</w:t>
            </w:r>
          </w:p>
        </w:tc>
      </w:tr>
      <w:tr w:rsidR="00EA71DF">
        <w:tc>
          <w:tcPr>
            <w:tcW w:w="4181" w:type="dxa"/>
          </w:tcPr>
          <w:p w:rsidR="00EA71DF" w:rsidRDefault="00EA71DF">
            <w:pPr>
              <w:spacing w:before="40" w:after="40"/>
            </w:pPr>
            <w:r>
              <w:rPr>
                <w:sz w:val="16"/>
              </w:rPr>
              <w:t>IČ</w:t>
            </w:r>
            <w:r w:rsidR="00B07642">
              <w:rPr>
                <w:sz w:val="16"/>
              </w:rPr>
              <w:t>O</w:t>
            </w:r>
          </w:p>
        </w:tc>
        <w:tc>
          <w:tcPr>
            <w:tcW w:w="5597" w:type="dxa"/>
          </w:tcPr>
          <w:p w:rsidR="00EA71DF" w:rsidRDefault="00C70AB0">
            <w:pPr>
              <w:spacing w:before="40" w:after="40"/>
              <w:rPr>
                <w:b/>
              </w:rPr>
            </w:pPr>
            <w:r>
              <w:rPr>
                <w:rStyle w:val="nowrap"/>
                <w:b/>
                <w:bCs/>
              </w:rPr>
              <w:t>63489953</w:t>
            </w:r>
          </w:p>
        </w:tc>
      </w:tr>
      <w:tr w:rsidR="00EA71DF">
        <w:tc>
          <w:tcPr>
            <w:tcW w:w="4181" w:type="dxa"/>
          </w:tcPr>
          <w:p w:rsidR="00EA71DF" w:rsidRDefault="00EA71DF">
            <w:pPr>
              <w:spacing w:before="40" w:after="40"/>
            </w:pPr>
            <w:r>
              <w:rPr>
                <w:sz w:val="16"/>
              </w:rPr>
              <w:t>Zápis v obchodním rejstříku či jiné evidenci, včetně spisové značky:</w:t>
            </w:r>
          </w:p>
        </w:tc>
        <w:tc>
          <w:tcPr>
            <w:tcW w:w="5597" w:type="dxa"/>
          </w:tcPr>
          <w:p w:rsidR="00EA71DF" w:rsidRDefault="00C70AB0">
            <w:pPr>
              <w:spacing w:before="40" w:after="40"/>
              <w:rPr>
                <w:b/>
              </w:rPr>
            </w:pPr>
            <w:r>
              <w:rPr>
                <w:b/>
              </w:rPr>
              <w:t>C 21697 vedená u Krajského soudu v Brně</w:t>
            </w:r>
          </w:p>
        </w:tc>
      </w:tr>
    </w:tbl>
    <w:p w:rsidR="00EA71DF" w:rsidRDefault="00EA71DF">
      <w:r>
        <w:rPr>
          <w:sz w:val="16"/>
        </w:rPr>
        <w:t>*je-li Klient zapsán v obchodním rejstříku; **není-li Klient zapsán v obchodním rejstříku</w:t>
      </w:r>
    </w:p>
    <w:p w:rsidR="00EA71DF" w:rsidRDefault="00EA71DF">
      <w:pPr>
        <w:rPr>
          <w:sz w:val="16"/>
        </w:rPr>
      </w:pPr>
    </w:p>
    <w:p w:rsidR="00EA71DF" w:rsidRDefault="00EA71DF"/>
    <w:bookmarkEnd w:id="2"/>
    <w:p w:rsidR="00EA71DF" w:rsidRDefault="00EA71DF">
      <w:r>
        <w:t xml:space="preserve">se dohodli na tomto dodatku č. </w:t>
      </w:r>
      <w:r w:rsidR="00C70AB0">
        <w:t>1</w:t>
      </w:r>
      <w:r>
        <w:t xml:space="preserve"> ke Smlouvě o </w:t>
      </w:r>
      <w:bookmarkStart w:id="3" w:name="SmlCo"/>
      <w:r>
        <w:fldChar w:fldCharType="begin">
          <w:ffData>
            <w:name w:val="SmlCo"/>
            <w:enabled/>
            <w:calcOnExit w:val="0"/>
            <w:textInput>
              <w:default w:val="úvěru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úvěru</w:t>
      </w:r>
      <w:r>
        <w:fldChar w:fldCharType="end"/>
      </w:r>
      <w:bookmarkEnd w:id="3"/>
      <w:r>
        <w:rPr>
          <w:iCs/>
          <w:vanish/>
          <w:color w:val="FF0000"/>
          <w:sz w:val="16"/>
        </w:rPr>
        <w:t xml:space="preserve">(v případě kontokorentního / revolvingového / hypotečního úvěru doplňte </w:t>
      </w:r>
      <w:r>
        <w:rPr>
          <w:b/>
          <w:bCs/>
          <w:iCs/>
          <w:vanish/>
          <w:color w:val="FF0000"/>
          <w:sz w:val="16"/>
        </w:rPr>
        <w:t xml:space="preserve">o kontokorentním úvěru / </w:t>
      </w:r>
      <w:r>
        <w:rPr>
          <w:b/>
          <w:iCs/>
          <w:vanish/>
          <w:color w:val="FF0000"/>
          <w:sz w:val="16"/>
        </w:rPr>
        <w:t xml:space="preserve">o revolvingovém úvěru </w:t>
      </w:r>
      <w:r>
        <w:rPr>
          <w:iCs/>
          <w:vanish/>
          <w:color w:val="FF0000"/>
          <w:sz w:val="16"/>
        </w:rPr>
        <w:t xml:space="preserve">/ </w:t>
      </w:r>
      <w:r>
        <w:rPr>
          <w:b/>
          <w:iCs/>
          <w:vanish/>
          <w:color w:val="FF0000"/>
          <w:sz w:val="16"/>
        </w:rPr>
        <w:t>o hypotečním úvěru</w:t>
      </w:r>
      <w:r>
        <w:rPr>
          <w:iCs/>
          <w:vanish/>
          <w:color w:val="FF0000"/>
          <w:sz w:val="16"/>
        </w:rPr>
        <w:t>)</w:t>
      </w:r>
      <w:r>
        <w:rPr>
          <w:i/>
          <w:vanish/>
          <w:color w:val="FF0000"/>
          <w:sz w:val="16"/>
        </w:rPr>
        <w:t xml:space="preserve"> </w:t>
      </w:r>
      <w:r>
        <w:t xml:space="preserve"> ze dne </w:t>
      </w:r>
      <w:r w:rsidR="00C70AB0">
        <w:t>25.1.2017</w:t>
      </w:r>
      <w:r>
        <w:t xml:space="preserve">, reg. č. </w:t>
      </w:r>
      <w:r w:rsidR="00C70AB0">
        <w:t>99016998404</w:t>
      </w:r>
      <w:r>
        <w:t xml:space="preserve"> (dále jen „</w:t>
      </w:r>
      <w:r>
        <w:rPr>
          <w:b/>
        </w:rPr>
        <w:t>Smlouva</w:t>
      </w:r>
      <w:r>
        <w:t>“).</w:t>
      </w:r>
    </w:p>
    <w:p w:rsidR="00171EED" w:rsidRDefault="00171EED"/>
    <w:p w:rsidR="00EA71DF" w:rsidRDefault="00EA71DF" w:rsidP="00E50B42">
      <w:pPr>
        <w:numPr>
          <w:ilvl w:val="0"/>
          <w:numId w:val="3"/>
        </w:numPr>
        <w:ind w:hanging="1080"/>
        <w:rPr>
          <w:szCs w:val="18"/>
        </w:rPr>
      </w:pPr>
      <w:r>
        <w:rPr>
          <w:szCs w:val="18"/>
        </w:rPr>
        <w:t xml:space="preserve">Tímto dodatkem se mění Smlouva takto: </w:t>
      </w:r>
    </w:p>
    <w:p w:rsidR="00FB37BE" w:rsidRDefault="00FB37BE">
      <w:pPr>
        <w:rPr>
          <w:szCs w:val="18"/>
        </w:rPr>
      </w:pPr>
    </w:p>
    <w:p w:rsidR="008C180C" w:rsidRPr="00E954C8" w:rsidRDefault="008C180C" w:rsidP="008C180C">
      <w:pPr>
        <w:spacing w:before="120"/>
        <w:ind w:left="425" w:firstLine="142"/>
        <w:rPr>
          <w:rFonts w:cs="Arial"/>
          <w:u w:val="single"/>
        </w:rPr>
      </w:pPr>
      <w:bookmarkStart w:id="4" w:name="TextZmeny"/>
      <w:r w:rsidRPr="00E954C8">
        <w:rPr>
          <w:rFonts w:cs="Arial"/>
          <w:b/>
          <w:u w:val="single"/>
        </w:rPr>
        <w:t>Znění článku 3.2 Smlouvy se ruší a nahrazuje následujícím zněním:</w:t>
      </w:r>
    </w:p>
    <w:p w:rsidR="008C180C" w:rsidRDefault="008C180C" w:rsidP="00012EC6">
      <w:pPr>
        <w:ind w:firstLine="567"/>
        <w:rPr>
          <w:rFonts w:cs="Arial"/>
        </w:rPr>
      </w:pPr>
    </w:p>
    <w:p w:rsidR="008C180C" w:rsidRDefault="008C180C" w:rsidP="008C180C">
      <w:pPr>
        <w:tabs>
          <w:tab w:val="left" w:pos="6379"/>
          <w:tab w:val="left" w:pos="8080"/>
        </w:tabs>
        <w:ind w:left="567" w:hanging="567"/>
      </w:pPr>
      <w:r>
        <w:t>3.2</w:t>
      </w:r>
      <w:r>
        <w:tab/>
        <w:t xml:space="preserve">Klient je oprávněn požádat o poskytnutí Úvěru na základě řádně vyplněné Žádosti nejpozději do </w:t>
      </w:r>
      <w:r>
        <w:rPr>
          <w:b/>
        </w:rPr>
        <w:fldChar w:fldCharType="begin">
          <w:ffData>
            <w:name w:val="Textové12"/>
            <w:enabled/>
            <w:calcOnExit w:val="0"/>
            <w:textInput>
              <w:default w:val="31.12.2018"/>
            </w:textInput>
          </w:ffData>
        </w:fldChar>
      </w:r>
      <w:bookmarkStart w:id="5" w:name="Textové12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31.12.2018</w:t>
      </w:r>
      <w:r>
        <w:rPr>
          <w:b/>
        </w:rPr>
        <w:fldChar w:fldCharType="end"/>
      </w:r>
      <w:bookmarkEnd w:id="5"/>
      <w:r>
        <w:t>. Pokud Klient nevyčerpá Úvěr ve lhůtě podle předcházející věty, jeho právo na poskytnutí nevyčerpané části Úvěru zaniká. V případě, že Banka po uplynutí lhůty podle první věty tohoto článku umožní Klientovi Čerpání, považuje se Čerpání za řádně poskytnuté podle této Smlouvy.</w:t>
      </w:r>
    </w:p>
    <w:p w:rsidR="00BA3C88" w:rsidRDefault="00BA3C88" w:rsidP="008C180C">
      <w:pPr>
        <w:tabs>
          <w:tab w:val="left" w:pos="6379"/>
          <w:tab w:val="left" w:pos="8080"/>
        </w:tabs>
        <w:ind w:left="567" w:hanging="567"/>
      </w:pPr>
    </w:p>
    <w:p w:rsidR="00BA3C88" w:rsidRPr="00451DD7" w:rsidRDefault="00451DD7" w:rsidP="00BA3C88">
      <w:pPr>
        <w:spacing w:before="120"/>
        <w:ind w:left="425"/>
        <w:rPr>
          <w:rFonts w:cs="Arial"/>
          <w:b/>
          <w:u w:val="single"/>
        </w:rPr>
      </w:pPr>
      <w:r>
        <w:rPr>
          <w:b/>
          <w:u w:val="single"/>
        </w:rPr>
        <w:t xml:space="preserve">  </w:t>
      </w:r>
      <w:r w:rsidR="00BA3C88" w:rsidRPr="00451DD7">
        <w:rPr>
          <w:rFonts w:cs="Arial"/>
          <w:b/>
          <w:u w:val="single"/>
        </w:rPr>
        <w:t>Znění článku 3. Smlouvy se doplňuje o následující znění:</w:t>
      </w:r>
    </w:p>
    <w:p w:rsidR="00BA3C88" w:rsidRDefault="00BA3C88" w:rsidP="00BA3C88">
      <w:pPr>
        <w:spacing w:before="120"/>
        <w:ind w:left="425"/>
        <w:rPr>
          <w:rFonts w:cs="Arial"/>
        </w:rPr>
      </w:pPr>
    </w:p>
    <w:p w:rsidR="00BA3C88" w:rsidRDefault="00BA3C88" w:rsidP="00BA3C88">
      <w:pPr>
        <w:tabs>
          <w:tab w:val="left" w:pos="6096"/>
          <w:tab w:val="left" w:pos="8931"/>
        </w:tabs>
        <w:ind w:left="567" w:hanging="567"/>
      </w:pPr>
      <w:r w:rsidRPr="00DF6C39">
        <w:rPr>
          <w:rFonts w:cs="Arial"/>
        </w:rPr>
        <w:t>3.6</w:t>
      </w:r>
      <w:r>
        <w:rPr>
          <w:rFonts w:cs="Arial"/>
        </w:rPr>
        <w:tab/>
      </w:r>
      <w:r w:rsidRPr="00275FEB">
        <w:t>Klient není oprávněn opakovaně čerpat Úvěr v rozsahu jistiny splacené dle článku 6.1 této Smlouvy v průběhu Doby čerpání.</w:t>
      </w:r>
    </w:p>
    <w:p w:rsidR="00354280" w:rsidRDefault="00354280" w:rsidP="008C180C">
      <w:pPr>
        <w:tabs>
          <w:tab w:val="left" w:pos="6379"/>
          <w:tab w:val="left" w:pos="8080"/>
        </w:tabs>
        <w:ind w:left="567" w:hanging="567"/>
      </w:pPr>
    </w:p>
    <w:p w:rsidR="00354280" w:rsidRDefault="00354280" w:rsidP="00354280">
      <w:pPr>
        <w:spacing w:before="120"/>
        <w:ind w:left="425" w:firstLine="142"/>
        <w:rPr>
          <w:rFonts w:cs="Arial"/>
          <w:b/>
          <w:u w:val="single"/>
        </w:rPr>
      </w:pPr>
      <w:r w:rsidRPr="00451DD7">
        <w:rPr>
          <w:rFonts w:cs="Arial"/>
          <w:b/>
          <w:u w:val="single"/>
        </w:rPr>
        <w:t>Znění</w:t>
      </w:r>
      <w:r>
        <w:rPr>
          <w:rFonts w:cs="Arial"/>
          <w:b/>
          <w:u w:val="single"/>
        </w:rPr>
        <w:t xml:space="preserve"> článku 4.1</w:t>
      </w:r>
      <w:r w:rsidRPr="00E954C8">
        <w:rPr>
          <w:rFonts w:cs="Arial"/>
          <w:b/>
          <w:u w:val="single"/>
        </w:rPr>
        <w:t xml:space="preserve"> Smlouvy se ruší a nahrazuje následujícím zněním:</w:t>
      </w:r>
    </w:p>
    <w:p w:rsidR="00354280" w:rsidRPr="00354280" w:rsidRDefault="00354280" w:rsidP="00354280">
      <w:pPr>
        <w:spacing w:before="120"/>
        <w:rPr>
          <w:rFonts w:cs="Arial"/>
        </w:rPr>
      </w:pPr>
      <w:r w:rsidRPr="00354280">
        <w:rPr>
          <w:rFonts w:cs="Arial"/>
        </w:rPr>
        <w:t xml:space="preserve">4.1   </w:t>
      </w:r>
      <w:r>
        <w:rPr>
          <w:rFonts w:cs="Arial"/>
        </w:rPr>
        <w:tab/>
      </w:r>
      <w:r w:rsidR="00FB37BE">
        <w:t>Klient a Banka se dohodli, že cena za rezervaci zdrojů se nesjednává.</w:t>
      </w:r>
    </w:p>
    <w:p w:rsidR="00354280" w:rsidRDefault="00354280" w:rsidP="008C180C">
      <w:pPr>
        <w:tabs>
          <w:tab w:val="left" w:pos="6379"/>
          <w:tab w:val="left" w:pos="8080"/>
        </w:tabs>
        <w:ind w:left="567" w:hanging="567"/>
      </w:pPr>
    </w:p>
    <w:p w:rsidR="00354280" w:rsidRDefault="00354280" w:rsidP="00354280">
      <w:pPr>
        <w:overflowPunct/>
        <w:autoSpaceDE/>
        <w:autoSpaceDN/>
        <w:adjustRightInd/>
        <w:spacing w:before="120"/>
        <w:ind w:left="284" w:firstLine="283"/>
        <w:jc w:val="left"/>
        <w:textAlignment w:val="auto"/>
        <w:rPr>
          <w:rFonts w:cs="Arial"/>
          <w:b/>
          <w:szCs w:val="18"/>
          <w:u w:val="single"/>
        </w:rPr>
      </w:pPr>
      <w:r>
        <w:rPr>
          <w:rFonts w:cs="Arial"/>
          <w:b/>
          <w:szCs w:val="18"/>
          <w:u w:val="single"/>
        </w:rPr>
        <w:t>Znění článku 6</w:t>
      </w:r>
      <w:r w:rsidRPr="00561883">
        <w:rPr>
          <w:rFonts w:cs="Arial"/>
          <w:b/>
          <w:szCs w:val="18"/>
          <w:u w:val="single"/>
        </w:rPr>
        <w:t xml:space="preserve">.1 Smlouvy se doplňuje o další odstavec </w:t>
      </w:r>
      <w:r>
        <w:rPr>
          <w:rFonts w:cs="Arial"/>
          <w:b/>
          <w:szCs w:val="18"/>
          <w:u w:val="single"/>
        </w:rPr>
        <w:t xml:space="preserve">e) </w:t>
      </w:r>
      <w:r w:rsidRPr="00561883">
        <w:rPr>
          <w:rFonts w:cs="Arial"/>
          <w:b/>
          <w:szCs w:val="18"/>
          <w:u w:val="single"/>
        </w:rPr>
        <w:t>v následujícím znění:</w:t>
      </w:r>
    </w:p>
    <w:p w:rsidR="00354280" w:rsidRDefault="00354280" w:rsidP="00354280">
      <w:pPr>
        <w:spacing w:before="120"/>
        <w:rPr>
          <w:rFonts w:cs="Arial"/>
          <w:b/>
          <w:szCs w:val="18"/>
          <w:u w:val="single"/>
        </w:rPr>
      </w:pPr>
    </w:p>
    <w:p w:rsidR="00354280" w:rsidRDefault="00354280" w:rsidP="00354280">
      <w:pPr>
        <w:ind w:left="567" w:hanging="567"/>
        <w:rPr>
          <w:iCs/>
        </w:rPr>
      </w:pPr>
      <w:r>
        <w:t xml:space="preserve">e) </w:t>
      </w:r>
      <w:r>
        <w:tab/>
      </w:r>
      <w:r w:rsidRPr="00275FEB">
        <w:t>Pokud výše vyčerpané a nesplacené jistiny Úvěru k datu splatnosti jakékoli splátky jistiny splatné v Době čerpání  nedosahuje  sjednané  výše této splátky jistiny, Klient uhradí splátku jistiny pouze do výše vyčerpané části jistiny Úvěru. V případě, že v důsledku tohoto postupu bude po uplynutí Doby čerpání  vyčerpaná a nesplacená jistina Úvěru vyšší než součet zbývajících splátek jistiny Úvěru dle odstavce a) tohoto článku, Klient uhradí tento rozdíl</w:t>
      </w:r>
      <w:r>
        <w:t xml:space="preserve"> </w:t>
      </w:r>
      <w:r w:rsidRPr="00275FEB">
        <w:rPr>
          <w:iCs/>
        </w:rPr>
        <w:t xml:space="preserve">ke </w:t>
      </w:r>
      <w:r>
        <w:rPr>
          <w:iCs/>
        </w:rPr>
        <w:t>Konečnému dni splatnosti.</w:t>
      </w:r>
    </w:p>
    <w:p w:rsidR="00FB37BE" w:rsidRDefault="00FB37BE" w:rsidP="00354280">
      <w:pPr>
        <w:ind w:left="567" w:hanging="567"/>
        <w:rPr>
          <w:iCs/>
        </w:rPr>
      </w:pPr>
    </w:p>
    <w:p w:rsidR="00FB37BE" w:rsidRDefault="00FB37BE" w:rsidP="00FB37BE">
      <w:pPr>
        <w:spacing w:before="120"/>
        <w:ind w:left="425" w:firstLine="142"/>
        <w:rPr>
          <w:rFonts w:cs="Arial"/>
          <w:b/>
          <w:u w:val="single"/>
        </w:rPr>
      </w:pPr>
      <w:r>
        <w:rPr>
          <w:rFonts w:cs="Arial"/>
          <w:b/>
          <w:u w:val="single"/>
        </w:rPr>
        <w:lastRenderedPageBreak/>
        <w:t>Znění článku 8.1.1</w:t>
      </w:r>
      <w:r w:rsidRPr="00E954C8">
        <w:rPr>
          <w:rFonts w:cs="Arial"/>
          <w:b/>
          <w:u w:val="single"/>
        </w:rPr>
        <w:t xml:space="preserve"> Smlouvy se ruší a nahrazuje následujícím zněním:</w:t>
      </w:r>
    </w:p>
    <w:p w:rsidR="00FB37BE" w:rsidRDefault="00FB37BE" w:rsidP="00354280">
      <w:pPr>
        <w:ind w:left="567" w:hanging="567"/>
        <w:rPr>
          <w:iCs/>
        </w:rPr>
      </w:pPr>
    </w:p>
    <w:p w:rsidR="00E954C8" w:rsidRDefault="00FB37BE" w:rsidP="008C180C">
      <w:pPr>
        <w:tabs>
          <w:tab w:val="left" w:pos="6379"/>
          <w:tab w:val="left" w:pos="8080"/>
        </w:tabs>
        <w:ind w:left="567" w:hanging="567"/>
      </w:pPr>
      <w:r>
        <w:t>8.1.1</w:t>
      </w:r>
      <w:r>
        <w:tab/>
        <w:t>Nesjednává se.</w:t>
      </w:r>
    </w:p>
    <w:p w:rsidR="00FB37BE" w:rsidRDefault="00FB37BE" w:rsidP="008C180C">
      <w:pPr>
        <w:tabs>
          <w:tab w:val="left" w:pos="6379"/>
          <w:tab w:val="left" w:pos="8080"/>
        </w:tabs>
        <w:ind w:left="567" w:hanging="567"/>
      </w:pPr>
    </w:p>
    <w:p w:rsidR="00FB37BE" w:rsidRDefault="00FB37BE" w:rsidP="00FB37BE">
      <w:pPr>
        <w:spacing w:before="120"/>
        <w:ind w:left="425" w:firstLine="142"/>
        <w:rPr>
          <w:rFonts w:cs="Arial"/>
          <w:b/>
          <w:u w:val="single"/>
        </w:rPr>
      </w:pPr>
      <w:r>
        <w:rPr>
          <w:rFonts w:cs="Arial"/>
          <w:b/>
          <w:u w:val="single"/>
        </w:rPr>
        <w:t>Znění článku 8.1.3</w:t>
      </w:r>
      <w:r w:rsidRPr="00E954C8">
        <w:rPr>
          <w:rFonts w:cs="Arial"/>
          <w:b/>
          <w:u w:val="single"/>
        </w:rPr>
        <w:t xml:space="preserve"> Smlouvy se ruší a nahrazuje následujícím zněním:</w:t>
      </w:r>
    </w:p>
    <w:p w:rsidR="00FB37BE" w:rsidRDefault="00FB37BE" w:rsidP="00FB37BE">
      <w:pPr>
        <w:ind w:left="567" w:hanging="567"/>
        <w:rPr>
          <w:iCs/>
        </w:rPr>
      </w:pPr>
    </w:p>
    <w:p w:rsidR="00FB37BE" w:rsidRDefault="00FB37BE" w:rsidP="008C180C">
      <w:pPr>
        <w:tabs>
          <w:tab w:val="left" w:pos="6379"/>
          <w:tab w:val="left" w:pos="8080"/>
        </w:tabs>
        <w:ind w:left="567" w:hanging="567"/>
      </w:pPr>
      <w:r>
        <w:t>8.1.3</w:t>
      </w:r>
      <w:r>
        <w:tab/>
        <w:t>Nesjednává se.</w:t>
      </w:r>
    </w:p>
    <w:p w:rsidR="00DF6C39" w:rsidRDefault="00DF6C39" w:rsidP="008C180C">
      <w:pPr>
        <w:tabs>
          <w:tab w:val="left" w:pos="6379"/>
          <w:tab w:val="left" w:pos="8080"/>
        </w:tabs>
        <w:ind w:left="567" w:hanging="567"/>
      </w:pPr>
    </w:p>
    <w:p w:rsidR="00FB37BE" w:rsidRDefault="00FB37BE" w:rsidP="008C180C">
      <w:pPr>
        <w:tabs>
          <w:tab w:val="left" w:pos="6379"/>
          <w:tab w:val="left" w:pos="8080"/>
        </w:tabs>
        <w:ind w:left="567" w:hanging="567"/>
      </w:pPr>
    </w:p>
    <w:p w:rsidR="00E954C8" w:rsidRPr="00E954C8" w:rsidRDefault="00E954C8" w:rsidP="00E954C8">
      <w:pPr>
        <w:spacing w:before="120"/>
        <w:ind w:left="425" w:firstLine="142"/>
        <w:rPr>
          <w:u w:val="single"/>
        </w:rPr>
      </w:pPr>
      <w:r w:rsidRPr="00E954C8">
        <w:rPr>
          <w:rFonts w:cs="Arial"/>
          <w:b/>
          <w:u w:val="single"/>
        </w:rPr>
        <w:t>Znění článku 8.2.1 Smlouvy se ruší a nahrazuje následujícím zněním:</w:t>
      </w:r>
    </w:p>
    <w:p w:rsidR="00E954C8" w:rsidRDefault="00E954C8" w:rsidP="008C180C">
      <w:pPr>
        <w:tabs>
          <w:tab w:val="left" w:pos="6379"/>
          <w:tab w:val="left" w:pos="8080"/>
        </w:tabs>
        <w:ind w:left="567" w:hanging="567"/>
      </w:pPr>
    </w:p>
    <w:p w:rsidR="00E954C8" w:rsidRDefault="00E954C8" w:rsidP="00E954C8">
      <w:pPr>
        <w:overflowPunct/>
        <w:jc w:val="left"/>
        <w:textAlignment w:val="auto"/>
        <w:rPr>
          <w:rFonts w:ascii="ArialMT" w:hAnsi="ArialMT" w:cs="ArialMT"/>
          <w:szCs w:val="18"/>
        </w:rPr>
      </w:pPr>
      <w:r>
        <w:t>8.2.1</w:t>
      </w:r>
      <w:r w:rsidRPr="00EE7A11">
        <w:tab/>
      </w:r>
      <w:r>
        <w:rPr>
          <w:rFonts w:ascii="ArialMT" w:hAnsi="ArialMT" w:cs="ArialMT"/>
          <w:szCs w:val="18"/>
        </w:rPr>
        <w:t>Odkládací podmínkou každého čerpání je předložení dokladů faktury (včetně zálohové), případně kupní smlouvy,</w:t>
      </w:r>
    </w:p>
    <w:p w:rsidR="00E954C8" w:rsidRDefault="00E954C8" w:rsidP="00E954C8">
      <w:pPr>
        <w:overflowPunct/>
        <w:ind w:firstLine="567"/>
        <w:jc w:val="left"/>
        <w:textAlignment w:val="auto"/>
        <w:rPr>
          <w:rFonts w:ascii="ArialMT" w:hAnsi="ArialMT" w:cs="ArialMT"/>
          <w:szCs w:val="18"/>
        </w:rPr>
      </w:pPr>
      <w:r>
        <w:rPr>
          <w:rFonts w:ascii="ArialMT" w:hAnsi="ArialMT" w:cs="ArialMT"/>
          <w:szCs w:val="18"/>
        </w:rPr>
        <w:t>případně objednávky, případně jiné relevantní dokumenty, kterými Klient prokáže účelovost Čerpání Úvěru.</w:t>
      </w:r>
    </w:p>
    <w:p w:rsidR="00E954C8" w:rsidRDefault="00E954C8" w:rsidP="00E954C8">
      <w:pPr>
        <w:overflowPunct/>
        <w:ind w:firstLine="567"/>
        <w:jc w:val="left"/>
        <w:textAlignment w:val="auto"/>
        <w:rPr>
          <w:rFonts w:ascii="ArialMT" w:hAnsi="ArialMT" w:cs="ArialMT"/>
          <w:szCs w:val="18"/>
        </w:rPr>
      </w:pPr>
      <w:r>
        <w:rPr>
          <w:rFonts w:ascii="ArialMT" w:hAnsi="ArialMT" w:cs="ArialMT"/>
          <w:szCs w:val="18"/>
        </w:rPr>
        <w:t>Čerpání bude provedeno:</w:t>
      </w:r>
    </w:p>
    <w:p w:rsidR="00E954C8" w:rsidRDefault="00E954C8" w:rsidP="00E954C8">
      <w:pPr>
        <w:overflowPunct/>
        <w:ind w:firstLine="567"/>
        <w:jc w:val="left"/>
        <w:textAlignment w:val="auto"/>
        <w:rPr>
          <w:rFonts w:ascii="ArialMT" w:hAnsi="ArialMT" w:cs="ArialMT"/>
          <w:szCs w:val="18"/>
        </w:rPr>
      </w:pPr>
      <w:r>
        <w:rPr>
          <w:rFonts w:ascii="ArialMT" w:hAnsi="ArialMT" w:cs="ArialMT"/>
          <w:szCs w:val="18"/>
        </w:rPr>
        <w:t>a) na účet dodavatele</w:t>
      </w:r>
    </w:p>
    <w:p w:rsidR="00E954C8" w:rsidRDefault="00E954C8" w:rsidP="00E954C8">
      <w:pPr>
        <w:overflowPunct/>
        <w:ind w:firstLine="567"/>
        <w:jc w:val="left"/>
        <w:textAlignment w:val="auto"/>
        <w:rPr>
          <w:rFonts w:ascii="ArialMT" w:hAnsi="ArialMT" w:cs="ArialMT"/>
          <w:szCs w:val="18"/>
        </w:rPr>
      </w:pPr>
      <w:r>
        <w:rPr>
          <w:rFonts w:ascii="ArialMT" w:hAnsi="ArialMT" w:cs="ArialMT"/>
          <w:szCs w:val="18"/>
        </w:rPr>
        <w:t>nebo</w:t>
      </w:r>
    </w:p>
    <w:p w:rsidR="00E954C8" w:rsidRDefault="00E954C8" w:rsidP="00E954C8">
      <w:pPr>
        <w:overflowPunct/>
        <w:ind w:left="567"/>
        <w:jc w:val="left"/>
        <w:textAlignment w:val="auto"/>
        <w:rPr>
          <w:rFonts w:ascii="ArialMT" w:hAnsi="ArialMT" w:cs="ArialMT"/>
          <w:szCs w:val="18"/>
        </w:rPr>
      </w:pPr>
      <w:r>
        <w:rPr>
          <w:rFonts w:ascii="ArialMT" w:hAnsi="ArialMT" w:cs="ArialMT"/>
          <w:szCs w:val="18"/>
        </w:rPr>
        <w:t>b) na Běžný účet Klienta po doložení úhrady dokladů z vlastních prostředků Klienta (v případě prací realizovaných ve vlastní režii – předložení soupisu prací, případně faktur za dodávky materiálu s prohlášením klienta, že tyto práce, případně faktury, souvisí s financovanou akcí a že tyto náklady již uhradil- prohlášení bud</w:t>
      </w:r>
      <w:r w:rsidR="00BA3C88">
        <w:rPr>
          <w:rFonts w:ascii="ArialMT" w:hAnsi="ArialMT" w:cs="ArialMT"/>
          <w:szCs w:val="18"/>
        </w:rPr>
        <w:t>e ve znění akceptovatelném pro B</w:t>
      </w:r>
      <w:r>
        <w:rPr>
          <w:rFonts w:ascii="ArialMT" w:hAnsi="ArialMT" w:cs="ArialMT"/>
          <w:szCs w:val="18"/>
        </w:rPr>
        <w:t>anku</w:t>
      </w:r>
      <w:r w:rsidR="00BA3C88">
        <w:rPr>
          <w:rFonts w:ascii="ArialMT" w:hAnsi="ArialMT" w:cs="ArialMT"/>
          <w:szCs w:val="18"/>
        </w:rPr>
        <w:t>),</w:t>
      </w:r>
    </w:p>
    <w:p w:rsidR="00E954C8" w:rsidRDefault="00E954C8" w:rsidP="00E954C8">
      <w:pPr>
        <w:overflowPunct/>
        <w:ind w:firstLine="567"/>
        <w:jc w:val="left"/>
        <w:textAlignment w:val="auto"/>
        <w:rPr>
          <w:rFonts w:ascii="ArialMT" w:hAnsi="ArialMT" w:cs="ArialMT"/>
          <w:szCs w:val="18"/>
        </w:rPr>
      </w:pPr>
      <w:r>
        <w:rPr>
          <w:rFonts w:ascii="ArialMT" w:hAnsi="ArialMT" w:cs="ArialMT"/>
          <w:szCs w:val="18"/>
        </w:rPr>
        <w:t>nebo</w:t>
      </w:r>
    </w:p>
    <w:p w:rsidR="00E954C8" w:rsidRDefault="00E954C8" w:rsidP="00E954C8">
      <w:pPr>
        <w:overflowPunct/>
        <w:ind w:firstLine="567"/>
        <w:jc w:val="left"/>
        <w:textAlignment w:val="auto"/>
        <w:rPr>
          <w:rFonts w:ascii="ArialMT" w:hAnsi="ArialMT" w:cs="ArialMT"/>
          <w:szCs w:val="18"/>
        </w:rPr>
      </w:pPr>
      <w:r>
        <w:rPr>
          <w:rFonts w:ascii="ArialMT" w:hAnsi="ArialMT" w:cs="ArialMT"/>
          <w:szCs w:val="18"/>
        </w:rPr>
        <w:t>c) na Běžný účet Klienta, pokud Klient současně předloží převodní příkaz k úhradě částky uvedené</w:t>
      </w:r>
    </w:p>
    <w:p w:rsidR="00E954C8" w:rsidRDefault="00E954C8" w:rsidP="00E954C8">
      <w:pPr>
        <w:overflowPunct/>
        <w:ind w:firstLine="567"/>
        <w:jc w:val="left"/>
        <w:textAlignment w:val="auto"/>
        <w:rPr>
          <w:rFonts w:ascii="ArialMT" w:hAnsi="ArialMT" w:cs="ArialMT"/>
          <w:szCs w:val="18"/>
        </w:rPr>
      </w:pPr>
      <w:r>
        <w:rPr>
          <w:rFonts w:ascii="ArialMT" w:hAnsi="ArialMT" w:cs="ArialMT"/>
          <w:szCs w:val="18"/>
        </w:rPr>
        <w:t>v Žádosti s tím, že tato částka bude čerpána na vrub Běžného účtu Klienta, a převedena na účet</w:t>
      </w:r>
    </w:p>
    <w:p w:rsidR="00E954C8" w:rsidRDefault="00E954C8" w:rsidP="00E954C8">
      <w:pPr>
        <w:overflowPunct/>
        <w:ind w:firstLine="567"/>
        <w:jc w:val="left"/>
        <w:textAlignment w:val="auto"/>
        <w:rPr>
          <w:rFonts w:ascii="ArialMT" w:hAnsi="ArialMT" w:cs="ArialMT"/>
          <w:szCs w:val="18"/>
        </w:rPr>
      </w:pPr>
      <w:r>
        <w:rPr>
          <w:rFonts w:ascii="ArialMT" w:hAnsi="ArialMT" w:cs="ArialMT"/>
          <w:szCs w:val="18"/>
        </w:rPr>
        <w:t>uvedený na předloženém dokladu</w:t>
      </w:r>
      <w:r w:rsidR="00BA3C88">
        <w:rPr>
          <w:rFonts w:ascii="ArialMT" w:hAnsi="ArialMT" w:cs="ArialMT"/>
          <w:szCs w:val="18"/>
        </w:rPr>
        <w:t>.</w:t>
      </w:r>
    </w:p>
    <w:p w:rsidR="00E954C8" w:rsidRDefault="00E954C8" w:rsidP="00E954C8">
      <w:pPr>
        <w:overflowPunct/>
        <w:ind w:left="567"/>
        <w:textAlignment w:val="auto"/>
        <w:rPr>
          <w:rFonts w:ascii="ArialMT" w:hAnsi="ArialMT" w:cs="ArialMT"/>
          <w:szCs w:val="18"/>
        </w:rPr>
      </w:pPr>
    </w:p>
    <w:p w:rsidR="00E954C8" w:rsidRDefault="00E954C8" w:rsidP="00E954C8">
      <w:pPr>
        <w:overflowPunct/>
        <w:ind w:left="567"/>
        <w:textAlignment w:val="auto"/>
        <w:rPr>
          <w:rFonts w:ascii="ArialMT" w:hAnsi="ArialMT" w:cs="ArialMT"/>
          <w:szCs w:val="18"/>
        </w:rPr>
      </w:pPr>
      <w:r>
        <w:rPr>
          <w:rFonts w:ascii="ArialMT" w:hAnsi="ArialMT" w:cs="ArialMT"/>
          <w:szCs w:val="18"/>
        </w:rPr>
        <w:t>Čerpání bude provedeno ve výši 100 % fakturované částky bez DPH.</w:t>
      </w:r>
    </w:p>
    <w:p w:rsidR="00ED46CE" w:rsidRDefault="00ED46CE" w:rsidP="00E954C8">
      <w:pPr>
        <w:overflowPunct/>
        <w:ind w:left="567"/>
        <w:textAlignment w:val="auto"/>
        <w:rPr>
          <w:rFonts w:ascii="ArialMT" w:hAnsi="ArialMT" w:cs="ArialMT"/>
          <w:szCs w:val="18"/>
        </w:rPr>
      </w:pPr>
    </w:p>
    <w:p w:rsidR="00ED46CE" w:rsidRPr="00E954C8" w:rsidRDefault="00ED46CE" w:rsidP="00ED46CE">
      <w:pPr>
        <w:spacing w:before="120"/>
        <w:ind w:left="425" w:firstLine="142"/>
        <w:rPr>
          <w:u w:val="single"/>
        </w:rPr>
      </w:pPr>
      <w:r>
        <w:rPr>
          <w:rFonts w:cs="Arial"/>
          <w:b/>
          <w:u w:val="single"/>
        </w:rPr>
        <w:t>Znění článku 8.2.2</w:t>
      </w:r>
      <w:r w:rsidRPr="00E954C8">
        <w:rPr>
          <w:rFonts w:cs="Arial"/>
          <w:b/>
          <w:u w:val="single"/>
        </w:rPr>
        <w:t xml:space="preserve"> Smlouvy se ruší a nahrazuje následujícím zněním:</w:t>
      </w:r>
    </w:p>
    <w:p w:rsidR="00ED46CE" w:rsidRDefault="00ED46CE" w:rsidP="00E954C8">
      <w:pPr>
        <w:overflowPunct/>
        <w:ind w:left="567"/>
        <w:textAlignment w:val="auto"/>
        <w:rPr>
          <w:rFonts w:ascii="ArialMT" w:hAnsi="ArialMT" w:cs="ArialMT"/>
          <w:szCs w:val="18"/>
        </w:rPr>
      </w:pPr>
    </w:p>
    <w:p w:rsidR="00ED46CE" w:rsidRDefault="00ED46CE" w:rsidP="00E954C8">
      <w:pPr>
        <w:overflowPunct/>
        <w:ind w:left="567"/>
        <w:textAlignment w:val="auto"/>
        <w:rPr>
          <w:rFonts w:ascii="ArialMT" w:hAnsi="ArialMT" w:cs="ArialMT"/>
          <w:szCs w:val="18"/>
        </w:rPr>
      </w:pPr>
    </w:p>
    <w:p w:rsidR="00ED46CE" w:rsidRDefault="00ED46CE" w:rsidP="00ED46CE">
      <w:pPr>
        <w:ind w:left="567" w:hanging="567"/>
        <w:rPr>
          <w:szCs w:val="18"/>
        </w:rPr>
      </w:pPr>
      <w:r>
        <w:rPr>
          <w:szCs w:val="18"/>
        </w:rPr>
        <w:t>8.2.2</w:t>
      </w:r>
      <w:r>
        <w:rPr>
          <w:szCs w:val="18"/>
        </w:rPr>
        <w:tab/>
      </w:r>
      <w:r w:rsidRPr="00522217">
        <w:rPr>
          <w:szCs w:val="18"/>
        </w:rPr>
        <w:t xml:space="preserve">Odkládací podmínkou </w:t>
      </w:r>
      <w:r>
        <w:rPr>
          <w:szCs w:val="18"/>
        </w:rPr>
        <w:t xml:space="preserve">každého </w:t>
      </w:r>
      <w:r w:rsidRPr="00522217">
        <w:rPr>
          <w:szCs w:val="18"/>
        </w:rPr>
        <w:t>čerpání je</w:t>
      </w:r>
    </w:p>
    <w:p w:rsidR="00ED46CE" w:rsidRPr="00522217" w:rsidRDefault="00ED46CE" w:rsidP="00ED46CE">
      <w:pPr>
        <w:ind w:left="567" w:hanging="567"/>
        <w:rPr>
          <w:szCs w:val="18"/>
        </w:rPr>
      </w:pPr>
    </w:p>
    <w:p w:rsidR="00ED46CE" w:rsidRDefault="00ED46CE" w:rsidP="00ED46CE">
      <w:pPr>
        <w:ind w:left="992" w:hanging="425"/>
        <w:rPr>
          <w:szCs w:val="18"/>
        </w:rPr>
      </w:pPr>
      <w:r w:rsidRPr="00522217">
        <w:rPr>
          <w:szCs w:val="18"/>
        </w:rPr>
        <w:t xml:space="preserve">- </w:t>
      </w:r>
      <w:r>
        <w:rPr>
          <w:szCs w:val="18"/>
        </w:rPr>
        <w:tab/>
      </w:r>
      <w:r w:rsidRPr="00522217">
        <w:rPr>
          <w:szCs w:val="18"/>
        </w:rPr>
        <w:t>v případě dodavatelských prací - předložení smlouvy (případně smluv) o dílo na Objekt úvěru uzavřené mezi Klientem a</w:t>
      </w:r>
      <w:r>
        <w:rPr>
          <w:szCs w:val="18"/>
        </w:rPr>
        <w:t xml:space="preserve"> </w:t>
      </w:r>
      <w:r w:rsidRPr="00522217">
        <w:rPr>
          <w:szCs w:val="18"/>
        </w:rPr>
        <w:t>dodavatelem, která bude prokazovat sjednání pevné ceny,</w:t>
      </w:r>
    </w:p>
    <w:p w:rsidR="00ED46CE" w:rsidRPr="00522217" w:rsidRDefault="00ED46CE" w:rsidP="00ED46CE">
      <w:pPr>
        <w:ind w:left="992" w:hanging="425"/>
        <w:rPr>
          <w:szCs w:val="18"/>
        </w:rPr>
      </w:pPr>
    </w:p>
    <w:p w:rsidR="00ED46CE" w:rsidRDefault="00ED46CE" w:rsidP="00ED46CE">
      <w:pPr>
        <w:ind w:left="992" w:hanging="425"/>
        <w:rPr>
          <w:rFonts w:ascii="ArialMT" w:hAnsi="ArialMT" w:cs="ArialMT"/>
          <w:szCs w:val="18"/>
        </w:rPr>
      </w:pPr>
      <w:r>
        <w:rPr>
          <w:szCs w:val="18"/>
        </w:rPr>
        <w:t>-</w:t>
      </w:r>
      <w:r>
        <w:rPr>
          <w:szCs w:val="18"/>
        </w:rPr>
        <w:tab/>
      </w:r>
      <w:r>
        <w:rPr>
          <w:rFonts w:ascii="ArialMT" w:hAnsi="ArialMT" w:cs="ArialMT"/>
          <w:szCs w:val="18"/>
        </w:rPr>
        <w:t>Čerpání části úvěru určeného na financování realizované etapy rekonstrukce teplovodu je předložení Plánu investic pro r.2018, kde pro tu</w:t>
      </w:r>
      <w:r w:rsidR="00BA3C88">
        <w:rPr>
          <w:rFonts w:ascii="ArialMT" w:hAnsi="ArialMT" w:cs="ArialMT"/>
          <w:szCs w:val="18"/>
        </w:rPr>
        <w:t>to akci bude schválena částka 2 </w:t>
      </w:r>
      <w:r>
        <w:rPr>
          <w:rFonts w:ascii="ArialMT" w:hAnsi="ArialMT" w:cs="ArialMT"/>
          <w:szCs w:val="18"/>
        </w:rPr>
        <w:t>5</w:t>
      </w:r>
      <w:r w:rsidR="00BA3C88">
        <w:rPr>
          <w:rFonts w:ascii="ArialMT" w:hAnsi="ArialMT" w:cs="ArialMT"/>
          <w:szCs w:val="18"/>
        </w:rPr>
        <w:t xml:space="preserve">00 000,00 </w:t>
      </w:r>
      <w:r>
        <w:rPr>
          <w:rFonts w:ascii="ArialMT" w:hAnsi="ArialMT" w:cs="ArialMT"/>
          <w:szCs w:val="18"/>
        </w:rPr>
        <w:t>Kč.</w:t>
      </w:r>
    </w:p>
    <w:p w:rsidR="00F2303B" w:rsidRDefault="00F2303B" w:rsidP="00E954C8">
      <w:pPr>
        <w:overflowPunct/>
        <w:ind w:left="567"/>
        <w:textAlignment w:val="auto"/>
        <w:rPr>
          <w:rFonts w:ascii="ArialMT" w:hAnsi="ArialMT" w:cs="ArialMT"/>
          <w:szCs w:val="18"/>
        </w:rPr>
      </w:pPr>
    </w:p>
    <w:p w:rsidR="00E954C8" w:rsidRPr="00E954C8" w:rsidRDefault="00E954C8" w:rsidP="00E954C8">
      <w:pPr>
        <w:spacing w:before="120"/>
        <w:ind w:left="425" w:firstLine="142"/>
        <w:rPr>
          <w:u w:val="single"/>
        </w:rPr>
      </w:pPr>
      <w:r w:rsidRPr="00E954C8">
        <w:rPr>
          <w:rFonts w:cs="Arial"/>
          <w:b/>
          <w:u w:val="single"/>
        </w:rPr>
        <w:t>Znění článku 8.</w:t>
      </w:r>
      <w:r>
        <w:rPr>
          <w:rFonts w:cs="Arial"/>
          <w:b/>
          <w:u w:val="single"/>
        </w:rPr>
        <w:t>3</w:t>
      </w:r>
      <w:r w:rsidRPr="00E954C8">
        <w:rPr>
          <w:rFonts w:cs="Arial"/>
          <w:b/>
          <w:u w:val="single"/>
        </w:rPr>
        <w:t>.1 Smlouvy se ruší a nahrazuje následujícím zněním:</w:t>
      </w:r>
    </w:p>
    <w:p w:rsidR="00E954C8" w:rsidRDefault="00E954C8" w:rsidP="00E954C8">
      <w:pPr>
        <w:overflowPunct/>
        <w:ind w:left="567"/>
        <w:textAlignment w:val="auto"/>
        <w:rPr>
          <w:rFonts w:ascii="ArialMT" w:hAnsi="ArialMT" w:cs="ArialMT"/>
          <w:szCs w:val="18"/>
        </w:rPr>
      </w:pPr>
    </w:p>
    <w:p w:rsidR="00E954C8" w:rsidRPr="001213D4" w:rsidRDefault="00E954C8" w:rsidP="00E954C8">
      <w:pPr>
        <w:pStyle w:val="StylVlevo0cmPedsazen075cmVpravo-001cm"/>
      </w:pPr>
      <w:r>
        <w:t>8.3.1</w:t>
      </w:r>
      <w:r>
        <w:tab/>
      </w:r>
      <w:r>
        <w:rPr>
          <w:rFonts w:ascii="ArialMT" w:hAnsi="ArialMT" w:cs="ArialMT"/>
          <w:szCs w:val="18"/>
        </w:rPr>
        <w:t>Klient se zavazuje zajistit, aby:</w:t>
      </w:r>
    </w:p>
    <w:p w:rsidR="00E954C8" w:rsidRDefault="00D61A6C" w:rsidP="00E954C8">
      <w:pPr>
        <w:overflowPunct/>
        <w:ind w:firstLine="567"/>
        <w:jc w:val="left"/>
        <w:textAlignment w:val="auto"/>
        <w:rPr>
          <w:rFonts w:ascii="ArialMT" w:hAnsi="ArialMT" w:cs="ArialMT"/>
          <w:szCs w:val="18"/>
        </w:rPr>
      </w:pPr>
      <w:r>
        <w:rPr>
          <w:rFonts w:ascii="ArialMT" w:hAnsi="ArialMT" w:cs="ArialMT"/>
          <w:szCs w:val="18"/>
        </w:rPr>
        <w:lastRenderedPageBreak/>
        <w:t xml:space="preserve">-      </w:t>
      </w:r>
      <w:r w:rsidR="00E954C8">
        <w:rPr>
          <w:rFonts w:ascii="ArialMT" w:hAnsi="ArialMT" w:cs="ArialMT"/>
          <w:szCs w:val="18"/>
        </w:rPr>
        <w:t>celkové náklady na stavbu Vinného sklepa nepřesáhly částku 4 100 000,00 Kč</w:t>
      </w:r>
    </w:p>
    <w:p w:rsidR="00E954C8" w:rsidRDefault="00E954C8" w:rsidP="00E954C8">
      <w:pPr>
        <w:overflowPunct/>
        <w:ind w:firstLine="567"/>
        <w:jc w:val="left"/>
        <w:textAlignment w:val="auto"/>
        <w:rPr>
          <w:rFonts w:ascii="ArialMT" w:hAnsi="ArialMT" w:cs="ArialMT"/>
          <w:szCs w:val="18"/>
        </w:rPr>
      </w:pPr>
    </w:p>
    <w:p w:rsidR="00E954C8" w:rsidRPr="007713C5" w:rsidRDefault="00E954C8" w:rsidP="00E954C8">
      <w:pPr>
        <w:pStyle w:val="StylVlevo0cmPedsazen075cmVpravo-001cm"/>
        <w:numPr>
          <w:ilvl w:val="0"/>
          <w:numId w:val="2"/>
        </w:numPr>
      </w:pPr>
      <w:r>
        <w:rPr>
          <w:rFonts w:ascii="ArialMT" w:hAnsi="ArialMT" w:cs="ArialMT"/>
          <w:szCs w:val="18"/>
        </w:rPr>
        <w:t>náklady na financovanou část rekonstrukce teplovodu nepřesáhly částku 2 500 000,00 Kč</w:t>
      </w:r>
      <w:r w:rsidR="00451DD7">
        <w:rPr>
          <w:rFonts w:ascii="ArialMT" w:hAnsi="ArialMT" w:cs="ArialMT"/>
          <w:szCs w:val="18"/>
        </w:rPr>
        <w:t>.</w:t>
      </w:r>
    </w:p>
    <w:p w:rsidR="007713C5" w:rsidRDefault="007713C5" w:rsidP="007713C5">
      <w:pPr>
        <w:pStyle w:val="StylVlevo0cmPedsazen075cmVpravo-001cm"/>
        <w:rPr>
          <w:rFonts w:ascii="ArialMT" w:hAnsi="ArialMT" w:cs="ArialMT"/>
          <w:szCs w:val="18"/>
        </w:rPr>
      </w:pPr>
    </w:p>
    <w:p w:rsidR="007713C5" w:rsidRPr="00E954C8" w:rsidRDefault="007713C5" w:rsidP="007713C5">
      <w:pPr>
        <w:spacing w:before="120"/>
        <w:ind w:left="425" w:firstLine="142"/>
        <w:rPr>
          <w:u w:val="single"/>
        </w:rPr>
      </w:pPr>
      <w:r w:rsidRPr="00E954C8">
        <w:rPr>
          <w:rFonts w:cs="Arial"/>
          <w:b/>
          <w:u w:val="single"/>
        </w:rPr>
        <w:t>Znění článku 8.</w:t>
      </w:r>
      <w:r>
        <w:rPr>
          <w:rFonts w:cs="Arial"/>
          <w:b/>
          <w:u w:val="single"/>
        </w:rPr>
        <w:t>3.2</w:t>
      </w:r>
      <w:r w:rsidRPr="00E954C8">
        <w:rPr>
          <w:rFonts w:cs="Arial"/>
          <w:b/>
          <w:u w:val="single"/>
        </w:rPr>
        <w:t xml:space="preserve"> Smlouvy se ruší a nahrazuje následujícím zněním:</w:t>
      </w:r>
    </w:p>
    <w:p w:rsidR="007713C5" w:rsidRDefault="007713C5" w:rsidP="007713C5">
      <w:pPr>
        <w:pStyle w:val="StylVlevo0cmPedsazen075cmVpravo-001cm"/>
      </w:pPr>
    </w:p>
    <w:p w:rsidR="007713C5" w:rsidRPr="00815E88" w:rsidRDefault="007713C5" w:rsidP="007713C5">
      <w:pPr>
        <w:pStyle w:val="StylVlevo0cmPedsazen075cmVpravo-001cm"/>
      </w:pPr>
      <w:r>
        <w:t>8.3.2</w:t>
      </w:r>
      <w:r>
        <w:tab/>
      </w:r>
      <w:r w:rsidRPr="00295532">
        <w:t xml:space="preserve">Klient se zavazuje, že po celou dobu účinnosti této Smlouvy bude ukazatel Tvorba zdrojů činit minimálně CZK </w:t>
      </w:r>
      <w:r>
        <w:t>1 000 000,00</w:t>
      </w:r>
      <w:r w:rsidRPr="00295532">
        <w:rPr>
          <w:vanish/>
          <w:color w:val="FF0000"/>
          <w:sz w:val="16"/>
        </w:rPr>
        <w:t>(CASTKA_1 – uveďte částku)</w:t>
      </w:r>
      <w:r w:rsidRPr="00295532">
        <w:t xml:space="preserve">. Tento finanční ukazatel se vypočte takto: Úpravy hodnot dlouhodobého nehmotného a hmotného majetku-trvalé + Výsledek hospodaření za účetní období. Tento finanční ukazatel bude hodnocen </w:t>
      </w:r>
      <w:r>
        <w:t>ročně</w:t>
      </w:r>
      <w:r w:rsidRPr="00295532">
        <w:rPr>
          <w:vanish/>
          <w:color w:val="FF0000"/>
          <w:sz w:val="16"/>
        </w:rPr>
        <w:t>(OBDOBI_1_MESICNE_CTVRTLETNE_POLOLETNE_ROCNE – měsíčně/čtvrtletně/pololetně/ročně)</w:t>
      </w:r>
      <w:r w:rsidRPr="00295532">
        <w:t>.</w:t>
      </w:r>
    </w:p>
    <w:p w:rsidR="00815E88" w:rsidRDefault="00815E88" w:rsidP="00815E88">
      <w:pPr>
        <w:pStyle w:val="StylVlevo0cmPedsazen075cmVpravo-001cm"/>
        <w:rPr>
          <w:rFonts w:ascii="ArialMT" w:hAnsi="ArialMT" w:cs="ArialMT"/>
          <w:szCs w:val="18"/>
        </w:rPr>
      </w:pPr>
    </w:p>
    <w:p w:rsidR="00815E88" w:rsidRPr="00E954C8" w:rsidRDefault="00815E88" w:rsidP="00815E88">
      <w:pPr>
        <w:spacing w:before="120"/>
        <w:ind w:left="425" w:firstLine="142"/>
        <w:rPr>
          <w:u w:val="single"/>
        </w:rPr>
      </w:pPr>
      <w:r w:rsidRPr="00E954C8">
        <w:rPr>
          <w:rFonts w:cs="Arial"/>
          <w:b/>
          <w:u w:val="single"/>
        </w:rPr>
        <w:t>Znění článku 8.</w:t>
      </w:r>
      <w:r>
        <w:rPr>
          <w:rFonts w:cs="Arial"/>
          <w:b/>
          <w:u w:val="single"/>
        </w:rPr>
        <w:t>3.5</w:t>
      </w:r>
      <w:r w:rsidRPr="00E954C8">
        <w:rPr>
          <w:rFonts w:cs="Arial"/>
          <w:b/>
          <w:u w:val="single"/>
        </w:rPr>
        <w:t xml:space="preserve"> Smlouvy se ruší a nahrazuje následujícím zněním:</w:t>
      </w:r>
    </w:p>
    <w:p w:rsidR="00815E88" w:rsidRDefault="00815E88" w:rsidP="00815E88">
      <w:pPr>
        <w:overflowPunct/>
        <w:ind w:left="567"/>
        <w:textAlignment w:val="auto"/>
        <w:rPr>
          <w:rFonts w:ascii="ArialMT" w:hAnsi="ArialMT" w:cs="ArialMT"/>
          <w:szCs w:val="18"/>
        </w:rPr>
      </w:pPr>
    </w:p>
    <w:p w:rsidR="00815E88" w:rsidRPr="00460782" w:rsidRDefault="00815E88" w:rsidP="00815E88">
      <w:pPr>
        <w:pStyle w:val="StylVlevo0cmPedsazen075cmVpravo-001cm"/>
      </w:pPr>
      <w:r>
        <w:t>8.3.5</w:t>
      </w:r>
      <w:r>
        <w:tab/>
      </w:r>
      <w:r w:rsidRPr="00460782">
        <w:t>Klient se zavazuje předkládat Bance následující finanční výkazy:</w:t>
      </w:r>
    </w:p>
    <w:p w:rsidR="00815E88" w:rsidRPr="00460782" w:rsidRDefault="00815E88" w:rsidP="00815E88">
      <w:pPr>
        <w:ind w:left="1134" w:hanging="284"/>
      </w:pPr>
      <w:r w:rsidRPr="00460782">
        <w:t>a)</w:t>
      </w:r>
      <w:r w:rsidRPr="00460782">
        <w:tab/>
        <w:t xml:space="preserve">výkazy v plném rozsahu rozvahy, výkazu zisků a ztrát a rozbor pohledávek a dluhů/závazků z obchodního styku Klienta do jejich splatnosti a po jejich splatnosti </w:t>
      </w:r>
      <w:r>
        <w:t>čtvrtletně</w:t>
      </w:r>
      <w:r>
        <w:tab/>
      </w:r>
      <w:r w:rsidRPr="00460782">
        <w:rPr>
          <w:rFonts w:cs="Arial"/>
          <w:vanish/>
          <w:color w:val="FF0000"/>
          <w:sz w:val="16"/>
        </w:rPr>
        <w:t>(OBDOBI_1_CTVRTLETNE_POLOLETNE – vyberte: čtvrtletně/pololetně)</w:t>
      </w:r>
      <w:r w:rsidRPr="00460782">
        <w:rPr>
          <w:rFonts w:cs="Arial"/>
          <w:sz w:val="16"/>
        </w:rPr>
        <w:t xml:space="preserve"> </w:t>
      </w:r>
      <w:r w:rsidRPr="00460782">
        <w:t xml:space="preserve">– nejpozději do </w:t>
      </w:r>
      <w:r>
        <w:t>30</w:t>
      </w:r>
      <w:r w:rsidRPr="00460782">
        <w:rPr>
          <w:rFonts w:cs="Arial"/>
          <w:vanish/>
          <w:color w:val="FF0000"/>
          <w:sz w:val="16"/>
        </w:rPr>
        <w:t xml:space="preserve">(POCET_DNU_4- např. </w:t>
      </w:r>
      <w:r w:rsidRPr="00460782">
        <w:rPr>
          <w:vanish/>
          <w:color w:val="FF0000"/>
          <w:sz w:val="16"/>
        </w:rPr>
        <w:t>30 dnů</w:t>
      </w:r>
      <w:r w:rsidRPr="00460782">
        <w:rPr>
          <w:rFonts w:cs="Arial"/>
          <w:vanish/>
          <w:color w:val="FF0000"/>
          <w:sz w:val="16"/>
        </w:rPr>
        <w:t>)</w:t>
      </w:r>
      <w:r w:rsidRPr="00460782">
        <w:t xml:space="preserve"> dnů</w:t>
      </w:r>
      <w:r w:rsidRPr="00460782" w:rsidDel="000856B4">
        <w:t xml:space="preserve"> </w:t>
      </w:r>
      <w:r w:rsidRPr="00460782">
        <w:t xml:space="preserve">po skončení kalendářního </w:t>
      </w:r>
      <w:r>
        <w:t>čtvrtletí</w:t>
      </w:r>
      <w:r w:rsidRPr="00460782">
        <w:rPr>
          <w:rFonts w:cs="Arial"/>
          <w:vanish/>
          <w:color w:val="FF0000"/>
          <w:sz w:val="16"/>
        </w:rPr>
        <w:t xml:space="preserve">(OBDOBI_1_CTVRTLETI_POLOLETI – vyberte: </w:t>
      </w:r>
      <w:r w:rsidRPr="00460782">
        <w:rPr>
          <w:vanish/>
          <w:color w:val="FF0000"/>
          <w:sz w:val="16"/>
        </w:rPr>
        <w:t>čtvrtletí/pololetí</w:t>
      </w:r>
      <w:r w:rsidRPr="00460782">
        <w:rPr>
          <w:rFonts w:cs="Arial"/>
          <w:vanish/>
          <w:color w:val="FF0000"/>
          <w:sz w:val="16"/>
        </w:rPr>
        <w:t>)</w:t>
      </w:r>
      <w:r w:rsidRPr="00460782" w:rsidDel="000856B4">
        <w:t xml:space="preserve"> </w:t>
      </w:r>
      <w:r w:rsidRPr="00460782">
        <w:t>(s výjimkou konce příslušného účetního období);</w:t>
      </w:r>
    </w:p>
    <w:p w:rsidR="00815E88" w:rsidRPr="00460782" w:rsidRDefault="00815E88" w:rsidP="00815E88">
      <w:pPr>
        <w:ind w:left="1134" w:hanging="284"/>
      </w:pPr>
      <w:r w:rsidRPr="00460782">
        <w:t>b)</w:t>
      </w:r>
      <w:r w:rsidRPr="00460782">
        <w:tab/>
        <w:t xml:space="preserve">předběžné účetní výkazy v plném rozsahu rozvahy a výkazů zisků a ztrát a rozbor pohledávek a dluhů/závazků z obchodního styku Klienta do jejich splatnosti a po jejich splatnosti – do </w:t>
      </w:r>
      <w:r>
        <w:t>90</w:t>
      </w:r>
      <w:r w:rsidRPr="00460782">
        <w:rPr>
          <w:rFonts w:cs="Arial"/>
          <w:vanish/>
          <w:color w:val="FF0000"/>
          <w:sz w:val="16"/>
        </w:rPr>
        <w:t>(POCET_DNU_1- např. 90 dnů)</w:t>
      </w:r>
      <w:r w:rsidRPr="00460782">
        <w:t xml:space="preserve"> dnů po skončení příslušného účetního období;</w:t>
      </w:r>
    </w:p>
    <w:p w:rsidR="00815E88" w:rsidRPr="00460782" w:rsidRDefault="00815E88" w:rsidP="00815E88">
      <w:pPr>
        <w:ind w:left="1134" w:hanging="284"/>
      </w:pPr>
      <w:r w:rsidRPr="00460782">
        <w:t>c)</w:t>
      </w:r>
      <w:r w:rsidRPr="00460782">
        <w:tab/>
        <w:t xml:space="preserve">účetní závěrku opatřenou podpisem Klienta, tj. finanční výkazy v plném rozsahu rozvahy, výkazu zisků a ztrát a její přílohu, včetně zprávy auditora a výroční zprávy, pokud ze zákona vyplývá pro Klienta povinnost ověření účetní závěrky auditorem – do </w:t>
      </w:r>
      <w:r>
        <w:t>180</w:t>
      </w:r>
      <w:r w:rsidRPr="00460782">
        <w:rPr>
          <w:rFonts w:cs="Arial"/>
          <w:vanish/>
          <w:color w:val="FF0000"/>
          <w:sz w:val="16"/>
        </w:rPr>
        <w:t>(POCET_DNU_2– např. 180 dnů)</w:t>
      </w:r>
      <w:r w:rsidRPr="00460782">
        <w:t xml:space="preserve"> dnů po skončení příslušného účetního období; </w:t>
      </w:r>
    </w:p>
    <w:p w:rsidR="00815E88" w:rsidRPr="00460782" w:rsidRDefault="00815E88" w:rsidP="00815E88">
      <w:pPr>
        <w:ind w:left="1134" w:hanging="284"/>
      </w:pPr>
      <w:r w:rsidRPr="00460782">
        <w:t>d)</w:t>
      </w:r>
      <w:r w:rsidRPr="00460782">
        <w:tab/>
      </w:r>
      <w:r w:rsidRPr="00460782">
        <w:rPr>
          <w:szCs w:val="18"/>
        </w:rPr>
        <w:t>konsolidovanou účetní závěrku, pokud je Klient povinen podle platných právních předpisů takovou účetní závěrku vyhotovit.</w:t>
      </w:r>
    </w:p>
    <w:p w:rsidR="00815E88" w:rsidRPr="00460782" w:rsidRDefault="00815E88" w:rsidP="00815E88">
      <w:pPr>
        <w:pStyle w:val="StylVlevo0cmPedsazen075cmVpravo-001cm"/>
        <w:ind w:left="1134" w:firstLine="0"/>
      </w:pPr>
      <w:r w:rsidRPr="00460782">
        <w:t xml:space="preserve">Klient, který v souladu s platnými právními předpisy vede daňovou evidenci, se zavazuje předkládat Bance namísto výkazů uvedených výše v tomto odstavci, kopii nebo stejnopis přiznání k dani z příjmu v listinné podobě opatřený podpisem Klienta, a to do </w:t>
      </w:r>
      <w:r>
        <w:t>180</w:t>
      </w:r>
      <w:r w:rsidRPr="00460782">
        <w:rPr>
          <w:rFonts w:cs="Arial"/>
          <w:vanish/>
          <w:color w:val="FF0000"/>
          <w:sz w:val="16"/>
        </w:rPr>
        <w:t>(POCET_DNU_3– např. 180 dnů)</w:t>
      </w:r>
      <w:r w:rsidRPr="00460782">
        <w:t xml:space="preserve"> dnů po skončení příslušného zdaňovacího období, a dále pak přehled svých pohledávek a dluhů/závazků z obchodního styku, popřípadě další informace a doklady stanovené Bankou, a to bez zbytečného odkladu poté, co Banka Klienta o předložení přehledu pohledávek a dluhů/závazků, popřípadě jiných informací a dokladů požádá.</w:t>
      </w:r>
    </w:p>
    <w:p w:rsidR="00E954C8" w:rsidRDefault="00E954C8" w:rsidP="00E954C8">
      <w:pPr>
        <w:overflowPunct/>
        <w:ind w:left="567"/>
        <w:textAlignment w:val="auto"/>
      </w:pPr>
    </w:p>
    <w:bookmarkEnd w:id="4"/>
    <w:p w:rsidR="00E50B42" w:rsidRPr="00E50B42" w:rsidRDefault="00EA71DF" w:rsidP="00E50B42">
      <w:pPr>
        <w:numPr>
          <w:ilvl w:val="0"/>
          <w:numId w:val="3"/>
        </w:numPr>
        <w:ind w:left="0" w:firstLine="0"/>
        <w:rPr>
          <w:szCs w:val="18"/>
        </w:rPr>
      </w:pPr>
      <w:r>
        <w:t xml:space="preserve">Dodatek je vyhotoven </w:t>
      </w:r>
      <w:bookmarkStart w:id="6" w:name="DokNum"/>
      <w:r w:rsidR="002E293C">
        <w:t>ve dvou vyhotoveních, z nichž každý z účastníků obdrží jedno vyhotovení.</w:t>
      </w:r>
      <w:bookmarkStart w:id="7" w:name="DEL_REGSML_N_2"/>
      <w:bookmarkEnd w:id="6"/>
    </w:p>
    <w:p w:rsidR="00E50B42" w:rsidRDefault="00E50B42" w:rsidP="00E50B42">
      <w:pPr>
        <w:rPr>
          <w:szCs w:val="18"/>
        </w:rPr>
      </w:pPr>
    </w:p>
    <w:p w:rsidR="00B849A2" w:rsidRPr="00B849A2" w:rsidRDefault="00A86696" w:rsidP="00E50B42">
      <w:pPr>
        <w:numPr>
          <w:ilvl w:val="0"/>
          <w:numId w:val="3"/>
        </w:numPr>
        <w:ind w:left="709" w:hanging="709"/>
        <w:rPr>
          <w:szCs w:val="18"/>
        </w:rPr>
      </w:pPr>
      <w:r w:rsidRPr="00E50B42">
        <w:rPr>
          <w:vanish/>
          <w:color w:val="FF0000"/>
          <w:sz w:val="16"/>
          <w:szCs w:val="16"/>
        </w:rPr>
        <w:t xml:space="preserve">(Varianta 2:Klient je tzv. povinným subjektem ve smyslu zákona č. 340/2015 Sb., o registru smluv – </w:t>
      </w:r>
      <w:r w:rsidRPr="00E50B42">
        <w:rPr>
          <w:b/>
          <w:vanish/>
          <w:color w:val="FF0000"/>
          <w:sz w:val="16"/>
          <w:szCs w:val="16"/>
          <w:u w:val="single"/>
        </w:rPr>
        <w:t>první odstavec uveďte vždy</w:t>
      </w:r>
      <w:r w:rsidRPr="00E50B42">
        <w:rPr>
          <w:vanish/>
          <w:color w:val="FF0000"/>
          <w:sz w:val="16"/>
          <w:szCs w:val="16"/>
        </w:rPr>
        <w:t xml:space="preserve">, např. jsou-li měněny specifické podmínky nebo podmínky k zajištění, zvyšována úroková sazba + v níže popsaných případech </w:t>
      </w:r>
      <w:r w:rsidRPr="00E50B42">
        <w:rPr>
          <w:b/>
          <w:vanish/>
          <w:color w:val="FF0000"/>
          <w:sz w:val="16"/>
          <w:szCs w:val="16"/>
        </w:rPr>
        <w:t>doplňte</w:t>
      </w:r>
      <w:r w:rsidRPr="00E50B42">
        <w:rPr>
          <w:vanish/>
          <w:color w:val="FF0000"/>
          <w:sz w:val="16"/>
          <w:szCs w:val="16"/>
        </w:rPr>
        <w:t xml:space="preserve"> jako </w:t>
      </w:r>
      <w:r w:rsidRPr="00E50B42">
        <w:rPr>
          <w:b/>
          <w:vanish/>
          <w:color w:val="FF0000"/>
          <w:sz w:val="16"/>
          <w:szCs w:val="16"/>
        </w:rPr>
        <w:t>další odstavec /odstavce</w:t>
      </w:r>
      <w:r w:rsidRPr="00E50B42">
        <w:rPr>
          <w:vanish/>
          <w:color w:val="FF0000"/>
          <w:sz w:val="16"/>
          <w:szCs w:val="16"/>
        </w:rPr>
        <w:t xml:space="preserve"> příslušnou podvariantu)</w:t>
      </w:r>
      <w:r>
        <w:t>Tento dodatek nabývá platnosti dnem uzavření a účinnosti dnem uveřejnění</w:t>
      </w:r>
      <w:r w:rsidR="00E50B42">
        <w:t xml:space="preserve"> prostřednictvím registru smluv </w:t>
      </w:r>
      <w:r>
        <w:t xml:space="preserve">způsobem </w:t>
      </w:r>
      <w:r w:rsidRPr="00E74415">
        <w:t xml:space="preserve">dle zákona č. 340/2015 Sb., o registru smluv, ve znění pozdějších předpisů. Klient se zavazuje odeslat dodatek (včetně Smlouvy se všemi případnými předchozími dodatky a dokumenty, které tvoří součást Smlouvy, pokud už nebyla dříve v registru smluv </w:t>
      </w:r>
      <w:r w:rsidRPr="00E74415">
        <w:lastRenderedPageBreak/>
        <w:t>uveřejněna) k uveřejnění v registru smluv bez prodlení po jeho uzavření. Klient se dále zavazuje, že</w:t>
      </w:r>
      <w:r>
        <w:t xml:space="preserve"> Banka obdrží potvrzení o uveřejnění v registru smluv zasílané správcem registru smluv na e-mailovou adresu Banky </w:t>
      </w:r>
      <w:r w:rsidR="00B07188">
        <w:t>cap4090skp@kb.cz</w:t>
      </w:r>
      <w:r w:rsidRPr="00E50B42">
        <w:rPr>
          <w:rStyle w:val="AnapovedaM"/>
          <w:sz w:val="16"/>
          <w:szCs w:val="16"/>
          <w:specVanish w:val="0"/>
        </w:rPr>
        <w:t xml:space="preserve">(doplňte e-mailovou adresu CAP BO - CAP Praha BO: </w:t>
      </w:r>
      <w:hyperlink r:id="rId7" w:history="1">
        <w:r w:rsidRPr="00E50B42">
          <w:rPr>
            <w:rStyle w:val="Hypertextovodkaz"/>
            <w:rFonts w:cs="Arial"/>
            <w:vanish/>
            <w:color w:val="FF0000"/>
            <w:spacing w:val="-5"/>
            <w:sz w:val="16"/>
            <w:szCs w:val="16"/>
          </w:rPr>
          <w:t>cap4050skp@ds.kb.cz</w:t>
        </w:r>
      </w:hyperlink>
      <w:r w:rsidRPr="00E50B42">
        <w:rPr>
          <w:rStyle w:val="AnapovedaM"/>
          <w:sz w:val="16"/>
          <w:szCs w:val="16"/>
          <w:specVanish w:val="0"/>
        </w:rPr>
        <w:t xml:space="preserve">; CAP Plzeň BO: </w:t>
      </w:r>
      <w:hyperlink r:id="rId8" w:history="1">
        <w:r w:rsidRPr="00E50B42">
          <w:rPr>
            <w:rStyle w:val="Hypertextovodkaz"/>
            <w:rFonts w:cs="Arial"/>
            <w:vanish/>
            <w:color w:val="FF0000"/>
            <w:spacing w:val="-5"/>
            <w:sz w:val="16"/>
            <w:szCs w:val="16"/>
          </w:rPr>
          <w:t>cap4060skp@ds.kb.cz</w:t>
        </w:r>
      </w:hyperlink>
      <w:r w:rsidRPr="00E50B42">
        <w:rPr>
          <w:rStyle w:val="AnapovedaM"/>
          <w:sz w:val="16"/>
          <w:szCs w:val="16"/>
          <w:specVanish w:val="0"/>
        </w:rPr>
        <w:t xml:space="preserve">; CAP Hradec Králové BO: </w:t>
      </w:r>
      <w:hyperlink r:id="rId9" w:history="1">
        <w:r w:rsidRPr="00E50B42">
          <w:rPr>
            <w:rStyle w:val="Hypertextovodkaz"/>
            <w:rFonts w:cs="Arial"/>
            <w:vanish/>
            <w:color w:val="FF0000"/>
            <w:spacing w:val="-5"/>
            <w:sz w:val="16"/>
            <w:szCs w:val="16"/>
          </w:rPr>
          <w:t>cap4070skp@ds.kb.cz</w:t>
        </w:r>
      </w:hyperlink>
      <w:r w:rsidRPr="00E50B42">
        <w:rPr>
          <w:rStyle w:val="AnapovedaM"/>
          <w:sz w:val="16"/>
          <w:szCs w:val="16"/>
          <w:specVanish w:val="0"/>
        </w:rPr>
        <w:t xml:space="preserve">; CAP Ostrava BO: </w:t>
      </w:r>
      <w:hyperlink r:id="rId10" w:history="1">
        <w:r w:rsidRPr="00E50B42">
          <w:rPr>
            <w:rStyle w:val="Hypertextovodkaz"/>
            <w:rFonts w:cs="Arial"/>
            <w:vanish/>
            <w:color w:val="FF0000"/>
            <w:spacing w:val="-5"/>
            <w:sz w:val="16"/>
            <w:szCs w:val="16"/>
          </w:rPr>
          <w:t>cap4080skp@ds.kb.cz</w:t>
        </w:r>
      </w:hyperlink>
      <w:r w:rsidRPr="00E50B42">
        <w:rPr>
          <w:rStyle w:val="AnapovedaM"/>
          <w:sz w:val="16"/>
          <w:szCs w:val="16"/>
          <w:specVanish w:val="0"/>
        </w:rPr>
        <w:t xml:space="preserve">; CAP Brno BO: </w:t>
      </w:r>
      <w:hyperlink r:id="rId11" w:history="1">
        <w:r w:rsidRPr="00E50B42">
          <w:rPr>
            <w:rStyle w:val="Hypertextovodkaz"/>
            <w:rFonts w:cs="Arial"/>
            <w:vanish/>
            <w:color w:val="FF0000"/>
            <w:spacing w:val="-5"/>
            <w:sz w:val="16"/>
            <w:szCs w:val="16"/>
          </w:rPr>
          <w:t>cap4090skp@ds.kb.cz</w:t>
        </w:r>
      </w:hyperlink>
      <w:r w:rsidRPr="00E50B42">
        <w:rPr>
          <w:rStyle w:val="AnapovedaM"/>
          <w:sz w:val="16"/>
          <w:szCs w:val="16"/>
          <w:specVanish w:val="0"/>
        </w:rPr>
        <w:t xml:space="preserve">; CAP TCA: </w:t>
      </w:r>
      <w:hyperlink r:id="rId12" w:history="1">
        <w:r w:rsidRPr="00E50B42">
          <w:rPr>
            <w:rStyle w:val="Hypertextovodkaz"/>
            <w:vanish/>
            <w:color w:val="FF0000"/>
            <w:sz w:val="16"/>
            <w:szCs w:val="16"/>
          </w:rPr>
          <w:t>tcap@kb.cz</w:t>
        </w:r>
      </w:hyperlink>
      <w:r w:rsidRPr="00E50B42">
        <w:rPr>
          <w:rStyle w:val="AnapovedaM"/>
          <w:sz w:val="16"/>
          <w:szCs w:val="16"/>
          <w:specVanish w:val="0"/>
        </w:rPr>
        <w:t>)</w:t>
      </w:r>
      <w:r>
        <w:t xml:space="preserve">. Banka za tím účelem zašle Klientovi znění tohoto dodatku  na e-mailovou adresu </w:t>
      </w:r>
      <w:hyperlink r:id="rId13" w:history="1">
        <w:r w:rsidR="00B849A2" w:rsidRPr="002A7B8E">
          <w:rPr>
            <w:rStyle w:val="Hypertextovodkaz"/>
            <w:sz w:val="18"/>
          </w:rPr>
          <w:t>hoskova@bytovka.cz</w:t>
        </w:r>
      </w:hyperlink>
      <w:r w:rsidR="00B849A2">
        <w:t>.</w:t>
      </w:r>
    </w:p>
    <w:p w:rsidR="00B849A2" w:rsidRPr="00B849A2" w:rsidRDefault="00B849A2" w:rsidP="00B849A2">
      <w:pPr>
        <w:ind w:left="709"/>
        <w:rPr>
          <w:szCs w:val="18"/>
        </w:rPr>
      </w:pPr>
    </w:p>
    <w:p w:rsidR="00B849A2" w:rsidRPr="00B849A2" w:rsidRDefault="00A86696" w:rsidP="00B849A2">
      <w:pPr>
        <w:numPr>
          <w:ilvl w:val="0"/>
          <w:numId w:val="3"/>
        </w:numPr>
        <w:ind w:left="709" w:hanging="709"/>
        <w:rPr>
          <w:vanish/>
        </w:rPr>
      </w:pPr>
      <w:r w:rsidRPr="00E50B42">
        <w:rPr>
          <w:rStyle w:val="AnapovedaM"/>
          <w:sz w:val="16"/>
          <w:szCs w:val="16"/>
          <w:specVanish w:val="0"/>
        </w:rPr>
        <w:t>(do</w:t>
      </w:r>
      <w:r w:rsidR="00B849A2">
        <w:rPr>
          <w:rStyle w:val="AnapovedaM"/>
          <w:sz w:val="16"/>
          <w:szCs w:val="16"/>
          <w:specVanish w:val="0"/>
        </w:rPr>
        <w:t>plňte e-mailovou adresu Klien</w:t>
      </w:r>
    </w:p>
    <w:p w:rsidR="00B849A2" w:rsidRPr="00B849A2" w:rsidRDefault="00B849A2" w:rsidP="00B849A2">
      <w:pPr>
        <w:numPr>
          <w:ilvl w:val="0"/>
          <w:numId w:val="3"/>
        </w:numPr>
        <w:ind w:left="709" w:hanging="709"/>
        <w:rPr>
          <w:vanish/>
        </w:rPr>
      </w:pPr>
    </w:p>
    <w:p w:rsidR="00A86696" w:rsidRPr="00DB1892" w:rsidRDefault="00B849A2" w:rsidP="00B849A2">
      <w:pPr>
        <w:numPr>
          <w:ilvl w:val="0"/>
          <w:numId w:val="3"/>
        </w:numPr>
        <w:ind w:left="709" w:hanging="709"/>
        <w:rPr>
          <w:vanish/>
        </w:rPr>
      </w:pPr>
      <w:r w:rsidRPr="00DB1892">
        <w:rPr>
          <w:vanish/>
          <w:color w:val="FF0000"/>
          <w:sz w:val="16"/>
          <w:szCs w:val="16"/>
        </w:rPr>
        <w:t xml:space="preserve"> </w:t>
      </w:r>
      <w:r w:rsidR="00A86696" w:rsidRPr="00DB1892">
        <w:rPr>
          <w:vanish/>
          <w:color w:val="FF0000"/>
          <w:sz w:val="16"/>
          <w:szCs w:val="16"/>
        </w:rPr>
        <w:t>(</w:t>
      </w:r>
      <w:r w:rsidR="00A86696" w:rsidRPr="00110620">
        <w:rPr>
          <w:vanish/>
          <w:color w:val="FF0000"/>
          <w:sz w:val="16"/>
          <w:szCs w:val="16"/>
        </w:rPr>
        <w:t>Varianta 2a</w:t>
      </w:r>
      <w:r w:rsidR="00A86696" w:rsidRPr="00DB1892">
        <w:rPr>
          <w:vanish/>
          <w:color w:val="FF0000"/>
          <w:sz w:val="16"/>
          <w:szCs w:val="16"/>
        </w:rPr>
        <w:t xml:space="preserve"> - obsahem dodatku je </w:t>
      </w:r>
      <w:r w:rsidR="00A86696" w:rsidRPr="00DB1892">
        <w:rPr>
          <w:vanish/>
          <w:color w:val="FF0000"/>
          <w:sz w:val="16"/>
          <w:szCs w:val="16"/>
          <w:u w:val="single"/>
        </w:rPr>
        <w:t>prodloužení Doby čerpání a/nebo zvýšení Výše úvěru / Limitu/ Aktuálních limitů (</w:t>
      </w:r>
      <w:r w:rsidR="00A86696" w:rsidRPr="00DB1892">
        <w:rPr>
          <w:vanish/>
          <w:color w:val="FF0000"/>
          <w:sz w:val="16"/>
          <w:szCs w:val="16"/>
        </w:rPr>
        <w:t>možno použít též v kombinaci s variantou 2</w:t>
      </w:r>
      <w:r w:rsidR="00A86696">
        <w:rPr>
          <w:vanish/>
          <w:color w:val="FF0000"/>
          <w:sz w:val="16"/>
          <w:szCs w:val="16"/>
        </w:rPr>
        <w:t>b</w:t>
      </w:r>
      <w:r w:rsidR="00A86696" w:rsidRPr="00DB1892">
        <w:rPr>
          <w:vanish/>
          <w:color w:val="FF0000"/>
          <w:sz w:val="16"/>
          <w:szCs w:val="16"/>
        </w:rPr>
        <w:t xml:space="preserve"> - v tom p</w:t>
      </w:r>
      <w:r w:rsidR="00A86696" w:rsidRPr="00110620">
        <w:rPr>
          <w:vanish/>
          <w:color w:val="FF0000"/>
          <w:sz w:val="16"/>
          <w:szCs w:val="16"/>
        </w:rPr>
        <w:t>řípadě  uveďte variantu 2a</w:t>
      </w:r>
      <w:r w:rsidR="00A86696" w:rsidRPr="00DB1892">
        <w:rPr>
          <w:vanish/>
          <w:color w:val="FF0000"/>
          <w:sz w:val="16"/>
          <w:szCs w:val="16"/>
        </w:rPr>
        <w:t xml:space="preserve"> a 2</w:t>
      </w:r>
      <w:r w:rsidR="00A86696">
        <w:rPr>
          <w:vanish/>
          <w:color w:val="FF0000"/>
          <w:sz w:val="16"/>
          <w:szCs w:val="16"/>
        </w:rPr>
        <w:t>b</w:t>
      </w:r>
      <w:r w:rsidR="00A86696" w:rsidRPr="00DB1892">
        <w:rPr>
          <w:vanish/>
          <w:color w:val="FF0000"/>
          <w:sz w:val="16"/>
          <w:szCs w:val="16"/>
        </w:rPr>
        <w:t xml:space="preserve"> současně)</w:t>
      </w:r>
    </w:p>
    <w:p w:rsidR="00A86696" w:rsidRDefault="00B07188" w:rsidP="00A86696">
      <w:pPr>
        <w:tabs>
          <w:tab w:val="left" w:pos="567"/>
        </w:tabs>
        <w:spacing w:before="120"/>
        <w:ind w:left="567"/>
      </w:pPr>
      <w:r>
        <w:t>Čerpání</w:t>
      </w:r>
      <w:r w:rsidR="00A86696" w:rsidRPr="00DB1892">
        <w:rPr>
          <w:rStyle w:val="AnapovedaM"/>
          <w:sz w:val="16"/>
          <w:szCs w:val="16"/>
          <w:specVanish w:val="0"/>
        </w:rPr>
        <w:t>(doplňte podle obsahu změny: „Zvýšení Limitu/Limitů“  v případě KTK úvěru, „Čerpání“ v případě RVG a ostatních úvěrů</w:t>
      </w:r>
      <w:r w:rsidR="00A86696">
        <w:rPr>
          <w:rStyle w:val="AnapovedaM"/>
          <w:sz w:val="16"/>
          <w:szCs w:val="16"/>
          <w:specVanish w:val="0"/>
        </w:rPr>
        <w:t xml:space="preserve"> </w:t>
      </w:r>
      <w:r w:rsidR="00A86696" w:rsidRPr="00DB1892">
        <w:rPr>
          <w:rStyle w:val="AnapovedaM"/>
          <w:sz w:val="16"/>
          <w:szCs w:val="16"/>
          <w:specVanish w:val="0"/>
        </w:rPr>
        <w:t>nebo při prolongaci KTK úvěru)</w:t>
      </w:r>
      <w:r w:rsidR="00A86696">
        <w:rPr>
          <w:rStyle w:val="AnapovedaM"/>
          <w:vanish w:val="0"/>
          <w:sz w:val="16"/>
          <w:szCs w:val="16"/>
          <w:specVanish w:val="0"/>
        </w:rPr>
        <w:t xml:space="preserve"> </w:t>
      </w:r>
      <w:r w:rsidR="00A86696">
        <w:t xml:space="preserve">dle tohoto dodatku je podmíněno ověřením Bankou, že dodatek byl řádně uveřejněn prostřednictvím registru smluv v souladu se zákonem č. 340/2015 Sb., o registru smluv, </w:t>
      </w:r>
      <w:r w:rsidR="00A86696" w:rsidRPr="00624393">
        <w:t>ve znění pozdějších předpisů</w:t>
      </w:r>
      <w:r w:rsidR="00A86696">
        <w:t>. Banka je oprávněna poskytnout Čerpání i bez tohoto ověření.</w:t>
      </w:r>
    </w:p>
    <w:p w:rsidR="00D61A6C" w:rsidRDefault="00D61A6C" w:rsidP="00451DD7">
      <w:pPr>
        <w:tabs>
          <w:tab w:val="left" w:pos="567"/>
        </w:tabs>
        <w:spacing w:before="120"/>
        <w:ind w:left="567"/>
      </w:pPr>
      <w:r w:rsidRPr="0029537A">
        <w:t>Klient prohlašuje, že byly splněny podmínky platnosti tohoto dodatku předepsané příslušnými právními předpisy upravujícími postavení a činnost Klienta, a zavazuje se nahradit Bance veškerou škodu způsobenou případným nesplněním zákonných podmínek platnosti tohoto dodatku.</w:t>
      </w:r>
    </w:p>
    <w:p w:rsidR="00B07188" w:rsidRDefault="00B07188" w:rsidP="00A86696">
      <w:pPr>
        <w:tabs>
          <w:tab w:val="left" w:pos="567"/>
        </w:tabs>
        <w:spacing w:before="120"/>
        <w:ind w:left="567"/>
      </w:pPr>
    </w:p>
    <w:p w:rsidR="00A86696" w:rsidRDefault="00A86696" w:rsidP="00A86696">
      <w:pPr>
        <w:spacing w:before="120"/>
        <w:rPr>
          <w:vanish/>
          <w:color w:val="FF0000"/>
          <w:sz w:val="16"/>
          <w:szCs w:val="16"/>
        </w:rPr>
      </w:pPr>
      <w:r w:rsidRPr="00110620">
        <w:rPr>
          <w:vanish/>
          <w:color w:val="FF0000"/>
          <w:sz w:val="16"/>
          <w:szCs w:val="16"/>
        </w:rPr>
        <w:t>(konec varianty 2a)</w:t>
      </w:r>
    </w:p>
    <w:p w:rsidR="00B07188" w:rsidRPr="00DB1892" w:rsidRDefault="00B07188" w:rsidP="00A86696">
      <w:pPr>
        <w:spacing w:before="120"/>
        <w:rPr>
          <w:vanish/>
          <w:color w:val="FF0000"/>
          <w:sz w:val="16"/>
          <w:szCs w:val="16"/>
        </w:rPr>
      </w:pPr>
    </w:p>
    <w:p w:rsidR="00A86696" w:rsidRPr="00DB1892" w:rsidRDefault="00A86696" w:rsidP="00A86696">
      <w:pPr>
        <w:spacing w:before="120"/>
        <w:rPr>
          <w:vanish/>
          <w:color w:val="FF0000"/>
          <w:sz w:val="16"/>
          <w:szCs w:val="16"/>
        </w:rPr>
      </w:pPr>
    </w:p>
    <w:p w:rsidR="00A86696" w:rsidRPr="0025687E" w:rsidRDefault="00A86696" w:rsidP="00A86696">
      <w:pPr>
        <w:rPr>
          <w:vanish/>
          <w:color w:val="FF0000"/>
          <w:sz w:val="16"/>
          <w:szCs w:val="16"/>
        </w:rPr>
      </w:pPr>
    </w:p>
    <w:bookmarkEnd w:id="7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820"/>
      </w:tblGrid>
      <w:tr w:rsidR="00B07188" w:rsidTr="00997DC4">
        <w:trPr>
          <w:cantSplit/>
        </w:trPr>
        <w:tc>
          <w:tcPr>
            <w:tcW w:w="4820" w:type="dxa"/>
          </w:tcPr>
          <w:p w:rsidR="00B07188" w:rsidRDefault="00B07188" w:rsidP="00997DC4">
            <w:pPr>
              <w:rPr>
                <w:sz w:val="8"/>
              </w:rPr>
            </w:pPr>
          </w:p>
          <w:p w:rsidR="00B07188" w:rsidRDefault="00B07188" w:rsidP="00997DC4">
            <w:r>
              <w:t xml:space="preserve">V </w:t>
            </w:r>
            <w:bookmarkStart w:id="8" w:name="v"/>
            <w:bookmarkEnd w:id="8"/>
            <w:r>
              <w:t xml:space="preserve">Brně dne </w:t>
            </w:r>
            <w:bookmarkStart w:id="9" w:name="dne"/>
            <w:bookmarkEnd w:id="9"/>
            <w:r w:rsidR="009D4655">
              <w:t>29.1.2018</w:t>
            </w:r>
          </w:p>
          <w:p w:rsidR="00B07188" w:rsidRDefault="00B07188" w:rsidP="00997DC4"/>
          <w:p w:rsidR="00B07188" w:rsidRDefault="00B07188" w:rsidP="00997DC4">
            <w:pPr>
              <w:rPr>
                <w:b/>
              </w:rPr>
            </w:pPr>
            <w:bookmarkStart w:id="10" w:name="zaklienta"/>
            <w:bookmarkEnd w:id="10"/>
            <w:r>
              <w:rPr>
                <w:b/>
              </w:rPr>
              <w:t>Městská bytová správa, spol. s r.o.</w:t>
            </w:r>
          </w:p>
          <w:p w:rsidR="00B07188" w:rsidRDefault="00B07188" w:rsidP="00997DC4">
            <w:pPr>
              <w:rPr>
                <w:b/>
              </w:rPr>
            </w:pPr>
            <w:bookmarkStart w:id="11" w:name="obchjm"/>
            <w:bookmarkEnd w:id="11"/>
          </w:p>
          <w:p w:rsidR="00B07188" w:rsidRDefault="00B07188" w:rsidP="00997DC4"/>
          <w:p w:rsidR="00B07188" w:rsidRDefault="00B07188" w:rsidP="00997DC4">
            <w:pPr>
              <w:tabs>
                <w:tab w:val="left" w:pos="4536"/>
                <w:tab w:val="left" w:pos="4962"/>
                <w:tab w:val="left" w:pos="8931"/>
              </w:tabs>
            </w:pPr>
            <w:r>
              <w:tab/>
            </w:r>
          </w:p>
          <w:p w:rsidR="00B07188" w:rsidRDefault="00B07188" w:rsidP="00997DC4">
            <w:pPr>
              <w:tabs>
                <w:tab w:val="left" w:leader="underscore" w:pos="4536"/>
                <w:tab w:val="left" w:pos="4962"/>
                <w:tab w:val="left" w:leader="dot" w:pos="8931"/>
              </w:tabs>
              <w:rPr>
                <w:position w:val="10"/>
                <w:sz w:val="12"/>
              </w:rPr>
            </w:pPr>
            <w:r>
              <w:rPr>
                <w:position w:val="10"/>
                <w:sz w:val="12"/>
              </w:rPr>
              <w:tab/>
            </w:r>
          </w:p>
          <w:p w:rsidR="00B07188" w:rsidRPr="00A726DD" w:rsidRDefault="00B07188" w:rsidP="00997DC4">
            <w:pPr>
              <w:spacing w:after="120"/>
              <w:rPr>
                <w:sz w:val="16"/>
                <w:szCs w:val="16"/>
              </w:rPr>
            </w:pPr>
            <w:r w:rsidRPr="00A726DD">
              <w:rPr>
                <w:sz w:val="16"/>
                <w:szCs w:val="16"/>
              </w:rPr>
              <w:t>vlastnoruční podpis</w:t>
            </w:r>
          </w:p>
          <w:p w:rsidR="00B07188" w:rsidRDefault="00B07188" w:rsidP="00B07188">
            <w:pPr>
              <w:rPr>
                <w:b/>
              </w:rPr>
            </w:pPr>
            <w:r w:rsidRPr="005B636C">
              <w:rPr>
                <w:b/>
                <w:szCs w:val="18"/>
              </w:rPr>
              <w:t>Jméno:</w:t>
            </w:r>
            <w:bookmarkStart w:id="12" w:name="zmocos"/>
            <w:bookmarkEnd w:id="12"/>
            <w:r>
              <w:rPr>
                <w:b/>
                <w:szCs w:val="18"/>
              </w:rPr>
              <w:t xml:space="preserve">    </w:t>
            </w:r>
          </w:p>
          <w:p w:rsidR="00B07188" w:rsidRPr="005B636C" w:rsidRDefault="00B07188" w:rsidP="00997DC4">
            <w:pPr>
              <w:ind w:left="851" w:hanging="851"/>
              <w:rPr>
                <w:b/>
                <w:szCs w:val="18"/>
              </w:rPr>
            </w:pPr>
            <w:r w:rsidRPr="005B636C">
              <w:rPr>
                <w:b/>
                <w:szCs w:val="18"/>
              </w:rPr>
              <w:t>Funkce:</w:t>
            </w:r>
            <w:r w:rsidRPr="005B636C">
              <w:rPr>
                <w:b/>
                <w:szCs w:val="18"/>
              </w:rPr>
              <w:tab/>
            </w:r>
            <w:bookmarkStart w:id="13" w:name="funkcezo"/>
            <w:bookmarkEnd w:id="13"/>
          </w:p>
          <w:p w:rsidR="00B07188" w:rsidRDefault="00B07188" w:rsidP="00997DC4">
            <w:pPr>
              <w:tabs>
                <w:tab w:val="left" w:pos="1276"/>
              </w:tabs>
            </w:pPr>
          </w:p>
        </w:tc>
        <w:tc>
          <w:tcPr>
            <w:tcW w:w="4820" w:type="dxa"/>
          </w:tcPr>
          <w:p w:rsidR="00B07188" w:rsidRDefault="00B07188" w:rsidP="00997DC4">
            <w:pPr>
              <w:ind w:right="22"/>
              <w:rPr>
                <w:sz w:val="8"/>
              </w:rPr>
            </w:pPr>
            <w:bookmarkStart w:id="14" w:name="banka_podpis"/>
          </w:p>
          <w:p w:rsidR="00B07188" w:rsidRDefault="00B07188" w:rsidP="00997DC4">
            <w:pPr>
              <w:ind w:right="22"/>
            </w:pPr>
            <w:r>
              <w:t xml:space="preserve">V </w:t>
            </w:r>
            <w:bookmarkStart w:id="15" w:name="v1"/>
            <w:bookmarkEnd w:id="15"/>
            <w:r>
              <w:t xml:space="preserve">Brně dne </w:t>
            </w:r>
            <w:bookmarkStart w:id="16" w:name="dne1"/>
            <w:bookmarkEnd w:id="16"/>
            <w:r w:rsidR="009D4655">
              <w:t>29.1.2018</w:t>
            </w:r>
          </w:p>
          <w:p w:rsidR="0034632D" w:rsidRDefault="0034632D" w:rsidP="00997DC4">
            <w:pPr>
              <w:ind w:right="22"/>
              <w:rPr>
                <w:b/>
              </w:rPr>
            </w:pPr>
          </w:p>
          <w:p w:rsidR="00B07188" w:rsidRDefault="00B07188" w:rsidP="00997DC4">
            <w:pPr>
              <w:ind w:right="22"/>
              <w:rPr>
                <w:b/>
              </w:rPr>
            </w:pPr>
            <w:r>
              <w:rPr>
                <w:b/>
              </w:rPr>
              <w:t>Komerční banka, a.s.</w:t>
            </w:r>
          </w:p>
          <w:p w:rsidR="00B07188" w:rsidRDefault="00B07188" w:rsidP="00997DC4">
            <w:pPr>
              <w:ind w:right="22"/>
            </w:pPr>
          </w:p>
          <w:p w:rsidR="00B07188" w:rsidRDefault="00B07188" w:rsidP="00997DC4">
            <w:pPr>
              <w:ind w:right="22"/>
            </w:pPr>
          </w:p>
          <w:p w:rsidR="00B07188" w:rsidRDefault="00B07188" w:rsidP="00997DC4">
            <w:pPr>
              <w:tabs>
                <w:tab w:val="left" w:pos="4536"/>
                <w:tab w:val="left" w:pos="4962"/>
                <w:tab w:val="left" w:pos="8931"/>
              </w:tabs>
            </w:pPr>
            <w:r>
              <w:tab/>
            </w:r>
          </w:p>
          <w:p w:rsidR="00B07188" w:rsidRDefault="00B07188" w:rsidP="00997DC4">
            <w:pPr>
              <w:tabs>
                <w:tab w:val="left" w:leader="underscore" w:pos="4536"/>
                <w:tab w:val="left" w:pos="4962"/>
                <w:tab w:val="left" w:leader="dot" w:pos="8931"/>
              </w:tabs>
              <w:rPr>
                <w:position w:val="10"/>
                <w:sz w:val="12"/>
              </w:rPr>
            </w:pPr>
            <w:r>
              <w:rPr>
                <w:position w:val="10"/>
                <w:sz w:val="12"/>
              </w:rPr>
              <w:tab/>
            </w:r>
          </w:p>
          <w:p w:rsidR="00B07188" w:rsidRPr="00F51A46" w:rsidRDefault="00B07188" w:rsidP="00997DC4">
            <w:pPr>
              <w:spacing w:after="120"/>
              <w:rPr>
                <w:sz w:val="16"/>
                <w:szCs w:val="16"/>
              </w:rPr>
            </w:pPr>
            <w:r w:rsidRPr="00F51A46">
              <w:rPr>
                <w:sz w:val="16"/>
                <w:szCs w:val="16"/>
              </w:rPr>
              <w:t>vlastnoruční podpis</w:t>
            </w:r>
          </w:p>
          <w:p w:rsidR="00B07188" w:rsidRPr="00463675" w:rsidRDefault="00B07188" w:rsidP="00997DC4">
            <w:pPr>
              <w:tabs>
                <w:tab w:val="left" w:pos="851"/>
              </w:tabs>
              <w:rPr>
                <w:b/>
                <w:szCs w:val="18"/>
              </w:rPr>
            </w:pPr>
            <w:r w:rsidRPr="00463675">
              <w:rPr>
                <w:b/>
                <w:szCs w:val="18"/>
              </w:rPr>
              <w:t>Jméno:</w:t>
            </w:r>
            <w:r w:rsidRPr="00463675">
              <w:rPr>
                <w:b/>
                <w:szCs w:val="18"/>
              </w:rPr>
              <w:tab/>
            </w:r>
            <w:bookmarkStart w:id="17" w:name="prac1"/>
            <w:bookmarkEnd w:id="17"/>
          </w:p>
          <w:p w:rsidR="00B07188" w:rsidRPr="00463675" w:rsidRDefault="00B07188" w:rsidP="00997DC4">
            <w:pPr>
              <w:ind w:left="851" w:hanging="851"/>
              <w:rPr>
                <w:b/>
                <w:szCs w:val="18"/>
              </w:rPr>
            </w:pPr>
            <w:r w:rsidRPr="00463675">
              <w:rPr>
                <w:b/>
                <w:szCs w:val="18"/>
              </w:rPr>
              <w:t>Funkce:</w:t>
            </w:r>
            <w:r w:rsidRPr="00463675">
              <w:rPr>
                <w:b/>
                <w:szCs w:val="18"/>
              </w:rPr>
              <w:tab/>
            </w:r>
            <w:bookmarkStart w:id="18" w:name="funkb1"/>
            <w:bookmarkEnd w:id="18"/>
          </w:p>
          <w:p w:rsidR="00B07188" w:rsidRPr="00E4620A" w:rsidRDefault="00B07188" w:rsidP="00997DC4">
            <w:pPr>
              <w:rPr>
                <w:szCs w:val="18"/>
              </w:rPr>
            </w:pPr>
            <w:bookmarkStart w:id="19" w:name="vlozpod"/>
            <w:bookmarkStart w:id="20" w:name="vloz"/>
            <w:bookmarkEnd w:id="19"/>
            <w:bookmarkEnd w:id="20"/>
          </w:p>
          <w:bookmarkEnd w:id="14"/>
          <w:p w:rsidR="00B07188" w:rsidRDefault="00B07188" w:rsidP="00997DC4">
            <w:pPr>
              <w:rPr>
                <w:sz w:val="8"/>
              </w:rPr>
            </w:pPr>
          </w:p>
        </w:tc>
        <w:bookmarkStart w:id="21" w:name="banka"/>
        <w:bookmarkEnd w:id="21"/>
      </w:tr>
      <w:tr w:rsidR="00B07188" w:rsidRPr="00AE217D" w:rsidTr="00997DC4">
        <w:trPr>
          <w:cantSplit/>
        </w:trPr>
        <w:tc>
          <w:tcPr>
            <w:tcW w:w="4820" w:type="dxa"/>
          </w:tcPr>
          <w:p w:rsidR="00B07188" w:rsidRDefault="00B07188" w:rsidP="00997DC4">
            <w:bookmarkStart w:id="22" w:name="p1"/>
            <w:bookmarkStart w:id="23" w:name="p2"/>
            <w:bookmarkEnd w:id="22"/>
            <w:bookmarkEnd w:id="23"/>
          </w:p>
          <w:p w:rsidR="00B07188" w:rsidRDefault="00B07188" w:rsidP="00997DC4">
            <w:pPr>
              <w:spacing w:after="120"/>
            </w:pPr>
            <w:bookmarkStart w:id="24" w:name="odstrandol"/>
            <w:bookmarkStart w:id="25" w:name="udaje1"/>
            <w:bookmarkEnd w:id="24"/>
            <w:r>
              <w:t>Osobní údaje podepisující osoby</w:t>
            </w:r>
            <w:bookmarkStart w:id="26" w:name="udaje"/>
            <w:bookmarkEnd w:id="25"/>
            <w:bookmarkEnd w:id="26"/>
            <w:r>
              <w:t>:</w:t>
            </w:r>
          </w:p>
          <w:p w:rsidR="00280332" w:rsidRDefault="00280332" w:rsidP="00997DC4">
            <w:pPr>
              <w:tabs>
                <w:tab w:val="left" w:leader="underscore" w:pos="4536"/>
                <w:tab w:val="left" w:pos="4962"/>
                <w:tab w:val="left" w:leader="dot" w:pos="8931"/>
              </w:tabs>
              <w:rPr>
                <w:position w:val="10"/>
                <w:sz w:val="12"/>
              </w:rPr>
            </w:pPr>
            <w:bookmarkStart w:id="27" w:name="jmenox"/>
            <w:bookmarkEnd w:id="27"/>
          </w:p>
          <w:p w:rsidR="00B07188" w:rsidRDefault="00B07188" w:rsidP="00997DC4">
            <w:pPr>
              <w:tabs>
                <w:tab w:val="left" w:leader="underscore" w:pos="4536"/>
                <w:tab w:val="left" w:pos="4962"/>
                <w:tab w:val="left" w:leader="dot" w:pos="8931"/>
              </w:tabs>
              <w:rPr>
                <w:position w:val="10"/>
                <w:sz w:val="12"/>
              </w:rPr>
            </w:pPr>
            <w:r>
              <w:rPr>
                <w:position w:val="10"/>
                <w:sz w:val="12"/>
              </w:rPr>
              <w:tab/>
            </w:r>
          </w:p>
          <w:p w:rsidR="00B07188" w:rsidRPr="00863128" w:rsidRDefault="00B07188" w:rsidP="00997DC4">
            <w:pPr>
              <w:spacing w:after="120"/>
              <w:rPr>
                <w:sz w:val="16"/>
                <w:szCs w:val="16"/>
              </w:rPr>
            </w:pPr>
            <w:bookmarkStart w:id="28" w:name="jmeno1"/>
            <w:r>
              <w:rPr>
                <w:sz w:val="16"/>
                <w:szCs w:val="16"/>
              </w:rPr>
              <w:t>titul, jméno, př</w:t>
            </w:r>
            <w:r w:rsidRPr="00863128">
              <w:rPr>
                <w:sz w:val="16"/>
                <w:szCs w:val="16"/>
              </w:rPr>
              <w:t>íjmení</w:t>
            </w:r>
            <w:bookmarkStart w:id="29" w:name="jmeno"/>
            <w:bookmarkEnd w:id="28"/>
            <w:bookmarkEnd w:id="29"/>
          </w:p>
          <w:p w:rsidR="00280332" w:rsidRDefault="00280332" w:rsidP="00997DC4">
            <w:pPr>
              <w:tabs>
                <w:tab w:val="left" w:leader="underscore" w:pos="4536"/>
                <w:tab w:val="left" w:pos="4962"/>
                <w:tab w:val="left" w:leader="dot" w:pos="8931"/>
              </w:tabs>
              <w:rPr>
                <w:position w:val="10"/>
                <w:sz w:val="12"/>
              </w:rPr>
            </w:pPr>
            <w:bookmarkStart w:id="30" w:name="rcx"/>
            <w:bookmarkEnd w:id="30"/>
          </w:p>
          <w:p w:rsidR="00B07188" w:rsidRDefault="00B07188" w:rsidP="00997DC4">
            <w:pPr>
              <w:tabs>
                <w:tab w:val="left" w:leader="underscore" w:pos="4536"/>
                <w:tab w:val="left" w:pos="4962"/>
                <w:tab w:val="left" w:leader="dot" w:pos="8931"/>
              </w:tabs>
              <w:rPr>
                <w:position w:val="10"/>
                <w:sz w:val="12"/>
              </w:rPr>
            </w:pPr>
            <w:r>
              <w:rPr>
                <w:position w:val="10"/>
                <w:sz w:val="12"/>
              </w:rPr>
              <w:tab/>
            </w:r>
          </w:p>
          <w:p w:rsidR="00B07188" w:rsidRPr="00863128" w:rsidRDefault="00B07188" w:rsidP="00997DC4">
            <w:pPr>
              <w:spacing w:after="120"/>
              <w:rPr>
                <w:sz w:val="16"/>
                <w:szCs w:val="16"/>
              </w:rPr>
            </w:pPr>
            <w:bookmarkStart w:id="31" w:name="rc1"/>
            <w:r w:rsidRPr="00863128">
              <w:rPr>
                <w:sz w:val="16"/>
                <w:szCs w:val="16"/>
              </w:rPr>
              <w:t>rodné číslo (datum narození</w:t>
            </w:r>
            <w:r>
              <w:rPr>
                <w:sz w:val="16"/>
                <w:szCs w:val="16"/>
              </w:rPr>
              <w:t>, není-li rodné číslo</w:t>
            </w:r>
            <w:r w:rsidRPr="00863128">
              <w:rPr>
                <w:sz w:val="16"/>
                <w:szCs w:val="16"/>
              </w:rPr>
              <w:t>)</w:t>
            </w:r>
            <w:bookmarkStart w:id="32" w:name="rc"/>
            <w:bookmarkEnd w:id="31"/>
            <w:bookmarkEnd w:id="32"/>
          </w:p>
          <w:p w:rsidR="00280332" w:rsidRDefault="00280332" w:rsidP="00997DC4">
            <w:pPr>
              <w:tabs>
                <w:tab w:val="left" w:leader="underscore" w:pos="4536"/>
                <w:tab w:val="left" w:pos="4962"/>
                <w:tab w:val="left" w:leader="dot" w:pos="8931"/>
              </w:tabs>
              <w:rPr>
                <w:position w:val="10"/>
                <w:sz w:val="12"/>
              </w:rPr>
            </w:pPr>
            <w:bookmarkStart w:id="33" w:name="pobyt1x"/>
            <w:bookmarkEnd w:id="33"/>
          </w:p>
          <w:p w:rsidR="00B07188" w:rsidRDefault="00B07188" w:rsidP="00997DC4">
            <w:pPr>
              <w:tabs>
                <w:tab w:val="left" w:leader="underscore" w:pos="4536"/>
                <w:tab w:val="left" w:pos="4962"/>
                <w:tab w:val="left" w:leader="dot" w:pos="8931"/>
              </w:tabs>
              <w:rPr>
                <w:position w:val="10"/>
                <w:sz w:val="12"/>
              </w:rPr>
            </w:pPr>
            <w:r>
              <w:rPr>
                <w:position w:val="10"/>
                <w:sz w:val="12"/>
              </w:rPr>
              <w:tab/>
            </w:r>
          </w:p>
          <w:p w:rsidR="00B07188" w:rsidRPr="00863128" w:rsidRDefault="00B07188" w:rsidP="00997DC4">
            <w:pPr>
              <w:spacing w:after="120"/>
              <w:rPr>
                <w:sz w:val="16"/>
                <w:szCs w:val="16"/>
              </w:rPr>
            </w:pPr>
            <w:bookmarkStart w:id="34" w:name="pobyt1"/>
            <w:r>
              <w:rPr>
                <w:sz w:val="16"/>
                <w:szCs w:val="16"/>
              </w:rPr>
              <w:t>adresa (</w:t>
            </w:r>
            <w:r w:rsidRPr="00863128">
              <w:rPr>
                <w:sz w:val="16"/>
                <w:szCs w:val="16"/>
              </w:rPr>
              <w:t>trvalý pob</w:t>
            </w:r>
            <w:r>
              <w:rPr>
                <w:sz w:val="16"/>
                <w:szCs w:val="16"/>
              </w:rPr>
              <w:t>yt</w:t>
            </w:r>
            <w:bookmarkStart w:id="35" w:name="pobyt"/>
            <w:bookmarkEnd w:id="34"/>
            <w:bookmarkEnd w:id="35"/>
            <w:r>
              <w:rPr>
                <w:sz w:val="16"/>
                <w:szCs w:val="16"/>
              </w:rPr>
              <w:t>)</w:t>
            </w:r>
          </w:p>
          <w:p w:rsidR="00280332" w:rsidRDefault="00280332" w:rsidP="00997DC4">
            <w:pPr>
              <w:tabs>
                <w:tab w:val="left" w:leader="underscore" w:pos="4536"/>
                <w:tab w:val="left" w:pos="4962"/>
                <w:tab w:val="left" w:leader="dot" w:pos="8931"/>
              </w:tabs>
              <w:rPr>
                <w:position w:val="10"/>
                <w:sz w:val="12"/>
              </w:rPr>
            </w:pPr>
            <w:bookmarkStart w:id="36" w:name="ptotx"/>
            <w:bookmarkEnd w:id="36"/>
          </w:p>
          <w:p w:rsidR="00B07188" w:rsidRDefault="00B07188" w:rsidP="00997DC4">
            <w:pPr>
              <w:tabs>
                <w:tab w:val="left" w:leader="underscore" w:pos="4536"/>
                <w:tab w:val="left" w:pos="4962"/>
                <w:tab w:val="left" w:leader="dot" w:pos="8931"/>
              </w:tabs>
              <w:rPr>
                <w:position w:val="10"/>
                <w:sz w:val="12"/>
              </w:rPr>
            </w:pPr>
            <w:r>
              <w:rPr>
                <w:position w:val="10"/>
                <w:sz w:val="12"/>
              </w:rPr>
              <w:tab/>
            </w:r>
          </w:p>
          <w:p w:rsidR="00B07188" w:rsidRPr="00AE217D" w:rsidRDefault="00B07188" w:rsidP="00997DC4">
            <w:pPr>
              <w:spacing w:after="120"/>
              <w:rPr>
                <w:sz w:val="16"/>
                <w:szCs w:val="16"/>
              </w:rPr>
            </w:pPr>
            <w:bookmarkStart w:id="37" w:name="pt1"/>
            <w:r w:rsidRPr="00863128">
              <w:rPr>
                <w:sz w:val="16"/>
                <w:szCs w:val="16"/>
              </w:rPr>
              <w:t>druh, číslo a doba platnosti průkazu totožnosti a orgán/stát,</w:t>
            </w:r>
            <w:r>
              <w:rPr>
                <w:sz w:val="16"/>
                <w:szCs w:val="16"/>
              </w:rPr>
              <w:t xml:space="preserve"> </w:t>
            </w:r>
            <w:r w:rsidRPr="00863128">
              <w:rPr>
                <w:sz w:val="16"/>
                <w:szCs w:val="16"/>
              </w:rPr>
              <w:t>který jej vydal</w:t>
            </w:r>
            <w:bookmarkStart w:id="38" w:name="pt"/>
            <w:bookmarkEnd w:id="37"/>
            <w:bookmarkEnd w:id="38"/>
          </w:p>
        </w:tc>
        <w:tc>
          <w:tcPr>
            <w:tcW w:w="4820" w:type="dxa"/>
          </w:tcPr>
          <w:p w:rsidR="00B07188" w:rsidRDefault="00B07188" w:rsidP="00997DC4">
            <w:pPr>
              <w:ind w:right="22"/>
            </w:pPr>
          </w:p>
          <w:p w:rsidR="00B07188" w:rsidRDefault="00B07188" w:rsidP="00997DC4">
            <w:pPr>
              <w:ind w:right="22"/>
            </w:pPr>
          </w:p>
          <w:p w:rsidR="00B07188" w:rsidRDefault="00B07188" w:rsidP="00997DC4">
            <w:pPr>
              <w:tabs>
                <w:tab w:val="left" w:pos="4536"/>
                <w:tab w:val="left" w:pos="4962"/>
                <w:tab w:val="left" w:pos="8931"/>
              </w:tabs>
            </w:pPr>
            <w:r>
              <w:tab/>
            </w:r>
          </w:p>
          <w:p w:rsidR="00B07188" w:rsidRDefault="00B07188" w:rsidP="00997DC4">
            <w:pPr>
              <w:tabs>
                <w:tab w:val="left" w:leader="underscore" w:pos="4536"/>
                <w:tab w:val="left" w:pos="4962"/>
                <w:tab w:val="left" w:leader="dot" w:pos="8931"/>
              </w:tabs>
              <w:rPr>
                <w:position w:val="10"/>
                <w:sz w:val="12"/>
              </w:rPr>
            </w:pPr>
            <w:r>
              <w:rPr>
                <w:position w:val="10"/>
                <w:sz w:val="12"/>
              </w:rPr>
              <w:tab/>
            </w:r>
          </w:p>
          <w:p w:rsidR="00B07188" w:rsidRPr="00F51A46" w:rsidRDefault="00B07188" w:rsidP="00997DC4">
            <w:pPr>
              <w:spacing w:after="120"/>
              <w:rPr>
                <w:sz w:val="16"/>
                <w:szCs w:val="16"/>
              </w:rPr>
            </w:pPr>
            <w:r w:rsidRPr="00F51A46">
              <w:rPr>
                <w:sz w:val="16"/>
                <w:szCs w:val="16"/>
              </w:rPr>
              <w:t>vlastnoruční podpis</w:t>
            </w:r>
          </w:p>
          <w:p w:rsidR="00280332" w:rsidRPr="00463675" w:rsidRDefault="00B07188" w:rsidP="00997DC4">
            <w:pPr>
              <w:tabs>
                <w:tab w:val="left" w:pos="851"/>
              </w:tabs>
              <w:rPr>
                <w:b/>
                <w:szCs w:val="18"/>
              </w:rPr>
            </w:pPr>
            <w:r w:rsidRPr="00463675">
              <w:rPr>
                <w:b/>
                <w:szCs w:val="18"/>
              </w:rPr>
              <w:t>Jméno:</w:t>
            </w:r>
            <w:r w:rsidRPr="00463675">
              <w:rPr>
                <w:b/>
                <w:szCs w:val="18"/>
              </w:rPr>
              <w:tab/>
            </w:r>
          </w:p>
          <w:p w:rsidR="00B07188" w:rsidRPr="00463675" w:rsidRDefault="00B07188" w:rsidP="00997DC4">
            <w:pPr>
              <w:ind w:left="851" w:hanging="851"/>
              <w:rPr>
                <w:b/>
                <w:szCs w:val="18"/>
              </w:rPr>
            </w:pPr>
            <w:r w:rsidRPr="00463675">
              <w:rPr>
                <w:b/>
                <w:szCs w:val="18"/>
              </w:rPr>
              <w:t>Funkce:</w:t>
            </w:r>
            <w:r w:rsidRPr="00463675">
              <w:rPr>
                <w:b/>
                <w:szCs w:val="18"/>
              </w:rPr>
              <w:tab/>
            </w:r>
          </w:p>
          <w:p w:rsidR="00B07188" w:rsidRPr="00E4620A" w:rsidRDefault="00B07188" w:rsidP="00997DC4">
            <w:pPr>
              <w:rPr>
                <w:szCs w:val="18"/>
              </w:rPr>
            </w:pPr>
          </w:p>
          <w:p w:rsidR="00B07188" w:rsidRDefault="00B07188" w:rsidP="00997DC4"/>
        </w:tc>
      </w:tr>
      <w:tr w:rsidR="00B07188" w:rsidTr="00997DC4">
        <w:trPr>
          <w:cantSplit/>
        </w:trPr>
        <w:tc>
          <w:tcPr>
            <w:tcW w:w="4820" w:type="dxa"/>
          </w:tcPr>
          <w:p w:rsidR="00B07188" w:rsidRDefault="00B07188" w:rsidP="00997DC4">
            <w:pPr>
              <w:ind w:left="284" w:hanging="284"/>
            </w:pPr>
            <w:bookmarkStart w:id="39" w:name="odstran"/>
            <w:bookmarkEnd w:id="39"/>
          </w:p>
          <w:p w:rsidR="00B07188" w:rsidRDefault="00B07188" w:rsidP="00997DC4">
            <w:pPr>
              <w:spacing w:after="120"/>
              <w:ind w:left="284" w:hanging="284"/>
            </w:pPr>
            <w:r>
              <w:t xml:space="preserve">Osobní údaje zkontroloval(a) dne </w:t>
            </w:r>
            <w:bookmarkStart w:id="40" w:name="kontden"/>
            <w:bookmarkEnd w:id="40"/>
          </w:p>
          <w:p w:rsidR="00280332" w:rsidRDefault="00280332" w:rsidP="00997DC4">
            <w:pPr>
              <w:ind w:left="284" w:hanging="284"/>
              <w:rPr>
                <w:b/>
                <w:szCs w:val="18"/>
              </w:rPr>
            </w:pPr>
            <w:bookmarkStart w:id="41" w:name="prackon"/>
            <w:bookmarkStart w:id="42" w:name="funkon"/>
            <w:bookmarkEnd w:id="41"/>
            <w:bookmarkEnd w:id="42"/>
          </w:p>
          <w:p w:rsidR="00B07188" w:rsidRDefault="00B07188" w:rsidP="00997DC4">
            <w:pPr>
              <w:ind w:left="284" w:hanging="284"/>
              <w:rPr>
                <w:b/>
                <w:szCs w:val="18"/>
              </w:rPr>
            </w:pPr>
            <w:r>
              <w:rPr>
                <w:b/>
                <w:szCs w:val="18"/>
              </w:rPr>
              <w:t>bankovní poradce - Corporate</w:t>
            </w:r>
            <w:r w:rsidRPr="00087192">
              <w:rPr>
                <w:b/>
                <w:szCs w:val="18"/>
              </w:rPr>
              <w:t xml:space="preserve"> </w:t>
            </w:r>
          </w:p>
          <w:p w:rsidR="00B07188" w:rsidRPr="00087192" w:rsidRDefault="00B07188" w:rsidP="00997DC4">
            <w:pPr>
              <w:ind w:left="284" w:hanging="284"/>
              <w:rPr>
                <w:b/>
                <w:szCs w:val="18"/>
              </w:rPr>
            </w:pPr>
          </w:p>
          <w:p w:rsidR="00B07188" w:rsidRPr="00087192" w:rsidRDefault="00B07188" w:rsidP="00997DC4">
            <w:pPr>
              <w:ind w:left="284" w:hanging="284"/>
              <w:rPr>
                <w:b/>
                <w:szCs w:val="18"/>
              </w:rPr>
            </w:pPr>
          </w:p>
          <w:p w:rsidR="00B07188" w:rsidRDefault="00B07188" w:rsidP="00997DC4">
            <w:pPr>
              <w:tabs>
                <w:tab w:val="left" w:pos="4536"/>
              </w:tabs>
            </w:pPr>
            <w:r>
              <w:tab/>
            </w:r>
          </w:p>
          <w:p w:rsidR="00B07188" w:rsidRDefault="00B07188" w:rsidP="00997DC4">
            <w:pPr>
              <w:tabs>
                <w:tab w:val="left" w:leader="underscore" w:pos="4536"/>
                <w:tab w:val="left" w:pos="4962"/>
                <w:tab w:val="left" w:leader="dot" w:pos="8931"/>
              </w:tabs>
              <w:rPr>
                <w:position w:val="10"/>
                <w:sz w:val="12"/>
              </w:rPr>
            </w:pPr>
            <w:r>
              <w:rPr>
                <w:position w:val="10"/>
                <w:sz w:val="12"/>
              </w:rPr>
              <w:tab/>
            </w:r>
          </w:p>
          <w:p w:rsidR="00B07188" w:rsidRPr="007C6646" w:rsidRDefault="00B07188" w:rsidP="00997DC4">
            <w:pPr>
              <w:rPr>
                <w:sz w:val="16"/>
                <w:szCs w:val="16"/>
              </w:rPr>
            </w:pPr>
            <w:r w:rsidRPr="007C6646">
              <w:rPr>
                <w:sz w:val="16"/>
                <w:szCs w:val="16"/>
              </w:rPr>
              <w:t xml:space="preserve">vlastnoruční podpis zaměstnance </w:t>
            </w:r>
            <w:r>
              <w:rPr>
                <w:sz w:val="16"/>
                <w:szCs w:val="16"/>
              </w:rPr>
              <w:t>Komerční banky, a.s.</w:t>
            </w:r>
          </w:p>
          <w:p w:rsidR="00B07188" w:rsidRDefault="00B07188" w:rsidP="00997DC4">
            <w:pPr>
              <w:tabs>
                <w:tab w:val="center" w:pos="2269"/>
              </w:tabs>
            </w:pPr>
          </w:p>
        </w:tc>
        <w:tc>
          <w:tcPr>
            <w:tcW w:w="4820" w:type="dxa"/>
          </w:tcPr>
          <w:p w:rsidR="00B07188" w:rsidRDefault="00B07188" w:rsidP="00997DC4">
            <w:pPr>
              <w:ind w:left="284" w:hanging="284"/>
            </w:pPr>
          </w:p>
        </w:tc>
      </w:tr>
    </w:tbl>
    <w:p w:rsidR="00A86696" w:rsidRDefault="00A86696" w:rsidP="00A86696">
      <w:pPr>
        <w:rPr>
          <w:szCs w:val="18"/>
        </w:rPr>
      </w:pPr>
    </w:p>
    <w:sectPr w:rsidR="00A86696">
      <w:headerReference w:type="default" r:id="rId14"/>
      <w:footerReference w:type="default" r:id="rId15"/>
      <w:pgSz w:w="11913" w:h="16834"/>
      <w:pgMar w:top="1474" w:right="1134" w:bottom="1588" w:left="1134" w:header="454" w:footer="39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0BB" w:rsidRDefault="002260BB">
      <w:r>
        <w:separator/>
      </w:r>
    </w:p>
  </w:endnote>
  <w:endnote w:type="continuationSeparator" w:id="0">
    <w:p w:rsidR="002260BB" w:rsidRDefault="00226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Blogo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01"/>
      <w:gridCol w:w="4038"/>
    </w:tblGrid>
    <w:tr w:rsidR="002C338D">
      <w:tc>
        <w:tcPr>
          <w:tcW w:w="5601" w:type="dxa"/>
          <w:tcBorders>
            <w:top w:val="nil"/>
            <w:left w:val="nil"/>
            <w:bottom w:val="nil"/>
            <w:right w:val="nil"/>
          </w:tcBorders>
        </w:tcPr>
        <w:p w:rsidR="002C338D" w:rsidRDefault="002C338D">
          <w:pPr>
            <w:pStyle w:val="kbFixedtext"/>
            <w:spacing w:before="100"/>
          </w:pPr>
          <w:r>
            <w:t xml:space="preserve">Komerční banka, a. s., se sídlem: </w:t>
          </w:r>
        </w:p>
        <w:p w:rsidR="002C338D" w:rsidRDefault="002C338D">
          <w:pPr>
            <w:pStyle w:val="kbFixedtext"/>
          </w:pPr>
          <w:r>
            <w:t>Praha 1, Na Příkopě 33 čp. 969, PSČ 114 07, IČO: 45317054</w:t>
          </w:r>
        </w:p>
        <w:p w:rsidR="002C338D" w:rsidRDefault="002C338D">
          <w:pPr>
            <w:pStyle w:val="kbRegistration"/>
          </w:pPr>
          <w:r>
            <w:t>ZAPSANÁ V OBCHODNÍM REJSTŘÍKU VEDENÉM MĚSTSKÝm SOUDEM V PRAZE, ODDÍL B, VLOŽKA 1360</w:t>
          </w:r>
        </w:p>
      </w:tc>
      <w:tc>
        <w:tcPr>
          <w:tcW w:w="4038" w:type="dxa"/>
          <w:tcBorders>
            <w:top w:val="nil"/>
            <w:left w:val="nil"/>
            <w:bottom w:val="nil"/>
            <w:right w:val="nil"/>
          </w:tcBorders>
        </w:tcPr>
        <w:p w:rsidR="002C338D" w:rsidRDefault="002C338D">
          <w:pPr>
            <w:pStyle w:val="kbFixedtext"/>
            <w:spacing w:before="100"/>
            <w:jc w:val="right"/>
            <w:rPr>
              <w:rStyle w:val="slostrnky"/>
            </w:rPr>
          </w:pP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 w:rsidR="00B15ADF">
            <w:rPr>
              <w:rStyle w:val="slostrnky"/>
              <w:noProof/>
            </w:rPr>
            <w:t>1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>/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NUMPAGES </w:instrText>
          </w:r>
          <w:r>
            <w:rPr>
              <w:rStyle w:val="slostrnky"/>
            </w:rPr>
            <w:fldChar w:fldCharType="separate"/>
          </w:r>
          <w:r w:rsidR="00B15ADF">
            <w:rPr>
              <w:rStyle w:val="slostrnky"/>
              <w:noProof/>
            </w:rPr>
            <w:t>1</w:t>
          </w:r>
          <w:r>
            <w:rPr>
              <w:rStyle w:val="slostrnky"/>
            </w:rPr>
            <w:fldChar w:fldCharType="end"/>
          </w:r>
        </w:p>
        <w:p w:rsidR="002C338D" w:rsidRPr="003625B0" w:rsidRDefault="003F21A0">
          <w:pPr>
            <w:pStyle w:val="Registration"/>
            <w:jc w:val="right"/>
            <w:rPr>
              <w:szCs w:val="8"/>
            </w:rPr>
          </w:pPr>
          <w:r>
            <w:rPr>
              <w:szCs w:val="8"/>
            </w:rPr>
            <w:t>Datum účinnosti šablony  5</w:t>
          </w:r>
          <w:r w:rsidR="002C338D" w:rsidRPr="003625B0">
            <w:rPr>
              <w:szCs w:val="8"/>
            </w:rPr>
            <w:t>.</w:t>
          </w:r>
          <w:r>
            <w:rPr>
              <w:szCs w:val="8"/>
            </w:rPr>
            <w:t>6.2017</w:t>
          </w:r>
        </w:p>
        <w:p w:rsidR="002C338D" w:rsidRDefault="002C338D">
          <w:pPr>
            <w:pStyle w:val="Registration"/>
            <w:jc w:val="right"/>
          </w:pPr>
          <w:r w:rsidRPr="003625B0">
            <w:rPr>
              <w:szCs w:val="8"/>
            </w:rPr>
            <w:t xml:space="preserve">Ver F DodatUSN.DOT  </w:t>
          </w:r>
          <w:r w:rsidRPr="003625B0">
            <w:rPr>
              <w:szCs w:val="8"/>
            </w:rPr>
            <w:fldChar w:fldCharType="begin"/>
          </w:r>
          <w:r w:rsidRPr="003625B0">
            <w:rPr>
              <w:szCs w:val="8"/>
            </w:rPr>
            <w:instrText>\DATE</w:instrText>
          </w:r>
          <w:r w:rsidRPr="003625B0">
            <w:rPr>
              <w:szCs w:val="8"/>
            </w:rPr>
            <w:fldChar w:fldCharType="separate"/>
          </w:r>
          <w:r w:rsidR="00B15ADF">
            <w:rPr>
              <w:noProof/>
              <w:szCs w:val="8"/>
            </w:rPr>
            <w:t>31.1.2018</w:t>
          </w:r>
          <w:r w:rsidRPr="003625B0">
            <w:rPr>
              <w:szCs w:val="8"/>
            </w:rPr>
            <w:fldChar w:fldCharType="end"/>
          </w:r>
          <w:r w:rsidRPr="003625B0">
            <w:rPr>
              <w:szCs w:val="8"/>
            </w:rPr>
            <w:t xml:space="preserve">  </w:t>
          </w:r>
          <w:r w:rsidRPr="003625B0">
            <w:rPr>
              <w:szCs w:val="8"/>
            </w:rPr>
            <w:fldChar w:fldCharType="begin"/>
          </w:r>
          <w:r w:rsidRPr="003625B0">
            <w:rPr>
              <w:szCs w:val="8"/>
            </w:rPr>
            <w:instrText>\TIME</w:instrText>
          </w:r>
          <w:r w:rsidRPr="003625B0">
            <w:rPr>
              <w:szCs w:val="8"/>
            </w:rPr>
            <w:fldChar w:fldCharType="separate"/>
          </w:r>
          <w:r w:rsidR="00B15ADF">
            <w:rPr>
              <w:noProof/>
              <w:szCs w:val="8"/>
            </w:rPr>
            <w:t>1:54 odp.</w:t>
          </w:r>
          <w:r w:rsidRPr="003625B0">
            <w:rPr>
              <w:szCs w:val="8"/>
            </w:rPr>
            <w:fldChar w:fldCharType="end"/>
          </w:r>
        </w:p>
      </w:tc>
    </w:tr>
  </w:tbl>
  <w:p w:rsidR="002C338D" w:rsidRDefault="002C338D">
    <w:pPr>
      <w:pStyle w:val="Zpat"/>
      <w:rPr>
        <w:sz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0BB" w:rsidRDefault="002260BB">
      <w:r>
        <w:separator/>
      </w:r>
    </w:p>
  </w:footnote>
  <w:footnote w:type="continuationSeparator" w:id="0">
    <w:p w:rsidR="002260BB" w:rsidRDefault="002260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013" w:type="dxa"/>
      <w:tblInd w:w="-1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01"/>
      <w:gridCol w:w="425"/>
      <w:gridCol w:w="142"/>
      <w:gridCol w:w="283"/>
      <w:gridCol w:w="1701"/>
      <w:gridCol w:w="4961"/>
    </w:tblGrid>
    <w:tr w:rsidR="002C338D">
      <w:tc>
        <w:tcPr>
          <w:tcW w:w="3501" w:type="dxa"/>
          <w:shd w:val="clear" w:color="auto" w:fill="auto"/>
        </w:tcPr>
        <w:p w:rsidR="002C338D" w:rsidRDefault="002C338D">
          <w:r>
            <w:rPr>
              <w:rFonts w:ascii="KBlogo" w:hAnsi="KBlogo"/>
              <w:sz w:val="108"/>
            </w:rPr>
            <w:t></w:t>
          </w:r>
        </w:p>
      </w:tc>
      <w:tc>
        <w:tcPr>
          <w:tcW w:w="2551" w:type="dxa"/>
          <w:gridSpan w:val="4"/>
          <w:shd w:val="clear" w:color="auto" w:fill="auto"/>
        </w:tcPr>
        <w:p w:rsidR="002C338D" w:rsidRDefault="002C338D">
          <w:pPr>
            <w:pStyle w:val="kbDocumentnameextrenal"/>
            <w:shd w:val="clear" w:color="auto" w:fill="auto"/>
            <w:tabs>
              <w:tab w:val="clear" w:pos="6167"/>
              <w:tab w:val="right" w:pos="3757"/>
            </w:tabs>
          </w:pPr>
        </w:p>
      </w:tc>
      <w:tc>
        <w:tcPr>
          <w:tcW w:w="4961" w:type="dxa"/>
          <w:shd w:val="clear" w:color="auto" w:fill="auto"/>
          <w:vAlign w:val="center"/>
        </w:tcPr>
        <w:p w:rsidR="002C338D" w:rsidRDefault="002C338D">
          <w:pPr>
            <w:pStyle w:val="kbDocumentnameextrenal"/>
            <w:tabs>
              <w:tab w:val="clear" w:pos="6167"/>
              <w:tab w:val="right" w:pos="3757"/>
            </w:tabs>
          </w:pPr>
          <w:r>
            <w:tab/>
            <w:t>Dodatek ke smlouvě o úvěru</w:t>
          </w:r>
        </w:p>
      </w:tc>
    </w:tr>
    <w:tr w:rsidR="002C338D">
      <w:trPr>
        <w:trHeight w:hRule="exact" w:val="240"/>
      </w:trPr>
      <w:tc>
        <w:tcPr>
          <w:tcW w:w="3501" w:type="dxa"/>
          <w:shd w:val="clear" w:color="auto" w:fill="auto"/>
        </w:tcPr>
        <w:p w:rsidR="002C338D" w:rsidRDefault="002C338D">
          <w:pPr>
            <w:rPr>
              <w:rFonts w:ascii="KBlogo" w:hAnsi="KBlogo"/>
              <w:sz w:val="108"/>
            </w:rPr>
          </w:pPr>
          <w:r>
            <w:rPr>
              <w:rFonts w:ascii="KBlogo" w:hAnsi="KBlogo"/>
              <w:sz w:val="108"/>
            </w:rPr>
            <w:t></w:t>
          </w:r>
        </w:p>
      </w:tc>
      <w:tc>
        <w:tcPr>
          <w:tcW w:w="567" w:type="dxa"/>
          <w:gridSpan w:val="2"/>
          <w:shd w:val="clear" w:color="auto" w:fill="auto"/>
        </w:tcPr>
        <w:p w:rsidR="002C338D" w:rsidRDefault="002C338D">
          <w:pPr>
            <w:pStyle w:val="kbDocumentnameextrenal"/>
            <w:shd w:val="clear" w:color="auto" w:fill="auto"/>
            <w:tabs>
              <w:tab w:val="clear" w:pos="6167"/>
              <w:tab w:val="right" w:pos="3474"/>
            </w:tabs>
          </w:pPr>
        </w:p>
      </w:tc>
      <w:tc>
        <w:tcPr>
          <w:tcW w:w="6945" w:type="dxa"/>
          <w:gridSpan w:val="3"/>
          <w:shd w:val="clear" w:color="auto" w:fill="auto"/>
        </w:tcPr>
        <w:p w:rsidR="002C338D" w:rsidRDefault="002C338D">
          <w:pPr>
            <w:pStyle w:val="kbDocumentnameextrenal"/>
            <w:tabs>
              <w:tab w:val="clear" w:pos="6167"/>
              <w:tab w:val="right" w:pos="5741"/>
            </w:tabs>
          </w:pPr>
          <w:r>
            <w:tab/>
            <w:t>Dodatek ke smlouvě o revolvingovém úvěru</w:t>
          </w:r>
        </w:p>
      </w:tc>
    </w:tr>
    <w:tr w:rsidR="002C338D">
      <w:trPr>
        <w:trHeight w:hRule="exact" w:val="240"/>
      </w:trPr>
      <w:tc>
        <w:tcPr>
          <w:tcW w:w="3501" w:type="dxa"/>
          <w:shd w:val="clear" w:color="auto" w:fill="auto"/>
        </w:tcPr>
        <w:p w:rsidR="002C338D" w:rsidRDefault="002C338D">
          <w:pPr>
            <w:rPr>
              <w:rFonts w:ascii="KBlogo" w:hAnsi="KBlogo"/>
              <w:sz w:val="108"/>
            </w:rPr>
          </w:pPr>
          <w:r>
            <w:rPr>
              <w:rFonts w:ascii="KBlogo" w:hAnsi="KBlogo"/>
              <w:sz w:val="108"/>
            </w:rPr>
            <w:t></w:t>
          </w:r>
        </w:p>
      </w:tc>
      <w:tc>
        <w:tcPr>
          <w:tcW w:w="850" w:type="dxa"/>
          <w:gridSpan w:val="3"/>
          <w:shd w:val="clear" w:color="auto" w:fill="auto"/>
        </w:tcPr>
        <w:p w:rsidR="002C338D" w:rsidRDefault="002C338D">
          <w:pPr>
            <w:pStyle w:val="kbDocumentnameextrenal"/>
            <w:shd w:val="clear" w:color="auto" w:fill="auto"/>
            <w:tabs>
              <w:tab w:val="clear" w:pos="6167"/>
              <w:tab w:val="right" w:pos="3048"/>
            </w:tabs>
          </w:pPr>
        </w:p>
      </w:tc>
      <w:tc>
        <w:tcPr>
          <w:tcW w:w="6662" w:type="dxa"/>
          <w:gridSpan w:val="2"/>
          <w:shd w:val="clear" w:color="auto" w:fill="auto"/>
        </w:tcPr>
        <w:p w:rsidR="002C338D" w:rsidRDefault="002C338D">
          <w:pPr>
            <w:pStyle w:val="kbDocumentnameextrenal"/>
            <w:tabs>
              <w:tab w:val="clear" w:pos="6167"/>
              <w:tab w:val="right" w:pos="5458"/>
            </w:tabs>
          </w:pPr>
          <w:r>
            <w:tab/>
            <w:t>Dodatek ke smlouvě o hypotečním úvěru</w:t>
          </w:r>
        </w:p>
      </w:tc>
    </w:tr>
    <w:tr w:rsidR="002C338D">
      <w:trPr>
        <w:trHeight w:hRule="exact" w:val="23"/>
      </w:trPr>
      <w:tc>
        <w:tcPr>
          <w:tcW w:w="3501" w:type="dxa"/>
          <w:shd w:val="clear" w:color="auto" w:fill="auto"/>
        </w:tcPr>
        <w:p w:rsidR="002C338D" w:rsidRDefault="002C338D">
          <w:pPr>
            <w:rPr>
              <w:rFonts w:ascii="KBlogo" w:hAnsi="KBlogo"/>
              <w:sz w:val="108"/>
            </w:rPr>
          </w:pPr>
          <w:r>
            <w:rPr>
              <w:rFonts w:ascii="KBlogo" w:hAnsi="KBlogo"/>
              <w:sz w:val="108"/>
            </w:rPr>
            <w:t></w:t>
          </w:r>
        </w:p>
      </w:tc>
      <w:tc>
        <w:tcPr>
          <w:tcW w:w="425" w:type="dxa"/>
          <w:shd w:val="clear" w:color="auto" w:fill="auto"/>
        </w:tcPr>
        <w:p w:rsidR="002C338D" w:rsidRDefault="002C338D">
          <w:pPr>
            <w:pStyle w:val="kbDocumentnameextrenal"/>
            <w:shd w:val="clear" w:color="auto" w:fill="auto"/>
            <w:tabs>
              <w:tab w:val="clear" w:pos="6167"/>
              <w:tab w:val="right" w:pos="3757"/>
            </w:tabs>
          </w:pPr>
        </w:p>
      </w:tc>
      <w:tc>
        <w:tcPr>
          <w:tcW w:w="7087" w:type="dxa"/>
          <w:gridSpan w:val="4"/>
          <w:shd w:val="clear" w:color="auto" w:fill="auto"/>
        </w:tcPr>
        <w:p w:rsidR="002C338D" w:rsidRDefault="002C338D">
          <w:pPr>
            <w:pStyle w:val="kbDocumentnameextrenal"/>
            <w:tabs>
              <w:tab w:val="clear" w:pos="6167"/>
              <w:tab w:val="right" w:pos="5883"/>
            </w:tabs>
          </w:pPr>
          <w:r>
            <w:tab/>
            <w:t>Dodatek ke smlouvě o kontokorentním úvěru</w:t>
          </w:r>
        </w:p>
      </w:tc>
    </w:tr>
  </w:tbl>
  <w:p w:rsidR="002C338D" w:rsidRDefault="002C338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20BCF"/>
    <w:multiLevelType w:val="hybridMultilevel"/>
    <w:tmpl w:val="A0F438D0"/>
    <w:lvl w:ilvl="0" w:tplc="8168142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E36EE8"/>
    <w:multiLevelType w:val="hybridMultilevel"/>
    <w:tmpl w:val="6588AFB2"/>
    <w:lvl w:ilvl="0" w:tplc="4E3E04AA">
      <w:start w:val="8"/>
      <w:numFmt w:val="bullet"/>
      <w:lvlText w:val="-"/>
      <w:lvlJc w:val="left"/>
      <w:pPr>
        <w:ind w:left="927" w:hanging="360"/>
      </w:pPr>
      <w:rPr>
        <w:rFonts w:ascii="ArialMT" w:eastAsia="Times New Roman" w:hAnsi="ArialMT" w:cs="ArialMT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EF97545"/>
    <w:multiLevelType w:val="hybridMultilevel"/>
    <w:tmpl w:val="D772D22E"/>
    <w:lvl w:ilvl="0" w:tplc="2DEAD5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autoSpaceLikeWord95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5B64"/>
    <w:rsid w:val="00012EC6"/>
    <w:rsid w:val="00047B2B"/>
    <w:rsid w:val="000C146E"/>
    <w:rsid w:val="00171EED"/>
    <w:rsid w:val="001A0A52"/>
    <w:rsid w:val="001D7330"/>
    <w:rsid w:val="001F3D47"/>
    <w:rsid w:val="002260BB"/>
    <w:rsid w:val="00280332"/>
    <w:rsid w:val="002C338D"/>
    <w:rsid w:val="002E293C"/>
    <w:rsid w:val="00305E72"/>
    <w:rsid w:val="00340846"/>
    <w:rsid w:val="0034632D"/>
    <w:rsid w:val="00354280"/>
    <w:rsid w:val="003625B0"/>
    <w:rsid w:val="003F21A0"/>
    <w:rsid w:val="00444EDA"/>
    <w:rsid w:val="00451DD7"/>
    <w:rsid w:val="004C68DC"/>
    <w:rsid w:val="00576A45"/>
    <w:rsid w:val="005A50D3"/>
    <w:rsid w:val="005F4D36"/>
    <w:rsid w:val="00690B99"/>
    <w:rsid w:val="006E7D17"/>
    <w:rsid w:val="00724D7D"/>
    <w:rsid w:val="007713C5"/>
    <w:rsid w:val="007A3A19"/>
    <w:rsid w:val="00815E88"/>
    <w:rsid w:val="00882DBE"/>
    <w:rsid w:val="008C180C"/>
    <w:rsid w:val="008F26CB"/>
    <w:rsid w:val="0093447B"/>
    <w:rsid w:val="0094404E"/>
    <w:rsid w:val="00997DC4"/>
    <w:rsid w:val="009D4655"/>
    <w:rsid w:val="00A86696"/>
    <w:rsid w:val="00B06DDE"/>
    <w:rsid w:val="00B07188"/>
    <w:rsid w:val="00B07642"/>
    <w:rsid w:val="00B15ADF"/>
    <w:rsid w:val="00B849A2"/>
    <w:rsid w:val="00BA3C88"/>
    <w:rsid w:val="00BB76EE"/>
    <w:rsid w:val="00BE1E54"/>
    <w:rsid w:val="00C70AB0"/>
    <w:rsid w:val="00D05DD6"/>
    <w:rsid w:val="00D2372B"/>
    <w:rsid w:val="00D60CFE"/>
    <w:rsid w:val="00D61741"/>
    <w:rsid w:val="00D61A6C"/>
    <w:rsid w:val="00D91E42"/>
    <w:rsid w:val="00D933D8"/>
    <w:rsid w:val="00DB4BD3"/>
    <w:rsid w:val="00DC5D67"/>
    <w:rsid w:val="00DF6C39"/>
    <w:rsid w:val="00E058CA"/>
    <w:rsid w:val="00E11538"/>
    <w:rsid w:val="00E45B64"/>
    <w:rsid w:val="00E50B42"/>
    <w:rsid w:val="00E87D1C"/>
    <w:rsid w:val="00E954C8"/>
    <w:rsid w:val="00EA71DF"/>
    <w:rsid w:val="00ED46CE"/>
    <w:rsid w:val="00F16047"/>
    <w:rsid w:val="00F22BC0"/>
    <w:rsid w:val="00F2303B"/>
    <w:rsid w:val="00F65961"/>
    <w:rsid w:val="00FB37BE"/>
    <w:rsid w:val="00FE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92BE53-B13F-4452-8E68-DE17F2C4C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46CE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qFormat/>
    <w:pPr>
      <w:spacing w:before="240" w:after="120"/>
      <w:outlineLvl w:val="0"/>
    </w:pPr>
    <w:rPr>
      <w:b/>
      <w:i/>
      <w:sz w:val="32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b/>
      <w:i/>
      <w:sz w:val="24"/>
    </w:rPr>
  </w:style>
  <w:style w:type="paragraph" w:styleId="Nadpis3">
    <w:name w:val="heading 3"/>
    <w:basedOn w:val="Normln"/>
    <w:next w:val="Normln"/>
    <w:qFormat/>
    <w:pPr>
      <w:outlineLvl w:val="2"/>
    </w:pPr>
    <w:rPr>
      <w:b/>
      <w:i/>
    </w:rPr>
  </w:style>
  <w:style w:type="paragraph" w:styleId="Nadpis4">
    <w:name w:val="heading 4"/>
    <w:basedOn w:val="Normln"/>
    <w:next w:val="Normln"/>
    <w:qFormat/>
    <w:pPr>
      <w:ind w:left="283"/>
      <w:outlineLvl w:val="3"/>
    </w:pPr>
    <w:rPr>
      <w:rFonts w:ascii="Times New Roman" w:hAnsi="Times New Roman"/>
      <w:sz w:val="24"/>
      <w:u w:val="single"/>
    </w:rPr>
  </w:style>
  <w:style w:type="paragraph" w:styleId="Nadpis5">
    <w:name w:val="heading 5"/>
    <w:basedOn w:val="Normln"/>
    <w:next w:val="Normln"/>
    <w:qFormat/>
    <w:pPr>
      <w:ind w:left="567"/>
      <w:outlineLvl w:val="4"/>
    </w:pPr>
    <w:rPr>
      <w:rFonts w:ascii="Times New Roman" w:hAnsi="Times New Roman"/>
      <w:b/>
    </w:rPr>
  </w:style>
  <w:style w:type="paragraph" w:styleId="Nadpis6">
    <w:name w:val="heading 6"/>
    <w:basedOn w:val="Normln"/>
    <w:next w:val="Normln"/>
    <w:qFormat/>
    <w:pPr>
      <w:ind w:left="567"/>
      <w:outlineLvl w:val="5"/>
    </w:pPr>
    <w:rPr>
      <w:rFonts w:ascii="Times New Roman" w:hAnsi="Times New Roman"/>
      <w:u w:val="single"/>
    </w:rPr>
  </w:style>
  <w:style w:type="paragraph" w:styleId="Nadpis7">
    <w:name w:val="heading 7"/>
    <w:basedOn w:val="Normln"/>
    <w:next w:val="Normln"/>
    <w:qFormat/>
    <w:pPr>
      <w:ind w:left="567"/>
      <w:outlineLvl w:val="6"/>
    </w:pPr>
    <w:rPr>
      <w:rFonts w:ascii="Times New Roman" w:hAnsi="Times New Roman"/>
      <w:i/>
    </w:rPr>
  </w:style>
  <w:style w:type="paragraph" w:styleId="Nadpis8">
    <w:name w:val="heading 8"/>
    <w:basedOn w:val="Normln"/>
    <w:next w:val="Normln"/>
    <w:qFormat/>
    <w:pPr>
      <w:ind w:left="567"/>
      <w:outlineLvl w:val="7"/>
    </w:pPr>
    <w:rPr>
      <w:rFonts w:ascii="Times New Roman" w:hAnsi="Times New Roman"/>
      <w:i/>
    </w:rPr>
  </w:style>
  <w:style w:type="paragraph" w:styleId="Nadpis9">
    <w:name w:val="heading 9"/>
    <w:basedOn w:val="Normln"/>
    <w:next w:val="Normln"/>
    <w:qFormat/>
    <w:pPr>
      <w:ind w:left="567"/>
      <w:outlineLvl w:val="8"/>
    </w:pPr>
    <w:rPr>
      <w:rFonts w:ascii="Times New Roman" w:hAnsi="Times New Roman"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pPr>
      <w:ind w:left="284" w:hanging="284"/>
    </w:pPr>
    <w:rPr>
      <w:sz w:val="16"/>
    </w:rPr>
  </w:style>
  <w:style w:type="paragraph" w:customStyle="1" w:styleId="kbDocumentnameextrenal">
    <w:name w:val="kb_Document_name_extrenal"/>
    <w:basedOn w:val="Normln"/>
    <w:pPr>
      <w:shd w:val="pct37" w:color="auto" w:fill="auto"/>
      <w:tabs>
        <w:tab w:val="right" w:pos="6167"/>
      </w:tabs>
      <w:spacing w:before="560"/>
      <w:jc w:val="left"/>
    </w:pPr>
    <w:rPr>
      <w:b/>
      <w:color w:val="FFFFFF"/>
      <w:sz w:val="27"/>
    </w:r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rFonts w:ascii="Arial" w:hAnsi="Arial"/>
      <w:position w:val="6"/>
      <w:sz w:val="16"/>
    </w:rPr>
  </w:style>
  <w:style w:type="paragraph" w:customStyle="1" w:styleId="Registration">
    <w:name w:val="Registration"/>
    <w:basedOn w:val="Normln"/>
    <w:pPr>
      <w:spacing w:before="40"/>
      <w:jc w:val="left"/>
    </w:pPr>
    <w:rPr>
      <w:caps/>
      <w:sz w:val="8"/>
    </w:rPr>
  </w:style>
  <w:style w:type="character" w:styleId="slostrnky">
    <w:name w:val="page number"/>
    <w:basedOn w:val="Standardnpsmoodstavce"/>
  </w:style>
  <w:style w:type="paragraph" w:customStyle="1" w:styleId="kbFixedtext">
    <w:name w:val="kb_Fixed_text"/>
    <w:basedOn w:val="Normln"/>
    <w:pPr>
      <w:spacing w:before="40"/>
      <w:jc w:val="left"/>
    </w:pPr>
    <w:rPr>
      <w:sz w:val="16"/>
    </w:rPr>
  </w:style>
  <w:style w:type="paragraph" w:customStyle="1" w:styleId="kbRegistration">
    <w:name w:val="kb_Registration"/>
    <w:basedOn w:val="Normln"/>
    <w:pPr>
      <w:spacing w:before="40"/>
      <w:jc w:val="left"/>
    </w:pPr>
    <w:rPr>
      <w:caps/>
      <w:sz w:val="8"/>
    </w:rPr>
  </w:style>
  <w:style w:type="character" w:customStyle="1" w:styleId="AnpovdaM">
    <w:name w:val="AnápovědaM"/>
    <w:rPr>
      <w:rFonts w:ascii="Arial" w:hAnsi="Arial"/>
      <w:vanish/>
      <w:color w:val="FF0000"/>
      <w:spacing w:val="-5"/>
      <w:sz w:val="16"/>
    </w:rPr>
  </w:style>
  <w:style w:type="table" w:styleId="Mkatabulky">
    <w:name w:val="Table Grid"/>
    <w:basedOn w:val="Normlntabulka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B07642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171EE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171EED"/>
    <w:rPr>
      <w:sz w:val="20"/>
    </w:rPr>
  </w:style>
  <w:style w:type="character" w:customStyle="1" w:styleId="TextkomenteChar">
    <w:name w:val="Text komentáře Char"/>
    <w:link w:val="Textkomente"/>
    <w:semiHidden/>
    <w:rsid w:val="00171EED"/>
    <w:rPr>
      <w:rFonts w:ascii="Arial" w:hAnsi="Arial"/>
      <w:lang w:val="cs-CZ" w:eastAsia="cs-CZ" w:bidi="ar-SA"/>
    </w:rPr>
  </w:style>
  <w:style w:type="character" w:customStyle="1" w:styleId="AnapovedaM">
    <w:name w:val="AnapovedaM"/>
    <w:rsid w:val="00A86696"/>
    <w:rPr>
      <w:rFonts w:ascii="Arial" w:hAnsi="Arial" w:cs="Arial" w:hint="default"/>
      <w:vanish/>
      <w:webHidden w:val="0"/>
      <w:color w:val="FF0000"/>
      <w:spacing w:val="-5"/>
      <w:vertAlign w:val="baseline"/>
      <w:specVanish w:val="0"/>
    </w:rPr>
  </w:style>
  <w:style w:type="character" w:styleId="Hypertextovodkaz">
    <w:name w:val="Hyperlink"/>
    <w:uiPriority w:val="99"/>
    <w:rsid w:val="00A86696"/>
    <w:rPr>
      <w:rFonts w:ascii="Arial" w:hAnsi="Arial"/>
      <w:b/>
      <w:color w:val="0000FF"/>
      <w:sz w:val="24"/>
      <w:u w:val="single"/>
      <w:lang w:val="cs-CZ" w:eastAsia="cs-CZ" w:bidi="ar-SA"/>
    </w:rPr>
  </w:style>
  <w:style w:type="character" w:styleId="Siln">
    <w:name w:val="Strong"/>
    <w:uiPriority w:val="22"/>
    <w:qFormat/>
    <w:rsid w:val="00C70AB0"/>
    <w:rPr>
      <w:b/>
      <w:bCs/>
    </w:rPr>
  </w:style>
  <w:style w:type="character" w:customStyle="1" w:styleId="nowrap">
    <w:name w:val="nowrap"/>
    <w:rsid w:val="00C70AB0"/>
  </w:style>
  <w:style w:type="paragraph" w:customStyle="1" w:styleId="StylVlevo0cmPedsazen075cmVpravo-001cm">
    <w:name w:val="Styl Vlevo:  0 cm Předsazení:  075 cm Vpravo:  -001 cm"/>
    <w:basedOn w:val="Normln"/>
    <w:rsid w:val="00E954C8"/>
    <w:pPr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5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1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7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52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040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680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89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p4060skp@ds.kb.cz" TargetMode="External"/><Relationship Id="rId13" Type="http://schemas.openxmlformats.org/officeDocument/2006/relationships/hyperlink" Target="mailto:hoskova@bytovk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p4050skp@ds.kb.cz" TargetMode="External"/><Relationship Id="rId12" Type="http://schemas.openxmlformats.org/officeDocument/2006/relationships/hyperlink" Target="mailto:tcap@kb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ap4090skp@ds.kb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cap4080skp@ds.kb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ap4070skp@ds.kb.cz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TEMPLATE\Dodatusn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Dodatusn</Template>
  <TotalTime>1</TotalTime>
  <Pages>4</Pages>
  <Words>1416</Words>
  <Characters>8356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ke Smlouvě o úvěru</vt:lpstr>
    </vt:vector>
  </TitlesOfParts>
  <Manager>MAO</Manager>
  <Company>Komerční banka, a.s.</Company>
  <LinksUpToDate>false</LinksUpToDate>
  <CharactersWithSpaces>9753</CharactersWithSpaces>
  <SharedDoc>false</SharedDoc>
  <HLinks>
    <vt:vector size="42" baseType="variant">
      <vt:variant>
        <vt:i4>1376299</vt:i4>
      </vt:variant>
      <vt:variant>
        <vt:i4>24</vt:i4>
      </vt:variant>
      <vt:variant>
        <vt:i4>0</vt:i4>
      </vt:variant>
      <vt:variant>
        <vt:i4>5</vt:i4>
      </vt:variant>
      <vt:variant>
        <vt:lpwstr>mailto:hoskova@bytovka.cz</vt:lpwstr>
      </vt:variant>
      <vt:variant>
        <vt:lpwstr/>
      </vt:variant>
      <vt:variant>
        <vt:i4>3538972</vt:i4>
      </vt:variant>
      <vt:variant>
        <vt:i4>21</vt:i4>
      </vt:variant>
      <vt:variant>
        <vt:i4>0</vt:i4>
      </vt:variant>
      <vt:variant>
        <vt:i4>5</vt:i4>
      </vt:variant>
      <vt:variant>
        <vt:lpwstr>mailto:tcap@kb.cz</vt:lpwstr>
      </vt:variant>
      <vt:variant>
        <vt:lpwstr/>
      </vt:variant>
      <vt:variant>
        <vt:i4>1441902</vt:i4>
      </vt:variant>
      <vt:variant>
        <vt:i4>18</vt:i4>
      </vt:variant>
      <vt:variant>
        <vt:i4>0</vt:i4>
      </vt:variant>
      <vt:variant>
        <vt:i4>5</vt:i4>
      </vt:variant>
      <vt:variant>
        <vt:lpwstr>mailto:cap4090skp@ds.kb.cz</vt:lpwstr>
      </vt:variant>
      <vt:variant>
        <vt:lpwstr/>
      </vt:variant>
      <vt:variant>
        <vt:i4>1441903</vt:i4>
      </vt:variant>
      <vt:variant>
        <vt:i4>15</vt:i4>
      </vt:variant>
      <vt:variant>
        <vt:i4>0</vt:i4>
      </vt:variant>
      <vt:variant>
        <vt:i4>5</vt:i4>
      </vt:variant>
      <vt:variant>
        <vt:lpwstr>mailto:cap4080skp@ds.kb.cz</vt:lpwstr>
      </vt:variant>
      <vt:variant>
        <vt:lpwstr/>
      </vt:variant>
      <vt:variant>
        <vt:i4>1441888</vt:i4>
      </vt:variant>
      <vt:variant>
        <vt:i4>12</vt:i4>
      </vt:variant>
      <vt:variant>
        <vt:i4>0</vt:i4>
      </vt:variant>
      <vt:variant>
        <vt:i4>5</vt:i4>
      </vt:variant>
      <vt:variant>
        <vt:lpwstr>mailto:cap4070skp@ds.kb.cz</vt:lpwstr>
      </vt:variant>
      <vt:variant>
        <vt:lpwstr/>
      </vt:variant>
      <vt:variant>
        <vt:i4>1441889</vt:i4>
      </vt:variant>
      <vt:variant>
        <vt:i4>9</vt:i4>
      </vt:variant>
      <vt:variant>
        <vt:i4>0</vt:i4>
      </vt:variant>
      <vt:variant>
        <vt:i4>5</vt:i4>
      </vt:variant>
      <vt:variant>
        <vt:lpwstr>mailto:cap4060skp@ds.kb.cz</vt:lpwstr>
      </vt:variant>
      <vt:variant>
        <vt:lpwstr/>
      </vt:variant>
      <vt:variant>
        <vt:i4>1441890</vt:i4>
      </vt:variant>
      <vt:variant>
        <vt:i4>6</vt:i4>
      </vt:variant>
      <vt:variant>
        <vt:i4>0</vt:i4>
      </vt:variant>
      <vt:variant>
        <vt:i4>5</vt:i4>
      </vt:variant>
      <vt:variant>
        <vt:lpwstr>mailto:cap4050skp@ds.kb.cz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ke Smlouvě o úvěru</dc:title>
  <dc:subject>Úvěry</dc:subject>
  <dc:creator>Moravkova Jana</dc:creator>
  <cp:keywords/>
  <dc:description/>
  <cp:lastModifiedBy>Marcela Ingrová</cp:lastModifiedBy>
  <cp:revision>2</cp:revision>
  <cp:lastPrinted>2018-01-18T07:53:00Z</cp:lastPrinted>
  <dcterms:created xsi:type="dcterms:W3CDTF">2018-01-31T12:55:00Z</dcterms:created>
  <dcterms:modified xsi:type="dcterms:W3CDTF">2018-01-31T12:55:00Z</dcterms:modified>
</cp:coreProperties>
</file>