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B6" w:rsidRPr="008D1ECA" w:rsidRDefault="00083AEF" w:rsidP="008D1ECA">
      <w:pPr>
        <w:pStyle w:val="Nzev"/>
      </w:pPr>
      <w:r>
        <w:t>Agreement</w:t>
      </w:r>
      <w:r w:rsidR="009D5AF2" w:rsidRPr="008D1ECA">
        <w:t xml:space="preserve"> on Collaborative Research and Development in scope of the </w:t>
      </w:r>
      <w:r w:rsidR="009D5AF2" w:rsidRPr="008D1ECA">
        <w:br/>
        <w:t xml:space="preserve">“Reliable Time-Sensitive Networks in Distributed Cyber-Physical Systems </w:t>
      </w:r>
      <w:r w:rsidR="009D5AF2" w:rsidRPr="008D1ECA">
        <w:br/>
        <w:t xml:space="preserve">for Real-Time Control Industry 4.0 Applications” </w:t>
      </w:r>
      <w:r w:rsidR="009D5AF2" w:rsidRPr="008D1ECA">
        <w:br/>
        <w:t>project</w:t>
      </w:r>
    </w:p>
    <w:p w:rsidR="009F71C5" w:rsidRDefault="009F71C5" w:rsidP="008D1ECA"/>
    <w:p w:rsidR="009D5AF2" w:rsidRPr="009D5AF2" w:rsidRDefault="009D5AF2" w:rsidP="00757CDF">
      <w:pPr>
        <w:pStyle w:val="Nadpis3"/>
      </w:pPr>
      <w:r>
        <w:t xml:space="preserve">Contracting </w:t>
      </w:r>
      <w:r w:rsidR="00FC79C2" w:rsidRPr="00757CDF">
        <w:t>P</w:t>
      </w:r>
      <w:r w:rsidRPr="00757CDF">
        <w:t>arties</w:t>
      </w:r>
      <w:r>
        <w:t>:</w:t>
      </w:r>
    </w:p>
    <w:tbl>
      <w:tblPr>
        <w:tblStyle w:val="Mkatabulky"/>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1559"/>
        <w:gridCol w:w="1242"/>
      </w:tblGrid>
      <w:tr w:rsidR="006B1761" w:rsidRPr="006B1761" w:rsidTr="006B1761">
        <w:tc>
          <w:tcPr>
            <w:tcW w:w="3085" w:type="dxa"/>
            <w:tcBorders>
              <w:top w:val="single" w:sz="8" w:space="0" w:color="auto"/>
              <w:bottom w:val="single" w:sz="8" w:space="0" w:color="auto"/>
              <w:right w:val="single" w:sz="8" w:space="0" w:color="000000" w:themeColor="text1"/>
            </w:tcBorders>
          </w:tcPr>
          <w:p w:rsidR="006B1761" w:rsidRPr="006B1761" w:rsidRDefault="006B1761" w:rsidP="008D1ECA">
            <w:pPr>
              <w:rPr>
                <w:b/>
              </w:rPr>
            </w:pPr>
            <w:r w:rsidRPr="006B1761">
              <w:rPr>
                <w:b/>
              </w:rPr>
              <w:t>Company / Institute</w:t>
            </w:r>
          </w:p>
        </w:tc>
        <w:tc>
          <w:tcPr>
            <w:tcW w:w="3402" w:type="dxa"/>
            <w:tcBorders>
              <w:top w:val="single" w:sz="8" w:space="0" w:color="auto"/>
              <w:left w:val="single" w:sz="8" w:space="0" w:color="000000" w:themeColor="text1"/>
              <w:bottom w:val="single" w:sz="8" w:space="0" w:color="auto"/>
              <w:right w:val="single" w:sz="8" w:space="0" w:color="000000" w:themeColor="text1"/>
            </w:tcBorders>
          </w:tcPr>
          <w:p w:rsidR="006B1761" w:rsidRPr="006B1761" w:rsidRDefault="006B1761" w:rsidP="008D1ECA">
            <w:pPr>
              <w:rPr>
                <w:b/>
              </w:rPr>
            </w:pPr>
            <w:r w:rsidRPr="006B1761">
              <w:rPr>
                <w:b/>
              </w:rPr>
              <w:t>Address</w:t>
            </w:r>
          </w:p>
        </w:tc>
        <w:tc>
          <w:tcPr>
            <w:tcW w:w="1559" w:type="dxa"/>
            <w:tcBorders>
              <w:top w:val="single" w:sz="8" w:space="0" w:color="auto"/>
              <w:left w:val="single" w:sz="8" w:space="0" w:color="000000" w:themeColor="text1"/>
              <w:bottom w:val="single" w:sz="8" w:space="0" w:color="auto"/>
            </w:tcBorders>
          </w:tcPr>
          <w:p w:rsidR="006B1761" w:rsidRPr="006B1761" w:rsidRDefault="006B1761" w:rsidP="008D1ECA">
            <w:pPr>
              <w:rPr>
                <w:b/>
              </w:rPr>
            </w:pPr>
            <w:r w:rsidRPr="006B1761">
              <w:rPr>
                <w:b/>
              </w:rPr>
              <w:t>Tax / VAT ID</w:t>
            </w:r>
          </w:p>
        </w:tc>
        <w:tc>
          <w:tcPr>
            <w:tcW w:w="1242" w:type="dxa"/>
            <w:tcBorders>
              <w:top w:val="single" w:sz="8" w:space="0" w:color="auto"/>
              <w:left w:val="single" w:sz="8" w:space="0" w:color="000000" w:themeColor="text1"/>
              <w:bottom w:val="single" w:sz="8" w:space="0" w:color="auto"/>
            </w:tcBorders>
          </w:tcPr>
          <w:p w:rsidR="006B1761" w:rsidRPr="006B1761" w:rsidRDefault="006B1761" w:rsidP="006B1761">
            <w:pPr>
              <w:rPr>
                <w:b/>
              </w:rPr>
            </w:pPr>
            <w:r w:rsidRPr="006B1761">
              <w:rPr>
                <w:b/>
              </w:rPr>
              <w:t>Abbrev.</w:t>
            </w:r>
          </w:p>
        </w:tc>
      </w:tr>
      <w:tr w:rsidR="006B1761" w:rsidTr="006B1761">
        <w:tc>
          <w:tcPr>
            <w:tcW w:w="3085" w:type="dxa"/>
            <w:tcBorders>
              <w:top w:val="single" w:sz="8" w:space="0" w:color="auto"/>
              <w:bottom w:val="single" w:sz="4" w:space="0" w:color="808080" w:themeColor="background1" w:themeShade="80"/>
              <w:right w:val="single" w:sz="4" w:space="0" w:color="808080" w:themeColor="background1" w:themeShade="80"/>
            </w:tcBorders>
          </w:tcPr>
          <w:p w:rsidR="006B1761" w:rsidRDefault="006B1761" w:rsidP="008D1ECA">
            <w:r>
              <w:t xml:space="preserve">REX Controls </w:t>
            </w:r>
            <w:proofErr w:type="spellStart"/>
            <w:r>
              <w:t>s.r.o</w:t>
            </w:r>
            <w:proofErr w:type="spellEnd"/>
            <w:r>
              <w:t>.</w:t>
            </w:r>
          </w:p>
        </w:tc>
        <w:tc>
          <w:tcPr>
            <w:tcW w:w="3402" w:type="dxa"/>
            <w:tcBorders>
              <w:top w:val="single" w:sz="8"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6B1761" w:rsidRDefault="006B1761" w:rsidP="008D1ECA">
            <w:proofErr w:type="spellStart"/>
            <w:r w:rsidRPr="009D5AF2">
              <w:t>Jařabinová</w:t>
            </w:r>
            <w:proofErr w:type="spellEnd"/>
            <w:r w:rsidRPr="009D5AF2">
              <w:t xml:space="preserve"> 30</w:t>
            </w:r>
          </w:p>
          <w:p w:rsidR="006B1761" w:rsidRDefault="006B1761" w:rsidP="008D1ECA">
            <w:r w:rsidRPr="009D5AF2">
              <w:t xml:space="preserve">CZ 326 00 </w:t>
            </w:r>
            <w:proofErr w:type="spellStart"/>
            <w:r w:rsidRPr="009D5AF2">
              <w:t>Plzeň</w:t>
            </w:r>
            <w:proofErr w:type="spellEnd"/>
          </w:p>
        </w:tc>
        <w:tc>
          <w:tcPr>
            <w:tcW w:w="1559" w:type="dxa"/>
            <w:tcBorders>
              <w:top w:val="single" w:sz="8" w:space="0" w:color="auto"/>
              <w:left w:val="single" w:sz="4" w:space="0" w:color="808080" w:themeColor="background1" w:themeShade="80"/>
              <w:bottom w:val="single" w:sz="4" w:space="0" w:color="808080" w:themeColor="background1" w:themeShade="80"/>
            </w:tcBorders>
          </w:tcPr>
          <w:p w:rsidR="006B1761" w:rsidRDefault="006B1761" w:rsidP="008D1ECA">
            <w:r w:rsidRPr="00B33EAD">
              <w:t>CZ25239562</w:t>
            </w:r>
          </w:p>
        </w:tc>
        <w:tc>
          <w:tcPr>
            <w:tcW w:w="1242" w:type="dxa"/>
            <w:tcBorders>
              <w:top w:val="single" w:sz="8" w:space="0" w:color="auto"/>
              <w:left w:val="single" w:sz="4" w:space="0" w:color="808080" w:themeColor="background1" w:themeShade="80"/>
              <w:bottom w:val="single" w:sz="4" w:space="0" w:color="808080" w:themeColor="background1" w:themeShade="80"/>
            </w:tcBorders>
          </w:tcPr>
          <w:p w:rsidR="006B1761" w:rsidRPr="00B33EAD" w:rsidRDefault="006B1761" w:rsidP="008D1ECA">
            <w:r>
              <w:t>REX</w:t>
            </w:r>
          </w:p>
        </w:tc>
      </w:tr>
      <w:tr w:rsidR="006B1761" w:rsidTr="006B1761">
        <w:tc>
          <w:tcPr>
            <w:tcW w:w="308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B1761" w:rsidRDefault="006B1761" w:rsidP="008D1ECA">
            <w:proofErr w:type="spellStart"/>
            <w:r>
              <w:t>Západočeská</w:t>
            </w:r>
            <w:proofErr w:type="spellEnd"/>
            <w:r>
              <w:t xml:space="preserve"> </w:t>
            </w:r>
            <w:proofErr w:type="spellStart"/>
            <w:r>
              <w:t>univerzita</w:t>
            </w:r>
            <w:proofErr w:type="spellEnd"/>
            <w:r>
              <w:t xml:space="preserve"> v </w:t>
            </w:r>
            <w:proofErr w:type="spellStart"/>
            <w:r>
              <w:t>Plzni</w:t>
            </w:r>
            <w:proofErr w:type="spellEnd"/>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1761" w:rsidRPr="009D5AF2" w:rsidRDefault="006B1761" w:rsidP="008D1ECA">
            <w:proofErr w:type="spellStart"/>
            <w:r>
              <w:t>Univerzitní</w:t>
            </w:r>
            <w:proofErr w:type="spellEnd"/>
            <w:r>
              <w:t xml:space="preserve"> 8</w:t>
            </w:r>
          </w:p>
          <w:p w:rsidR="006B1761" w:rsidRDefault="006B1761" w:rsidP="008D1ECA">
            <w:r w:rsidRPr="009D5AF2">
              <w:t xml:space="preserve">CZ 301 00 </w:t>
            </w:r>
            <w:proofErr w:type="spellStart"/>
            <w:r w:rsidRPr="009D5AF2">
              <w:t>Plzeň</w:t>
            </w:r>
            <w:proofErr w:type="spellEnd"/>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B1761" w:rsidRDefault="006B1761" w:rsidP="008D1ECA">
            <w:r>
              <w:t>CZ</w:t>
            </w:r>
            <w:r w:rsidRPr="00B33EAD">
              <w:t>49777513</w:t>
            </w:r>
          </w:p>
        </w:tc>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B1761" w:rsidRDefault="003068CC" w:rsidP="008D1ECA">
            <w:r>
              <w:t>Z</w:t>
            </w:r>
            <w:r>
              <w:rPr>
                <w:lang w:val="cs-CZ"/>
              </w:rPr>
              <w:t>Č</w:t>
            </w:r>
            <w:r>
              <w:t>U</w:t>
            </w:r>
          </w:p>
        </w:tc>
      </w:tr>
      <w:tr w:rsidR="006B1761" w:rsidTr="006B1761">
        <w:tc>
          <w:tcPr>
            <w:tcW w:w="308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B1761" w:rsidRDefault="006B1761" w:rsidP="008D1ECA">
            <w:r>
              <w:t>STACKFORCE GmbH</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1761" w:rsidRDefault="006B1761" w:rsidP="008D1ECA">
            <w:proofErr w:type="spellStart"/>
            <w:r>
              <w:t>Poststr</w:t>
            </w:r>
            <w:proofErr w:type="spellEnd"/>
            <w:r>
              <w:t>. 35</w:t>
            </w:r>
          </w:p>
          <w:p w:rsidR="006B1761" w:rsidRDefault="006B1761" w:rsidP="008D1ECA">
            <w:r w:rsidRPr="009D5AF2">
              <w:t>D</w:t>
            </w:r>
            <w:r>
              <w:t xml:space="preserve">E </w:t>
            </w:r>
            <w:r w:rsidRPr="009D5AF2">
              <w:t>794</w:t>
            </w:r>
            <w:r>
              <w:t xml:space="preserve"> </w:t>
            </w:r>
            <w:r w:rsidRPr="009D5AF2">
              <w:t>23 Heitersheim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B1761" w:rsidRDefault="006B1761" w:rsidP="008D1ECA">
            <w:r w:rsidRPr="00B33EAD">
              <w:t>DE295327239</w:t>
            </w:r>
          </w:p>
        </w:tc>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6B1761" w:rsidRPr="00B33EAD" w:rsidRDefault="006B1761" w:rsidP="008D1ECA">
            <w:r>
              <w:t>SF</w:t>
            </w:r>
          </w:p>
        </w:tc>
      </w:tr>
      <w:tr w:rsidR="006B1761" w:rsidRPr="009D5AF2" w:rsidTr="006B1761">
        <w:tc>
          <w:tcPr>
            <w:tcW w:w="3085" w:type="dxa"/>
            <w:tcBorders>
              <w:top w:val="single" w:sz="4" w:space="0" w:color="808080" w:themeColor="background1" w:themeShade="80"/>
              <w:right w:val="single" w:sz="4" w:space="0" w:color="808080" w:themeColor="background1" w:themeShade="80"/>
            </w:tcBorders>
          </w:tcPr>
          <w:p w:rsidR="006B1761" w:rsidRPr="009D5AF2" w:rsidRDefault="006B1761" w:rsidP="008D1ECA">
            <w:pPr>
              <w:rPr>
                <w:lang w:val="de-DE"/>
              </w:rPr>
            </w:pPr>
            <w:r w:rsidRPr="009D5AF2">
              <w:rPr>
                <w:lang w:val="de-DE"/>
              </w:rPr>
              <w:t>Hahn-Schickard-Gesellschaft für angewandte Forschung e.V.</w:t>
            </w:r>
          </w:p>
        </w:tc>
        <w:tc>
          <w:tcPr>
            <w:tcW w:w="3402" w:type="dxa"/>
            <w:tcBorders>
              <w:top w:val="single" w:sz="4" w:space="0" w:color="808080" w:themeColor="background1" w:themeShade="80"/>
              <w:left w:val="single" w:sz="4" w:space="0" w:color="808080" w:themeColor="background1" w:themeShade="80"/>
              <w:bottom w:val="single" w:sz="8" w:space="0" w:color="auto"/>
              <w:right w:val="single" w:sz="4" w:space="0" w:color="808080" w:themeColor="background1" w:themeShade="80"/>
            </w:tcBorders>
          </w:tcPr>
          <w:p w:rsidR="006B1761" w:rsidRPr="009D5AF2" w:rsidRDefault="006B1761" w:rsidP="008D1ECA">
            <w:pPr>
              <w:rPr>
                <w:lang w:val="de-DE"/>
              </w:rPr>
            </w:pPr>
            <w:r w:rsidRPr="009D5AF2">
              <w:rPr>
                <w:lang w:val="de-DE"/>
              </w:rPr>
              <w:t>Wilhelm-Schickard-Str. 10</w:t>
            </w:r>
          </w:p>
          <w:p w:rsidR="006B1761" w:rsidRPr="009D5AF2" w:rsidRDefault="006B1761" w:rsidP="008D1ECA">
            <w:pPr>
              <w:rPr>
                <w:lang w:val="de-DE"/>
              </w:rPr>
            </w:pPr>
            <w:r w:rsidRPr="009D5AF2">
              <w:rPr>
                <w:lang w:val="de-DE"/>
              </w:rPr>
              <w:t>D</w:t>
            </w:r>
            <w:r>
              <w:rPr>
                <w:lang w:val="de-DE"/>
              </w:rPr>
              <w:t xml:space="preserve">E </w:t>
            </w:r>
            <w:r w:rsidRPr="009D5AF2">
              <w:rPr>
                <w:lang w:val="de-DE"/>
              </w:rPr>
              <w:t>780</w:t>
            </w:r>
            <w:r>
              <w:rPr>
                <w:lang w:val="de-DE"/>
              </w:rPr>
              <w:t xml:space="preserve"> </w:t>
            </w:r>
            <w:r w:rsidRPr="009D5AF2">
              <w:rPr>
                <w:lang w:val="de-DE"/>
              </w:rPr>
              <w:t>52 Villingen-Schwenningen</w:t>
            </w:r>
          </w:p>
        </w:tc>
        <w:tc>
          <w:tcPr>
            <w:tcW w:w="1559" w:type="dxa"/>
            <w:tcBorders>
              <w:top w:val="single" w:sz="4" w:space="0" w:color="808080" w:themeColor="background1" w:themeShade="80"/>
              <w:left w:val="single" w:sz="4" w:space="0" w:color="808080" w:themeColor="background1" w:themeShade="80"/>
            </w:tcBorders>
          </w:tcPr>
          <w:p w:rsidR="006B1761" w:rsidRPr="009D5AF2" w:rsidRDefault="006B1761" w:rsidP="008D1ECA">
            <w:pPr>
              <w:rPr>
                <w:lang w:val="de-DE"/>
              </w:rPr>
            </w:pPr>
            <w:r w:rsidRPr="00B33EAD">
              <w:rPr>
                <w:lang w:val="de-DE"/>
              </w:rPr>
              <w:t>DE147807640</w:t>
            </w:r>
          </w:p>
        </w:tc>
        <w:tc>
          <w:tcPr>
            <w:tcW w:w="1242" w:type="dxa"/>
            <w:tcBorders>
              <w:top w:val="single" w:sz="4" w:space="0" w:color="808080" w:themeColor="background1" w:themeShade="80"/>
              <w:left w:val="single" w:sz="4" w:space="0" w:color="808080" w:themeColor="background1" w:themeShade="80"/>
            </w:tcBorders>
          </w:tcPr>
          <w:p w:rsidR="006B1761" w:rsidRPr="00B33EAD" w:rsidRDefault="006B1761" w:rsidP="008D1ECA">
            <w:pPr>
              <w:rPr>
                <w:lang w:val="de-DE"/>
              </w:rPr>
            </w:pPr>
            <w:r>
              <w:rPr>
                <w:lang w:val="de-DE"/>
              </w:rPr>
              <w:t>HS</w:t>
            </w:r>
            <w:r w:rsidR="003068CC">
              <w:rPr>
                <w:lang w:val="de-DE"/>
              </w:rPr>
              <w:t>G</w:t>
            </w:r>
          </w:p>
        </w:tc>
      </w:tr>
    </w:tbl>
    <w:p w:rsidR="008D1ECA" w:rsidRDefault="008D1ECA" w:rsidP="008D1ECA">
      <w:pPr>
        <w:rPr>
          <w:lang w:val="de-DE"/>
        </w:rPr>
      </w:pPr>
    </w:p>
    <w:p w:rsidR="00E96805" w:rsidRDefault="008D1ECA" w:rsidP="008D1ECA">
      <w:r>
        <w:t xml:space="preserve">The 4 above listed contracting parties (hereinafter referred to as “Parties”) agreed to work on a joint research and development project called </w:t>
      </w:r>
      <w:r w:rsidRPr="008D1ECA">
        <w:t>“Reliable Time-Sensitive Networks in Distributed Cyber-Physical Systems for Real-Time Control Industry 4.0 Applications”</w:t>
      </w:r>
      <w:r>
        <w:t xml:space="preserve"> (hereinafter referred to as “Project”) according to terms specified in this </w:t>
      </w:r>
      <w:r w:rsidR="00E96805">
        <w:t>agreement (hereinafter referred to as “Agreement”)</w:t>
      </w:r>
      <w:r>
        <w:t>.</w:t>
      </w:r>
      <w:r w:rsidR="006B1761">
        <w:t xml:space="preserve"> </w:t>
      </w:r>
    </w:p>
    <w:p w:rsidR="006B1761" w:rsidRDefault="006B1761" w:rsidP="008D1ECA">
      <w:r>
        <w:t>The individual parties are further in the document referred to by their abbreviations listed in the “Abbrev.” column.</w:t>
      </w:r>
    </w:p>
    <w:p w:rsidR="00751874" w:rsidRDefault="00751874" w:rsidP="008D1ECA"/>
    <w:p w:rsidR="006B1761" w:rsidRDefault="006B1761" w:rsidP="00757CDF">
      <w:pPr>
        <w:pStyle w:val="Nadpis3"/>
      </w:pPr>
      <w:r>
        <w:t>Cooperation</w:t>
      </w:r>
    </w:p>
    <w:p w:rsidR="003068CC" w:rsidRDefault="003068CC" w:rsidP="006B1761">
      <w:r>
        <w:t>The parties agreed to work jointly on Project tasks according to the following work plan, solve the Project tasks responsibly and in extent prescribed by the work plan.</w:t>
      </w:r>
    </w:p>
    <w:p w:rsidR="006B1761" w:rsidRDefault="0043278B" w:rsidP="006B1761">
      <w:r>
        <w:t>xxx</w:t>
      </w:r>
      <w:bookmarkStart w:id="0" w:name="_GoBack"/>
      <w:bookmarkEnd w:id="0"/>
    </w:p>
    <w:p w:rsidR="00C0690E" w:rsidRPr="006B1761" w:rsidRDefault="00C0690E" w:rsidP="006B1761">
      <w:r>
        <w:rPr>
          <w:lang w:val="en"/>
        </w:rPr>
        <w:t>The Parties undertake to cooperate on the Project Implementation Plan. The Project Implementation Plan must be drawn up in accordance with the terms of the Project.</w:t>
      </w:r>
    </w:p>
    <w:p w:rsidR="00751874" w:rsidRDefault="00751874" w:rsidP="00757CDF">
      <w:pPr>
        <w:pStyle w:val="Nadpis3"/>
      </w:pPr>
      <w:r>
        <w:t xml:space="preserve">Pre-existing </w:t>
      </w:r>
      <w:r w:rsidR="00FC79C2">
        <w:t>Knowledge and E</w:t>
      </w:r>
      <w:r>
        <w:t>quipment</w:t>
      </w:r>
    </w:p>
    <w:p w:rsidR="005F7CC9" w:rsidRPr="002718A7" w:rsidRDefault="005F7CC9" w:rsidP="002B1925">
      <w:pPr>
        <w:autoSpaceDE w:val="0"/>
        <w:autoSpaceDN w:val="0"/>
        <w:adjustRightInd w:val="0"/>
        <w:spacing w:after="0" w:line="240" w:lineRule="auto"/>
      </w:pPr>
      <w:r w:rsidRPr="002718A7">
        <w:t xml:space="preserve">Pre-existing </w:t>
      </w:r>
      <w:r w:rsidRPr="002718A7">
        <w:rPr>
          <w:rFonts w:cs="TimesNewRomanPS-BoldMT"/>
          <w:bCs/>
        </w:rPr>
        <w:t>knowledge</w:t>
      </w:r>
      <w:r w:rsidRPr="002718A7">
        <w:rPr>
          <w:rFonts w:cs="TimesNewRomanPS-BoldMT"/>
          <w:b/>
          <w:bCs/>
        </w:rPr>
        <w:t xml:space="preserve"> </w:t>
      </w:r>
      <w:r w:rsidRPr="002718A7">
        <w:rPr>
          <w:rFonts w:cs="TimesNewRomanPSMT"/>
        </w:rPr>
        <w:t>means any data, know-how or information</w:t>
      </w:r>
      <w:r w:rsidR="002B1925" w:rsidRPr="002718A7">
        <w:rPr>
          <w:rFonts w:cs="TimesNewRomanPSMT"/>
        </w:rPr>
        <w:t xml:space="preserve"> -</w:t>
      </w:r>
      <w:r w:rsidRPr="002718A7">
        <w:rPr>
          <w:rFonts w:cs="TimesNewRomanPSMT"/>
        </w:rPr>
        <w:t xml:space="preserve"> whatever its form or nature (tangible or intangible), including any rights such as intellectual property rights</w:t>
      </w:r>
      <w:r w:rsidR="002B1925" w:rsidRPr="002718A7">
        <w:rPr>
          <w:rFonts w:cs="TimesNewRomanPSMT"/>
        </w:rPr>
        <w:t xml:space="preserve"> -</w:t>
      </w:r>
      <w:r w:rsidRPr="002718A7">
        <w:rPr>
          <w:rFonts w:cs="TimesNewRomanPSMT"/>
        </w:rPr>
        <w:t xml:space="preserve"> that is held by the </w:t>
      </w:r>
      <w:r w:rsidR="0025711B">
        <w:rPr>
          <w:rFonts w:cs="TimesNewRomanPSMT"/>
        </w:rPr>
        <w:t>P</w:t>
      </w:r>
      <w:r w:rsidRPr="002718A7">
        <w:rPr>
          <w:rFonts w:cs="TimesNewRomanPSMT"/>
        </w:rPr>
        <w:t xml:space="preserve">arties before they acceded to the Agreement, and that is needed to implement the </w:t>
      </w:r>
      <w:r w:rsidR="002B1925" w:rsidRPr="002718A7">
        <w:rPr>
          <w:rFonts w:cs="TimesNewRomanPSMT"/>
        </w:rPr>
        <w:t>Project</w:t>
      </w:r>
      <w:r w:rsidRPr="002718A7">
        <w:t>.</w:t>
      </w:r>
    </w:p>
    <w:p w:rsidR="005F7CC9" w:rsidRPr="002718A7" w:rsidRDefault="005F7CC9" w:rsidP="002B1925">
      <w:pPr>
        <w:autoSpaceDE w:val="0"/>
        <w:autoSpaceDN w:val="0"/>
        <w:adjustRightInd w:val="0"/>
        <w:spacing w:after="0" w:line="240" w:lineRule="auto"/>
      </w:pPr>
      <w:r w:rsidRPr="002718A7">
        <w:t>The Parties grant</w:t>
      </w:r>
      <w:r w:rsidRPr="002718A7">
        <w:rPr>
          <w:rFonts w:cs="TimesNewRomanPSMT"/>
        </w:rPr>
        <w:t xml:space="preserve"> each other </w:t>
      </w:r>
      <w:r w:rsidR="00117565" w:rsidRPr="002718A7">
        <w:rPr>
          <w:rFonts w:cs="TimesNewRomanPSMT"/>
        </w:rPr>
        <w:t>rights to use</w:t>
      </w:r>
      <w:r w:rsidRPr="002718A7">
        <w:rPr>
          <w:rFonts w:cs="TimesNewRomanPSMT"/>
        </w:rPr>
        <w:t xml:space="preserve"> — on a royalty-free basis — t</w:t>
      </w:r>
      <w:r w:rsidR="00117565" w:rsidRPr="002718A7">
        <w:rPr>
          <w:rFonts w:cs="TimesNewRomanPSMT"/>
        </w:rPr>
        <w:t>he</w:t>
      </w:r>
      <w:r w:rsidRPr="002718A7">
        <w:rPr>
          <w:rFonts w:cs="TimesNewRomanPSMT"/>
        </w:rPr>
        <w:t xml:space="preserve"> pre-existing knowledge to</w:t>
      </w:r>
      <w:r w:rsidR="00117565" w:rsidRPr="002718A7">
        <w:rPr>
          <w:rFonts w:cs="TimesNewRomanPSMT"/>
        </w:rPr>
        <w:t xml:space="preserve"> </w:t>
      </w:r>
      <w:r w:rsidRPr="002718A7">
        <w:rPr>
          <w:rFonts w:cs="TimesNewRomanPSMT"/>
        </w:rPr>
        <w:t xml:space="preserve">implement </w:t>
      </w:r>
      <w:r w:rsidR="00117565" w:rsidRPr="002718A7">
        <w:rPr>
          <w:rFonts w:cs="TimesNewRomanPSMT"/>
        </w:rPr>
        <w:t>the Project</w:t>
      </w:r>
      <w:r w:rsidR="002B1925" w:rsidRPr="002718A7">
        <w:rPr>
          <w:rFonts w:cs="TimesNewRomanPSMT"/>
        </w:rPr>
        <w:t xml:space="preserve"> only</w:t>
      </w:r>
      <w:r w:rsidRPr="002718A7">
        <w:t xml:space="preserve">. </w:t>
      </w:r>
    </w:p>
    <w:p w:rsidR="002B1925" w:rsidRPr="002B1925" w:rsidRDefault="002B1925" w:rsidP="002B1925">
      <w:pPr>
        <w:autoSpaceDE w:val="0"/>
        <w:autoSpaceDN w:val="0"/>
        <w:adjustRightInd w:val="0"/>
        <w:spacing w:after="0" w:line="240" w:lineRule="auto"/>
      </w:pPr>
    </w:p>
    <w:p w:rsidR="00594544" w:rsidRDefault="00594544" w:rsidP="00751874">
      <w:r>
        <w:t xml:space="preserve">The Parties bring into Project the following </w:t>
      </w:r>
      <w:r w:rsidR="002B1925">
        <w:t>knowledge</w:t>
      </w:r>
      <w:r>
        <w:t xml:space="preserve"> and equipment:</w:t>
      </w:r>
    </w:p>
    <w:p w:rsidR="009D5245" w:rsidRPr="009D5245" w:rsidRDefault="00594544" w:rsidP="009D5245">
      <w:pPr>
        <w:pStyle w:val="Bezmezer"/>
        <w:jc w:val="left"/>
        <w:rPr>
          <w:b/>
        </w:rPr>
      </w:pPr>
      <w:r w:rsidRPr="009D5245">
        <w:rPr>
          <w:b/>
        </w:rPr>
        <w:t>REX</w:t>
      </w:r>
    </w:p>
    <w:p w:rsidR="009D5245" w:rsidRDefault="009D5245" w:rsidP="009D5245">
      <w:pPr>
        <w:pStyle w:val="Bezmezer"/>
        <w:numPr>
          <w:ilvl w:val="0"/>
          <w:numId w:val="3"/>
        </w:numPr>
        <w:jc w:val="left"/>
      </w:pPr>
      <w:r w:rsidRPr="009D5245">
        <w:t>Real-time control syst</w:t>
      </w:r>
      <w:r>
        <w:t>e</w:t>
      </w:r>
      <w:r w:rsidRPr="009D5245">
        <w:t>m REX v2.50.</w:t>
      </w:r>
      <w:r w:rsidR="00AF6081">
        <w:t>5</w:t>
      </w:r>
      <w:r w:rsidRPr="009D5245">
        <w:t xml:space="preserve"> – software suite</w:t>
      </w:r>
    </w:p>
    <w:p w:rsidR="009D5245" w:rsidRDefault="009D5245" w:rsidP="009D5245">
      <w:pPr>
        <w:pStyle w:val="Bezmezer"/>
        <w:jc w:val="left"/>
      </w:pPr>
    </w:p>
    <w:p w:rsidR="009D5245" w:rsidRPr="009D5245" w:rsidRDefault="00594544" w:rsidP="009D5245">
      <w:pPr>
        <w:pStyle w:val="Bezmezer"/>
        <w:jc w:val="left"/>
        <w:rPr>
          <w:b/>
        </w:rPr>
      </w:pPr>
      <w:r w:rsidRPr="009D5245">
        <w:rPr>
          <w:b/>
        </w:rPr>
        <w:t>ZČU</w:t>
      </w:r>
    </w:p>
    <w:p w:rsidR="009D5245" w:rsidRDefault="009D5245" w:rsidP="009D5245">
      <w:pPr>
        <w:pStyle w:val="Bezmezer"/>
        <w:numPr>
          <w:ilvl w:val="0"/>
          <w:numId w:val="3"/>
        </w:numPr>
      </w:pPr>
      <w:r>
        <w:t>Protocol of fast data exchange according to</w:t>
      </w:r>
      <w:r w:rsidRPr="009D5245">
        <w:t xml:space="preserve"> „Radio Module for Fast Real-Time Control of Inverse Triple </w:t>
      </w:r>
      <w:proofErr w:type="spellStart"/>
      <w:r w:rsidRPr="009D5245">
        <w:t>Pendulum“,R</w:t>
      </w:r>
      <w:proofErr w:type="spellEnd"/>
      <w:r w:rsidRPr="009D5245">
        <w:t xml:space="preserve">. </w:t>
      </w:r>
      <w:proofErr w:type="spellStart"/>
      <w:r w:rsidRPr="009D5245">
        <w:t>Čečil</w:t>
      </w:r>
      <w:proofErr w:type="spellEnd"/>
      <w:r w:rsidRPr="009D5245">
        <w:t>, V. Šetka, M. Schlegel</w:t>
      </w:r>
      <w:r>
        <w:t>,</w:t>
      </w:r>
      <w:r w:rsidRPr="009D5245">
        <w:t xml:space="preserve"> The 3rd IEEE International Symposium on Wireless Systems within the Conferences on Intelligent Data Acquisition and Advanced Computing Systems, 26-27 September 2016, Offenburg, Germany, p. 80-84</w:t>
      </w:r>
      <w:r>
        <w:t>. (design and implementation)</w:t>
      </w:r>
    </w:p>
    <w:p w:rsidR="009D5245" w:rsidRDefault="009D5245" w:rsidP="009D5245">
      <w:pPr>
        <w:pStyle w:val="Bezmezer"/>
        <w:jc w:val="left"/>
      </w:pPr>
    </w:p>
    <w:p w:rsidR="009D5245" w:rsidRPr="009D5245" w:rsidRDefault="00594544" w:rsidP="009D5245">
      <w:pPr>
        <w:pStyle w:val="Bezmezer"/>
        <w:jc w:val="left"/>
        <w:rPr>
          <w:b/>
        </w:rPr>
      </w:pPr>
      <w:r w:rsidRPr="009D5245">
        <w:rPr>
          <w:b/>
        </w:rPr>
        <w:t>SF</w:t>
      </w:r>
    </w:p>
    <w:p w:rsidR="009D5245" w:rsidRDefault="009D5245" w:rsidP="009D5245">
      <w:pPr>
        <w:pStyle w:val="Bezmezer"/>
        <w:numPr>
          <w:ilvl w:val="0"/>
          <w:numId w:val="3"/>
        </w:numPr>
        <w:jc w:val="left"/>
      </w:pPr>
      <w:r>
        <w:t>V</w:t>
      </w:r>
      <w:r w:rsidRPr="009D5245">
        <w:t>arious protocol implementations for short-range and for low-power wide area wireless networks for smart metering, smart home and smart building applications</w:t>
      </w:r>
    </w:p>
    <w:p w:rsidR="009D5245" w:rsidRDefault="009D5245" w:rsidP="009D5245">
      <w:pPr>
        <w:pStyle w:val="Bezmezer"/>
        <w:numPr>
          <w:ilvl w:val="0"/>
          <w:numId w:val="3"/>
        </w:numPr>
      </w:pPr>
      <w:r>
        <w:t>Software test bench for functional testing of distributed wireless networks</w:t>
      </w:r>
    </w:p>
    <w:p w:rsidR="00594544" w:rsidRPr="009D5245" w:rsidRDefault="00594544" w:rsidP="009D5245">
      <w:pPr>
        <w:pStyle w:val="Bezmezer"/>
        <w:jc w:val="left"/>
        <w:rPr>
          <w:b/>
        </w:rPr>
      </w:pPr>
      <w:r>
        <w:br/>
      </w:r>
      <w:r w:rsidRPr="009D5245">
        <w:rPr>
          <w:b/>
        </w:rPr>
        <w:t>H</w:t>
      </w:r>
      <w:r w:rsidR="00F26EC7">
        <w:rPr>
          <w:b/>
        </w:rPr>
        <w:t>ahn-</w:t>
      </w:r>
      <w:proofErr w:type="spellStart"/>
      <w:r w:rsidR="00F26EC7">
        <w:rPr>
          <w:b/>
        </w:rPr>
        <w:t>Schickard</w:t>
      </w:r>
      <w:proofErr w:type="spellEnd"/>
    </w:p>
    <w:p w:rsidR="009D5245" w:rsidRDefault="009D5245" w:rsidP="009D5245">
      <w:pPr>
        <w:pStyle w:val="Bezmezer"/>
        <w:numPr>
          <w:ilvl w:val="0"/>
          <w:numId w:val="4"/>
        </w:numPr>
        <w:jc w:val="left"/>
      </w:pPr>
      <w:r>
        <w:t>S</w:t>
      </w:r>
      <w:r w:rsidRPr="009D5245">
        <w:t>everal demo use-cases for industrial, home &amp; building automation</w:t>
      </w:r>
    </w:p>
    <w:p w:rsidR="009D5245" w:rsidRDefault="009D5245" w:rsidP="009D5245">
      <w:pPr>
        <w:pStyle w:val="Bezmezer"/>
        <w:numPr>
          <w:ilvl w:val="0"/>
          <w:numId w:val="4"/>
        </w:numPr>
        <w:jc w:val="left"/>
      </w:pPr>
      <w:r>
        <w:t>L</w:t>
      </w:r>
      <w:r w:rsidRPr="009D5245">
        <w:t>arge portfolio of sensor technologies (incl. MEMS-sensors from own design and own manufacturing)</w:t>
      </w:r>
    </w:p>
    <w:p w:rsidR="009D5245" w:rsidRDefault="009D5245" w:rsidP="009D5245">
      <w:pPr>
        <w:pStyle w:val="Bezmezer"/>
        <w:jc w:val="left"/>
      </w:pPr>
    </w:p>
    <w:p w:rsidR="009D5245" w:rsidRPr="006B1761" w:rsidRDefault="009D5245" w:rsidP="009D5245">
      <w:pPr>
        <w:pStyle w:val="Bezmezer"/>
        <w:jc w:val="left"/>
      </w:pPr>
    </w:p>
    <w:p w:rsidR="008D1ECA" w:rsidRPr="008D1ECA" w:rsidRDefault="008D1ECA" w:rsidP="00757CDF">
      <w:pPr>
        <w:pStyle w:val="Nadpis3"/>
      </w:pPr>
      <w:r w:rsidRPr="008D1ECA">
        <w:t>Intellectual Property Rights</w:t>
      </w:r>
    </w:p>
    <w:p w:rsidR="003936EB" w:rsidRDefault="003936EB" w:rsidP="008D1ECA">
      <w:r>
        <w:t>“</w:t>
      </w:r>
      <w:r w:rsidRPr="003936EB">
        <w:t>Results</w:t>
      </w:r>
      <w:r>
        <w:t>”</w:t>
      </w:r>
      <w:r w:rsidRPr="003936EB">
        <w:t xml:space="preserve">  means any (tangible or intangible) output of the research and development under the Pro</w:t>
      </w:r>
      <w:r>
        <w:t>ject</w:t>
      </w:r>
      <w:r w:rsidRPr="003936EB">
        <w:t xml:space="preserve"> such as data, knowledge</w:t>
      </w:r>
      <w:r>
        <w:t>,</w:t>
      </w:r>
      <w:r w:rsidRPr="003936EB">
        <w:t xml:space="preserve"> information</w:t>
      </w:r>
      <w:r>
        <w:t>, prototype, measurement and test device, etc.</w:t>
      </w:r>
      <w:r w:rsidRPr="003936EB">
        <w:t xml:space="preserve"> — whatever its form or nature, whether it can be protected or not — that is generated under the Pro</w:t>
      </w:r>
      <w:r w:rsidR="00746620">
        <w:t>ject</w:t>
      </w:r>
      <w:r w:rsidRPr="003936EB">
        <w:t>, as well as any rights attached to it, including intellectual property rights.</w:t>
      </w:r>
    </w:p>
    <w:p w:rsidR="0025711B" w:rsidRPr="0025711B" w:rsidRDefault="0025711B" w:rsidP="00746620">
      <w:r w:rsidRPr="0025711B">
        <w:rPr>
          <w:rFonts w:cs="TimesNewRomanPSMT"/>
          <w:lang w:val="cs-CZ"/>
        </w:rPr>
        <w:t xml:space="preserve">Results are owned by the </w:t>
      </w:r>
      <w:r w:rsidR="00443CB3">
        <w:rPr>
          <w:rFonts w:cs="TimesNewRomanPSMT"/>
          <w:lang w:val="cs-CZ"/>
        </w:rPr>
        <w:t>P</w:t>
      </w:r>
      <w:r>
        <w:rPr>
          <w:rFonts w:cs="TimesNewRomanPSMT"/>
          <w:lang w:val="cs-CZ"/>
        </w:rPr>
        <w:t>arty</w:t>
      </w:r>
      <w:r w:rsidRPr="0025711B">
        <w:rPr>
          <w:rFonts w:cs="TimesNewRomanPSMT"/>
          <w:lang w:val="cs-CZ"/>
        </w:rPr>
        <w:t xml:space="preserve"> that generates them.</w:t>
      </w:r>
    </w:p>
    <w:p w:rsidR="00746620" w:rsidRDefault="00746620" w:rsidP="00746620">
      <w:r>
        <w:t xml:space="preserve">Two or more </w:t>
      </w:r>
      <w:r w:rsidR="00443CB3">
        <w:t>P</w:t>
      </w:r>
      <w:r>
        <w:t>arties own Results jointly if they have jointly generated them. The co-ownership share of the Result is determined by the ratio of the parties' creative contributions to achieving the Result.</w:t>
      </w:r>
    </w:p>
    <w:p w:rsidR="00746620" w:rsidRDefault="00746620" w:rsidP="00746620">
      <w:r>
        <w:t>The joint owners must agree (in writing) on the terms of exercise of their joint ownership (joint ownership agreement). Unless otherwise agreed in the joint ownership agreement, joint owner may not transfer the Results or grant licenses to third parties without prior written consent of the other joint owners. The other joint owners must receive fair and reasonable compensation.</w:t>
      </w:r>
    </w:p>
    <w:p w:rsidR="00746620" w:rsidRDefault="00746620" w:rsidP="00746620">
      <w:r>
        <w:t>Any joint owner commercially using the jointly owned Results of the Project is obliged to provide financial settlement to the other joint owners under common market conditions.</w:t>
      </w:r>
    </w:p>
    <w:p w:rsidR="00623C2B" w:rsidRDefault="00443CB3" w:rsidP="00443CB3">
      <w:r w:rsidRPr="008D1ECA">
        <w:t xml:space="preserve">All 4 </w:t>
      </w:r>
      <w:r>
        <w:t>contracting Parties</w:t>
      </w:r>
      <w:r w:rsidRPr="008D1ECA">
        <w:t xml:space="preserve"> will have equal access to </w:t>
      </w:r>
      <w:r>
        <w:t>Results gathered</w:t>
      </w:r>
      <w:r w:rsidRPr="008D1ECA">
        <w:t xml:space="preserve"> in the scope of the project and will have rights to use the </w:t>
      </w:r>
      <w:r>
        <w:t>Results</w:t>
      </w:r>
      <w:r w:rsidRPr="008D1ECA">
        <w:t xml:space="preserve"> for </w:t>
      </w:r>
      <w:r w:rsidR="003B7298">
        <w:t>implementation of the Project</w:t>
      </w:r>
      <w:r w:rsidRPr="008D1ECA">
        <w:t>.</w:t>
      </w:r>
      <w:r w:rsidR="003B7298">
        <w:t xml:space="preserve"> </w:t>
      </w:r>
    </w:p>
    <w:p w:rsidR="00443CB3" w:rsidRDefault="00443CB3" w:rsidP="00443CB3">
      <w:r w:rsidRPr="008D1ECA">
        <w:t>Prototypes</w:t>
      </w:r>
      <w:r>
        <w:t xml:space="preserve"> </w:t>
      </w:r>
      <w:r w:rsidR="003B7298">
        <w:t xml:space="preserve">(as tangible property) </w:t>
      </w:r>
      <w:r w:rsidRPr="003936EB">
        <w:t xml:space="preserve">are owned by the </w:t>
      </w:r>
      <w:r w:rsidR="006949F9">
        <w:t>P</w:t>
      </w:r>
      <w:r w:rsidRPr="003936EB">
        <w:t>arty, that (whose employee</w:t>
      </w:r>
      <w:r>
        <w:t>s</w:t>
      </w:r>
      <w:r w:rsidR="003B7298">
        <w:t>) create</w:t>
      </w:r>
      <w:r>
        <w:t>d</w:t>
      </w:r>
      <w:r w:rsidRPr="003936EB">
        <w:t xml:space="preserve"> them.</w:t>
      </w:r>
    </w:p>
    <w:p w:rsidR="00443CB3" w:rsidRDefault="00443CB3" w:rsidP="00746620"/>
    <w:p w:rsidR="00B967C7" w:rsidRDefault="00B967C7" w:rsidP="008D1ECA"/>
    <w:p w:rsidR="00B967C7" w:rsidRDefault="00B967C7" w:rsidP="00757CDF">
      <w:pPr>
        <w:pStyle w:val="Nadpis3"/>
      </w:pPr>
      <w:r>
        <w:t xml:space="preserve">Confidentiality </w:t>
      </w:r>
    </w:p>
    <w:p w:rsidR="00B967C7" w:rsidRDefault="0022573F" w:rsidP="00B967C7">
      <w:r w:rsidRPr="0022573F">
        <w:t xml:space="preserve">During implementation of the Project and for four years after the end of the Project the contractual Parties must keep confidential all information (in whatever form or mode of communication) which </w:t>
      </w:r>
      <w:r w:rsidRPr="0022573F">
        <w:lastRenderedPageBreak/>
        <w:t>has been disclosed in connection with the Project during its implementation and which has been explicitly marked as  confidential at the time of disclosure.</w:t>
      </w:r>
      <w:r>
        <w:t xml:space="preserve"> </w:t>
      </w:r>
      <w:r w:rsidR="00B967C7">
        <w:t>If information has been identified as confidential only orally, it will be considered to be confidential only if this is confirmed in writing within 15 days of the oral disclosure.</w:t>
      </w:r>
    </w:p>
    <w:p w:rsidR="00B967C7" w:rsidRDefault="00B967C7" w:rsidP="00B967C7">
      <w:r>
        <w:t xml:space="preserve">Unless otherwise agreed between the Parties, they may use confidential information only to </w:t>
      </w:r>
      <w:r w:rsidRPr="00BE1AED">
        <w:t>implement the Project.</w:t>
      </w:r>
    </w:p>
    <w:p w:rsidR="0016745A" w:rsidRPr="008471CF" w:rsidRDefault="0016745A" w:rsidP="0016745A">
      <w:pPr>
        <w:pStyle w:val="Default"/>
        <w:spacing w:line="253" w:lineRule="atLeast"/>
        <w:ind w:left="540"/>
        <w:jc w:val="both"/>
        <w:rPr>
          <w:sz w:val="22"/>
          <w:szCs w:val="22"/>
          <w:lang w:val="en-GB"/>
        </w:rPr>
      </w:pPr>
      <w:r w:rsidRPr="008471CF">
        <w:rPr>
          <w:sz w:val="22"/>
          <w:szCs w:val="22"/>
          <w:lang w:val="en-GB"/>
        </w:rPr>
        <w:t>This obligation shall not apply to any information which is:</w:t>
      </w:r>
    </w:p>
    <w:p w:rsidR="0016745A" w:rsidRPr="008471CF" w:rsidRDefault="0016745A" w:rsidP="0016745A">
      <w:pPr>
        <w:pStyle w:val="Default"/>
        <w:spacing w:line="253" w:lineRule="atLeast"/>
        <w:ind w:left="540"/>
        <w:jc w:val="both"/>
        <w:rPr>
          <w:sz w:val="22"/>
          <w:szCs w:val="22"/>
          <w:lang w:val="en-GB"/>
        </w:rPr>
      </w:pPr>
    </w:p>
    <w:p w:rsidR="0016745A" w:rsidRPr="008471CF" w:rsidRDefault="0016745A" w:rsidP="0016745A">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proven to have b</w:t>
      </w:r>
      <w:r>
        <w:rPr>
          <w:rFonts w:cs="Arial"/>
          <w:sz w:val="22"/>
          <w:szCs w:val="22"/>
          <w:lang w:val="en-GB"/>
        </w:rPr>
        <w:t>een known to the receiving Party</w:t>
      </w:r>
      <w:r w:rsidRPr="008471CF">
        <w:rPr>
          <w:rFonts w:cs="Arial"/>
          <w:sz w:val="22"/>
          <w:szCs w:val="22"/>
          <w:lang w:val="en-GB"/>
        </w:rPr>
        <w:t xml:space="preserve"> prior to the time of its receipt pursuant to this Agreement; or</w:t>
      </w:r>
    </w:p>
    <w:p w:rsidR="0016745A" w:rsidRPr="008471CF" w:rsidRDefault="0016745A" w:rsidP="0016745A">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 xml:space="preserve">in the public domain at the time </w:t>
      </w:r>
      <w:r>
        <w:rPr>
          <w:rFonts w:cs="Arial"/>
          <w:sz w:val="22"/>
          <w:szCs w:val="22"/>
          <w:lang w:val="en-GB"/>
        </w:rPr>
        <w:t>of disclosure to the receiving P</w:t>
      </w:r>
      <w:r w:rsidRPr="008471CF">
        <w:rPr>
          <w:rFonts w:cs="Arial"/>
          <w:sz w:val="22"/>
          <w:szCs w:val="22"/>
          <w:lang w:val="en-GB"/>
        </w:rPr>
        <w:t>arty or thereafter enters the public domain without breach of the terms of this Agreement; or</w:t>
      </w:r>
    </w:p>
    <w:p w:rsidR="0016745A" w:rsidRPr="008471CF" w:rsidRDefault="0016745A" w:rsidP="0016745A">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lawfully acquired by the receiving</w:t>
      </w:r>
      <w:r>
        <w:rPr>
          <w:rFonts w:cs="Arial"/>
          <w:sz w:val="22"/>
          <w:szCs w:val="22"/>
          <w:lang w:val="en-GB"/>
        </w:rPr>
        <w:t xml:space="preserve"> Party</w:t>
      </w:r>
      <w:r w:rsidRPr="008471CF">
        <w:rPr>
          <w:rFonts w:cs="Arial"/>
          <w:sz w:val="22"/>
          <w:szCs w:val="22"/>
          <w:lang w:val="en-GB"/>
        </w:rPr>
        <w:t xml:space="preserve"> from an independent source having a bona fide right to disclose the same; or</w:t>
      </w:r>
    </w:p>
    <w:p w:rsidR="0016745A" w:rsidRDefault="0016745A" w:rsidP="0016745A">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independently developed by an</w:t>
      </w:r>
      <w:r>
        <w:rPr>
          <w:rFonts w:cs="Arial"/>
          <w:sz w:val="22"/>
          <w:szCs w:val="22"/>
          <w:lang w:val="en-GB"/>
        </w:rPr>
        <w:t xml:space="preserve"> employee of the receiving Party</w:t>
      </w:r>
      <w:r w:rsidRPr="008471CF">
        <w:rPr>
          <w:rFonts w:cs="Arial"/>
          <w:sz w:val="22"/>
          <w:szCs w:val="22"/>
          <w:lang w:val="en-GB"/>
        </w:rPr>
        <w:t xml:space="preserve"> who has not had access to any of the Confidentia</w:t>
      </w:r>
      <w:r>
        <w:rPr>
          <w:rFonts w:cs="Arial"/>
          <w:sz w:val="22"/>
          <w:szCs w:val="22"/>
          <w:lang w:val="en-GB"/>
        </w:rPr>
        <w:t>l Information of the other Party</w:t>
      </w:r>
      <w:r w:rsidRPr="008471CF">
        <w:rPr>
          <w:rFonts w:cs="Arial"/>
          <w:sz w:val="22"/>
          <w:szCs w:val="22"/>
          <w:lang w:val="en-GB"/>
        </w:rPr>
        <w:t>.</w:t>
      </w:r>
    </w:p>
    <w:p w:rsidR="0016745A" w:rsidRPr="0074000E" w:rsidRDefault="0016745A" w:rsidP="00B967C7">
      <w:pPr>
        <w:rPr>
          <w:lang w:val="en-GB"/>
        </w:rPr>
      </w:pPr>
    </w:p>
    <w:p w:rsidR="0016745A" w:rsidRPr="008471CF" w:rsidRDefault="0016745A" w:rsidP="0016745A">
      <w:pPr>
        <w:pStyle w:val="CM14"/>
        <w:ind w:left="540" w:hanging="540"/>
        <w:jc w:val="both"/>
        <w:outlineLvl w:val="0"/>
        <w:rPr>
          <w:rFonts w:cs="Arial"/>
          <w:b/>
          <w:bCs/>
          <w:sz w:val="22"/>
          <w:szCs w:val="22"/>
          <w:lang w:val="en-GB"/>
        </w:rPr>
      </w:pPr>
      <w:r>
        <w:rPr>
          <w:rFonts w:cs="Arial"/>
          <w:b/>
          <w:bCs/>
          <w:sz w:val="22"/>
          <w:szCs w:val="22"/>
          <w:lang w:val="en-GB"/>
        </w:rPr>
        <w:t xml:space="preserve">VI. </w:t>
      </w:r>
      <w:r w:rsidR="00452FA6">
        <w:rPr>
          <w:rFonts w:cs="Arial"/>
          <w:b/>
          <w:bCs/>
          <w:sz w:val="22"/>
          <w:szCs w:val="22"/>
          <w:lang w:val="en-GB"/>
        </w:rPr>
        <w:t>Disse</w:t>
      </w:r>
      <w:r w:rsidRPr="008471CF">
        <w:rPr>
          <w:rFonts w:cs="Arial"/>
          <w:b/>
          <w:bCs/>
          <w:sz w:val="22"/>
          <w:szCs w:val="22"/>
          <w:lang w:val="en-GB"/>
        </w:rPr>
        <w:t>mination of results</w:t>
      </w:r>
    </w:p>
    <w:p w:rsidR="0016745A" w:rsidRPr="008471CF" w:rsidRDefault="0016745A" w:rsidP="0016745A">
      <w:pPr>
        <w:pStyle w:val="CM15"/>
        <w:spacing w:line="256" w:lineRule="atLeast"/>
        <w:ind w:left="540" w:right="228" w:hanging="540"/>
        <w:jc w:val="both"/>
        <w:rPr>
          <w:rFonts w:cs="Arial"/>
          <w:sz w:val="22"/>
          <w:szCs w:val="22"/>
          <w:lang w:val="en-GB"/>
        </w:rPr>
      </w:pPr>
      <w:r w:rsidRPr="008471CF">
        <w:rPr>
          <w:rFonts w:cs="Arial"/>
          <w:sz w:val="22"/>
          <w:szCs w:val="22"/>
          <w:lang w:val="en-GB"/>
        </w:rPr>
        <w:t>1</w:t>
      </w:r>
      <w:r>
        <w:rPr>
          <w:rFonts w:cs="Arial"/>
          <w:sz w:val="22"/>
          <w:szCs w:val="22"/>
          <w:lang w:val="en-GB"/>
        </w:rPr>
        <w:t>.</w:t>
      </w:r>
      <w:r w:rsidRPr="008471CF">
        <w:rPr>
          <w:rFonts w:cs="Arial"/>
          <w:sz w:val="22"/>
          <w:szCs w:val="22"/>
          <w:lang w:val="en-GB"/>
        </w:rPr>
        <w:t xml:space="preserve"> </w:t>
      </w:r>
      <w:r>
        <w:rPr>
          <w:rFonts w:cs="Arial"/>
          <w:sz w:val="22"/>
          <w:szCs w:val="22"/>
          <w:lang w:val="en-GB"/>
        </w:rPr>
        <w:tab/>
      </w:r>
      <w:r w:rsidRPr="008471CF">
        <w:rPr>
          <w:rFonts w:cs="Arial"/>
          <w:sz w:val="22"/>
          <w:szCs w:val="22"/>
          <w:lang w:val="en-GB"/>
        </w:rPr>
        <w:t xml:space="preserve">Unless against the legitimate interests of any </w:t>
      </w:r>
      <w:r>
        <w:rPr>
          <w:rFonts w:cs="Arial"/>
          <w:sz w:val="22"/>
          <w:szCs w:val="22"/>
          <w:lang w:val="en-GB"/>
        </w:rPr>
        <w:t>other Party</w:t>
      </w:r>
      <w:r w:rsidRPr="008471CF">
        <w:rPr>
          <w:rFonts w:cs="Arial"/>
          <w:sz w:val="22"/>
          <w:szCs w:val="22"/>
          <w:lang w:val="en-GB"/>
        </w:rPr>
        <w:t xml:space="preserve">, the </w:t>
      </w:r>
      <w:r>
        <w:rPr>
          <w:rFonts w:cs="Arial"/>
          <w:sz w:val="22"/>
          <w:szCs w:val="22"/>
          <w:lang w:val="en-GB"/>
        </w:rPr>
        <w:t>Parties</w:t>
      </w:r>
      <w:r w:rsidRPr="008471CF">
        <w:rPr>
          <w:rFonts w:cs="Arial"/>
          <w:sz w:val="22"/>
          <w:szCs w:val="22"/>
          <w:lang w:val="en-GB"/>
        </w:rPr>
        <w:t xml:space="preserve"> shall have the right to </w:t>
      </w:r>
      <w:proofErr w:type="spellStart"/>
      <w:r w:rsidRPr="008471CF">
        <w:rPr>
          <w:rFonts w:cs="Arial"/>
          <w:sz w:val="22"/>
          <w:szCs w:val="22"/>
          <w:lang w:val="en-GB"/>
        </w:rPr>
        <w:t>dessiminate</w:t>
      </w:r>
      <w:proofErr w:type="spellEnd"/>
      <w:r w:rsidRPr="008471CF">
        <w:rPr>
          <w:rFonts w:cs="Arial"/>
          <w:sz w:val="22"/>
          <w:szCs w:val="22"/>
          <w:lang w:val="en-GB"/>
        </w:rPr>
        <w:t xml:space="preserve"> its results by disclosing them to the public by appropriate means (other than those resulting from protecting or exploiting results), including scientific publications (in any medium).  </w:t>
      </w:r>
    </w:p>
    <w:p w:rsidR="0016745A" w:rsidRPr="008471CF" w:rsidRDefault="0016745A" w:rsidP="0016745A">
      <w:pPr>
        <w:pStyle w:val="CM15"/>
        <w:spacing w:line="256" w:lineRule="atLeast"/>
        <w:ind w:left="540" w:right="228" w:hanging="540"/>
        <w:jc w:val="both"/>
        <w:rPr>
          <w:rFonts w:cs="Arial"/>
          <w:sz w:val="22"/>
          <w:szCs w:val="22"/>
          <w:lang w:val="en-GB"/>
        </w:rPr>
      </w:pPr>
      <w:r w:rsidRPr="008471CF">
        <w:rPr>
          <w:rFonts w:cs="Arial"/>
          <w:sz w:val="22"/>
          <w:szCs w:val="22"/>
          <w:lang w:val="en-GB"/>
        </w:rPr>
        <w:t>2</w:t>
      </w:r>
      <w:r>
        <w:rPr>
          <w:rFonts w:cs="Arial"/>
          <w:sz w:val="22"/>
          <w:szCs w:val="22"/>
          <w:lang w:val="en-GB"/>
        </w:rPr>
        <w:t>.</w:t>
      </w:r>
      <w:r w:rsidRPr="008471CF">
        <w:rPr>
          <w:rFonts w:cs="Arial"/>
          <w:sz w:val="22"/>
          <w:szCs w:val="22"/>
          <w:lang w:val="en-GB"/>
        </w:rPr>
        <w:t xml:space="preserve"> </w:t>
      </w:r>
      <w:r>
        <w:rPr>
          <w:rFonts w:cs="Arial"/>
          <w:sz w:val="22"/>
          <w:szCs w:val="22"/>
          <w:lang w:val="en-GB"/>
        </w:rPr>
        <w:tab/>
        <w:t>A Party</w:t>
      </w:r>
      <w:r w:rsidRPr="008471CF">
        <w:rPr>
          <w:rFonts w:cs="Arial"/>
          <w:sz w:val="22"/>
          <w:szCs w:val="22"/>
          <w:lang w:val="en-GB"/>
        </w:rPr>
        <w:t xml:space="preserve"> that intends to disseminate its results must give adv</w:t>
      </w:r>
      <w:r>
        <w:rPr>
          <w:rFonts w:cs="Arial"/>
          <w:sz w:val="22"/>
          <w:szCs w:val="22"/>
          <w:lang w:val="en-GB"/>
        </w:rPr>
        <w:t>ance notice to the other Parties</w:t>
      </w:r>
      <w:r w:rsidRPr="008471CF">
        <w:rPr>
          <w:rFonts w:cs="Arial"/>
          <w:sz w:val="22"/>
          <w:szCs w:val="22"/>
          <w:lang w:val="en-GB"/>
        </w:rPr>
        <w:t xml:space="preserve"> of </w:t>
      </w:r>
      <w:r w:rsidR="00452FA6">
        <w:rPr>
          <w:rFonts w:cs="Arial"/>
          <w:sz w:val="22"/>
          <w:szCs w:val="22"/>
          <w:lang w:val="en-GB"/>
        </w:rPr>
        <w:t>at least 45 days prior to the disse</w:t>
      </w:r>
      <w:r w:rsidRPr="008471CF">
        <w:rPr>
          <w:rFonts w:cs="Arial"/>
          <w:sz w:val="22"/>
          <w:szCs w:val="22"/>
          <w:lang w:val="en-GB"/>
        </w:rPr>
        <w:t>mination together with sufficient infor</w:t>
      </w:r>
      <w:r w:rsidR="00452FA6">
        <w:rPr>
          <w:rFonts w:cs="Arial"/>
          <w:sz w:val="22"/>
          <w:szCs w:val="22"/>
          <w:lang w:val="en-GB"/>
        </w:rPr>
        <w:t>mation on the results it will disse</w:t>
      </w:r>
      <w:r w:rsidRPr="008471CF">
        <w:rPr>
          <w:rFonts w:cs="Arial"/>
          <w:sz w:val="22"/>
          <w:szCs w:val="22"/>
          <w:lang w:val="en-GB"/>
        </w:rPr>
        <w:t xml:space="preserve">minate. </w:t>
      </w:r>
    </w:p>
    <w:p w:rsidR="0016745A" w:rsidRPr="008471CF" w:rsidRDefault="0016745A" w:rsidP="0016745A">
      <w:pPr>
        <w:pStyle w:val="CM15"/>
        <w:spacing w:line="256" w:lineRule="atLeast"/>
        <w:ind w:left="540" w:right="228" w:hanging="540"/>
        <w:jc w:val="both"/>
        <w:rPr>
          <w:rFonts w:cs="Arial"/>
          <w:sz w:val="22"/>
          <w:szCs w:val="22"/>
          <w:lang w:val="en-GB"/>
        </w:rPr>
      </w:pPr>
      <w:r w:rsidRPr="008471CF">
        <w:rPr>
          <w:rFonts w:cs="Arial"/>
          <w:sz w:val="22"/>
          <w:szCs w:val="22"/>
          <w:lang w:val="en-GB"/>
        </w:rPr>
        <w:t>3</w:t>
      </w:r>
      <w:r>
        <w:rPr>
          <w:rFonts w:cs="Arial"/>
          <w:sz w:val="22"/>
          <w:szCs w:val="22"/>
          <w:lang w:val="en-GB"/>
        </w:rPr>
        <w:t>.</w:t>
      </w:r>
      <w:r w:rsidRPr="008471CF">
        <w:rPr>
          <w:rFonts w:cs="Arial"/>
          <w:sz w:val="22"/>
          <w:szCs w:val="22"/>
          <w:lang w:val="en-GB"/>
        </w:rPr>
        <w:t xml:space="preserve"> </w:t>
      </w:r>
      <w:r>
        <w:rPr>
          <w:rFonts w:cs="Arial"/>
          <w:sz w:val="22"/>
          <w:szCs w:val="22"/>
          <w:lang w:val="en-GB"/>
        </w:rPr>
        <w:tab/>
        <w:t>Any other Party</w:t>
      </w:r>
      <w:r w:rsidRPr="008471CF">
        <w:rPr>
          <w:rFonts w:cs="Arial"/>
          <w:sz w:val="22"/>
          <w:szCs w:val="22"/>
          <w:lang w:val="en-GB"/>
        </w:rPr>
        <w:t xml:space="preserve"> may object within 30 days of receiving notification, if it can show that its legitimate interests in relation to the results or background would be significan</w:t>
      </w:r>
      <w:r w:rsidR="00452FA6">
        <w:rPr>
          <w:rFonts w:cs="Arial"/>
          <w:sz w:val="22"/>
          <w:szCs w:val="22"/>
          <w:lang w:val="en-GB"/>
        </w:rPr>
        <w:t>tly harmed. In such case, the disse</w:t>
      </w:r>
      <w:r w:rsidRPr="008471CF">
        <w:rPr>
          <w:rFonts w:cs="Arial"/>
          <w:sz w:val="22"/>
          <w:szCs w:val="22"/>
          <w:lang w:val="en-GB"/>
        </w:rPr>
        <w:t>mination may not take place unless appropriate steps are taken to safeguard these legitimate interests.</w:t>
      </w:r>
    </w:p>
    <w:p w:rsidR="0016745A" w:rsidRDefault="0016745A" w:rsidP="0016745A">
      <w:pPr>
        <w:pStyle w:val="CM15"/>
        <w:spacing w:line="256" w:lineRule="atLeast"/>
        <w:ind w:left="540" w:right="228" w:hanging="540"/>
        <w:jc w:val="both"/>
        <w:rPr>
          <w:rFonts w:cs="Arial"/>
          <w:sz w:val="22"/>
          <w:szCs w:val="22"/>
          <w:lang w:val="en-GB"/>
        </w:rPr>
      </w:pPr>
      <w:r w:rsidRPr="008471CF">
        <w:rPr>
          <w:rFonts w:cs="Arial"/>
          <w:sz w:val="22"/>
          <w:szCs w:val="22"/>
          <w:lang w:val="en-GB"/>
        </w:rPr>
        <w:t>4</w:t>
      </w:r>
      <w:r>
        <w:rPr>
          <w:rFonts w:cs="Arial"/>
          <w:sz w:val="22"/>
          <w:szCs w:val="22"/>
          <w:lang w:val="en-GB"/>
        </w:rPr>
        <w:t>.</w:t>
      </w:r>
      <w:r w:rsidRPr="008471CF">
        <w:rPr>
          <w:rFonts w:cs="Arial"/>
          <w:sz w:val="22"/>
          <w:szCs w:val="22"/>
          <w:lang w:val="en-GB"/>
        </w:rPr>
        <w:t xml:space="preserve"> </w:t>
      </w:r>
      <w:r>
        <w:rPr>
          <w:rFonts w:cs="Arial"/>
          <w:sz w:val="22"/>
          <w:szCs w:val="22"/>
          <w:lang w:val="en-GB"/>
        </w:rPr>
        <w:tab/>
      </w:r>
      <w:r w:rsidRPr="008471CF">
        <w:rPr>
          <w:rFonts w:cs="Arial"/>
          <w:sz w:val="22"/>
          <w:szCs w:val="22"/>
          <w:lang w:val="en-GB"/>
        </w:rPr>
        <w:t xml:space="preserve">If </w:t>
      </w:r>
      <w:r>
        <w:rPr>
          <w:rFonts w:cs="Arial"/>
          <w:sz w:val="22"/>
          <w:szCs w:val="22"/>
          <w:lang w:val="en-GB"/>
        </w:rPr>
        <w:t>no Party</w:t>
      </w:r>
      <w:r w:rsidRPr="008471CF">
        <w:rPr>
          <w:rFonts w:cs="Arial"/>
          <w:sz w:val="22"/>
          <w:szCs w:val="22"/>
          <w:lang w:val="en-GB"/>
        </w:rPr>
        <w:t xml:space="preserve"> notifi</w:t>
      </w:r>
      <w:r w:rsidR="00452FA6">
        <w:rPr>
          <w:rFonts w:cs="Arial"/>
          <w:sz w:val="22"/>
          <w:szCs w:val="22"/>
          <w:lang w:val="en-GB"/>
        </w:rPr>
        <w:t>es its interests, the planned disse</w:t>
      </w:r>
      <w:r w:rsidRPr="008471CF">
        <w:rPr>
          <w:rFonts w:cs="Arial"/>
          <w:sz w:val="22"/>
          <w:szCs w:val="22"/>
          <w:lang w:val="en-GB"/>
        </w:rPr>
        <w:t>mination of results shall be seen approved.</w:t>
      </w:r>
    </w:p>
    <w:p w:rsidR="0016745A" w:rsidRPr="00F21649" w:rsidRDefault="0016745A" w:rsidP="0016745A">
      <w:pPr>
        <w:pStyle w:val="Default"/>
        <w:rPr>
          <w:b/>
          <w:sz w:val="22"/>
          <w:szCs w:val="22"/>
          <w:lang w:val="en-GB"/>
        </w:rPr>
      </w:pPr>
      <w:r>
        <w:rPr>
          <w:b/>
          <w:sz w:val="22"/>
          <w:szCs w:val="22"/>
          <w:lang w:val="en-GB"/>
        </w:rPr>
        <w:t>VII.</w:t>
      </w:r>
      <w:r w:rsidRPr="00F21649">
        <w:rPr>
          <w:b/>
          <w:sz w:val="22"/>
          <w:szCs w:val="22"/>
          <w:lang w:val="en-GB"/>
        </w:rPr>
        <w:t xml:space="preserve"> </w:t>
      </w:r>
      <w:r w:rsidRPr="00F21649">
        <w:rPr>
          <w:b/>
          <w:sz w:val="22"/>
          <w:szCs w:val="22"/>
          <w:lang w:val="en-GB"/>
        </w:rPr>
        <w:tab/>
        <w:t xml:space="preserve">Financing </w:t>
      </w:r>
    </w:p>
    <w:p w:rsidR="0016745A" w:rsidRPr="00031F65" w:rsidRDefault="0016745A" w:rsidP="0016745A">
      <w:pPr>
        <w:rPr>
          <w:rFonts w:ascii="Arial" w:hAnsi="Arial"/>
          <w:lang w:val="en-GB"/>
        </w:rPr>
      </w:pPr>
    </w:p>
    <w:p w:rsidR="0016745A" w:rsidRPr="00031F65" w:rsidRDefault="0016745A" w:rsidP="0016745A">
      <w:pPr>
        <w:pStyle w:val="Einzug2"/>
        <w:rPr>
          <w:sz w:val="22"/>
          <w:szCs w:val="22"/>
          <w:lang w:val="en-GB"/>
        </w:rPr>
      </w:pPr>
      <w:r w:rsidRPr="00031F65">
        <w:rPr>
          <w:sz w:val="22"/>
          <w:szCs w:val="22"/>
          <w:lang w:val="en-GB"/>
        </w:rPr>
        <w:t>1</w:t>
      </w:r>
      <w:r>
        <w:rPr>
          <w:sz w:val="22"/>
          <w:szCs w:val="22"/>
          <w:lang w:val="en-GB"/>
        </w:rPr>
        <w:t>.</w:t>
      </w:r>
      <w:r w:rsidR="008F10ED">
        <w:rPr>
          <w:sz w:val="22"/>
          <w:szCs w:val="22"/>
          <w:lang w:val="en-GB"/>
        </w:rPr>
        <w:tab/>
        <w:t>Each Party</w:t>
      </w:r>
      <w:r w:rsidRPr="00031F65">
        <w:rPr>
          <w:sz w:val="22"/>
          <w:szCs w:val="22"/>
          <w:lang w:val="en-GB"/>
        </w:rPr>
        <w:t xml:space="preserve"> shall bear its own costs in connectio</w:t>
      </w:r>
      <w:r>
        <w:rPr>
          <w:sz w:val="22"/>
          <w:szCs w:val="22"/>
          <w:lang w:val="en-GB"/>
        </w:rPr>
        <w:t>n with the carrying out of the p</w:t>
      </w:r>
      <w:r w:rsidRPr="00031F65">
        <w:rPr>
          <w:sz w:val="22"/>
          <w:szCs w:val="22"/>
          <w:lang w:val="en-GB"/>
        </w:rPr>
        <w:t>roject and will be solely responsible for its applications to obtain any subsidies therefor.</w:t>
      </w:r>
    </w:p>
    <w:p w:rsidR="0016745A" w:rsidRPr="00031F65" w:rsidRDefault="0016745A" w:rsidP="0016745A">
      <w:pPr>
        <w:pStyle w:val="Default"/>
        <w:rPr>
          <w:lang w:val="en-GB"/>
        </w:rPr>
      </w:pPr>
    </w:p>
    <w:p w:rsidR="0016745A" w:rsidRPr="008471CF" w:rsidRDefault="0016745A" w:rsidP="0016745A">
      <w:pPr>
        <w:pStyle w:val="Default"/>
        <w:spacing w:line="253" w:lineRule="atLeast"/>
        <w:ind w:left="540"/>
        <w:jc w:val="both"/>
        <w:rPr>
          <w:lang w:val="en-GB"/>
        </w:rPr>
      </w:pPr>
    </w:p>
    <w:p w:rsidR="0016745A" w:rsidRPr="008471CF" w:rsidRDefault="0016745A" w:rsidP="0016745A">
      <w:pPr>
        <w:pStyle w:val="CM14"/>
        <w:ind w:left="540" w:hanging="540"/>
        <w:jc w:val="both"/>
        <w:outlineLvl w:val="0"/>
        <w:rPr>
          <w:rFonts w:cs="Arial"/>
          <w:sz w:val="22"/>
          <w:szCs w:val="22"/>
          <w:lang w:val="en-GB"/>
        </w:rPr>
      </w:pPr>
      <w:r>
        <w:rPr>
          <w:rFonts w:cs="Arial"/>
          <w:b/>
          <w:bCs/>
          <w:sz w:val="22"/>
          <w:szCs w:val="22"/>
          <w:lang w:val="en-GB"/>
        </w:rPr>
        <w:lastRenderedPageBreak/>
        <w:t>VIII.</w:t>
      </w:r>
      <w:r w:rsidRPr="008471CF">
        <w:rPr>
          <w:rFonts w:cs="Arial"/>
          <w:b/>
          <w:bCs/>
          <w:sz w:val="22"/>
          <w:szCs w:val="22"/>
          <w:lang w:val="en-GB"/>
        </w:rPr>
        <w:t xml:space="preserve"> </w:t>
      </w:r>
      <w:r w:rsidRPr="008471CF">
        <w:rPr>
          <w:rFonts w:cs="Arial"/>
          <w:b/>
          <w:bCs/>
          <w:sz w:val="22"/>
          <w:szCs w:val="22"/>
          <w:lang w:val="en-GB"/>
        </w:rPr>
        <w:tab/>
        <w:t xml:space="preserve">Liability </w:t>
      </w:r>
    </w:p>
    <w:p w:rsidR="0016745A" w:rsidRPr="00217108" w:rsidRDefault="0016745A" w:rsidP="0074000E">
      <w:pPr>
        <w:pStyle w:val="CM14"/>
        <w:numPr>
          <w:ilvl w:val="0"/>
          <w:numId w:val="10"/>
        </w:numPr>
        <w:spacing w:line="256" w:lineRule="atLeast"/>
        <w:ind w:right="90" w:hanging="720"/>
        <w:jc w:val="both"/>
        <w:rPr>
          <w:rFonts w:cs="Arial"/>
          <w:sz w:val="22"/>
          <w:szCs w:val="22"/>
          <w:lang w:val="en-GB"/>
        </w:rPr>
      </w:pPr>
      <w:r w:rsidRPr="0074000E">
        <w:rPr>
          <w:rFonts w:cs="Arial"/>
          <w:sz w:val="22"/>
          <w:szCs w:val="22"/>
          <w:lang w:val="en-GB"/>
        </w:rPr>
        <w:t>The Parties shall not be liable for the correctness of the research results exchanged or the information communicated during the project. Likewise, the Parties do not warrant that the rights of use granted by them can be executed with</w:t>
      </w:r>
      <w:r w:rsidRPr="00217108">
        <w:rPr>
          <w:rFonts w:cs="Arial"/>
          <w:sz w:val="22"/>
          <w:szCs w:val="22"/>
          <w:lang w:val="en-GB"/>
        </w:rPr>
        <w:t>out infringement of any third party's rights. Such limitation of liability shall not apply in cases of intent.</w:t>
      </w:r>
    </w:p>
    <w:p w:rsidR="00217108" w:rsidRPr="00217108" w:rsidRDefault="0016745A" w:rsidP="0074000E">
      <w:pPr>
        <w:pStyle w:val="Revize"/>
        <w:numPr>
          <w:ilvl w:val="0"/>
          <w:numId w:val="10"/>
        </w:numPr>
        <w:ind w:hanging="720"/>
        <w:jc w:val="both"/>
        <w:rPr>
          <w:b w:val="0"/>
          <w:sz w:val="22"/>
          <w:szCs w:val="22"/>
        </w:rPr>
      </w:pPr>
      <w:r w:rsidRPr="0074000E">
        <w:rPr>
          <w:b w:val="0"/>
          <w:sz w:val="22"/>
          <w:szCs w:val="22"/>
        </w:rPr>
        <w:t xml:space="preserve">Unless otherwise stipulated in this Agreement, </w:t>
      </w:r>
      <w:r w:rsidR="00217108" w:rsidRPr="0074000E">
        <w:rPr>
          <w:b w:val="0"/>
          <w:sz w:val="22"/>
          <w:szCs w:val="22"/>
        </w:rPr>
        <w:t xml:space="preserve">no Party shall be responsible to any other Party for loss of data or information, loss of profit, loss of business, loss of use, loss of revenue or loss of contracts or any loss or damage similar </w:t>
      </w:r>
      <w:r w:rsidR="00217108" w:rsidRPr="00217108">
        <w:rPr>
          <w:b w:val="0"/>
          <w:sz w:val="22"/>
          <w:szCs w:val="22"/>
        </w:rPr>
        <w:t>to the foregoing, indirect or consequential losses irrespective whether based on contract, law or otherwise, provided such damage was not caused by fraud, a wilful actor by a gross negligent breach of confidentiality.</w:t>
      </w:r>
    </w:p>
    <w:p w:rsidR="00217108" w:rsidRPr="0074000E" w:rsidRDefault="00217108" w:rsidP="0074000E">
      <w:pPr>
        <w:pStyle w:val="Revize"/>
        <w:numPr>
          <w:ilvl w:val="0"/>
          <w:numId w:val="10"/>
        </w:numPr>
        <w:spacing w:line="276" w:lineRule="auto"/>
        <w:ind w:hanging="720"/>
        <w:jc w:val="both"/>
        <w:rPr>
          <w:b w:val="0"/>
          <w:sz w:val="22"/>
          <w:szCs w:val="22"/>
        </w:rPr>
      </w:pPr>
      <w:r w:rsidRPr="0074000E">
        <w:rPr>
          <w:b w:val="0"/>
          <w:sz w:val="22"/>
          <w:szCs w:val="22"/>
        </w:rPr>
        <w:t>A Party’s aggregate liability towards the other Parties resulting out of or in connection to this Agreement and/or Project collectively shall be limited to once the Party’s share of the total costs of the Project provided such damage was not caused by one of the following reasons: fraud, wilful misconduct, gross negligence.</w:t>
      </w:r>
    </w:p>
    <w:p w:rsidR="00217108" w:rsidRPr="0074000E" w:rsidRDefault="00217108" w:rsidP="0074000E">
      <w:pPr>
        <w:pStyle w:val="Revize"/>
        <w:numPr>
          <w:ilvl w:val="0"/>
          <w:numId w:val="10"/>
        </w:numPr>
        <w:spacing w:line="276" w:lineRule="auto"/>
        <w:ind w:hanging="720"/>
        <w:jc w:val="both"/>
        <w:rPr>
          <w:b w:val="0"/>
        </w:rPr>
      </w:pPr>
      <w:r w:rsidRPr="0074000E">
        <w:rPr>
          <w:b w:val="0"/>
          <w:sz w:val="22"/>
          <w:szCs w:val="22"/>
        </w:rPr>
        <w:t>Each Party shall be solely liable for any loss damage or injury to third parties resulting from the performance of the said Party’s obligations by it or on its behalf under this Agreement and/or from its use of Results or Background.</w:t>
      </w:r>
    </w:p>
    <w:p w:rsidR="00466833" w:rsidRPr="0074000E" w:rsidRDefault="00466833" w:rsidP="00217108">
      <w:pPr>
        <w:pStyle w:val="CM14"/>
        <w:spacing w:line="256" w:lineRule="atLeast"/>
        <w:ind w:left="540" w:right="90" w:hanging="540"/>
        <w:jc w:val="both"/>
        <w:rPr>
          <w:lang w:val="en-GB"/>
        </w:rPr>
      </w:pPr>
    </w:p>
    <w:p w:rsidR="00F329D2" w:rsidRPr="008471CF" w:rsidRDefault="00F329D2" w:rsidP="00F329D2">
      <w:pPr>
        <w:pStyle w:val="CM14"/>
        <w:ind w:left="540" w:hanging="540"/>
        <w:jc w:val="both"/>
        <w:outlineLvl w:val="0"/>
        <w:rPr>
          <w:rFonts w:cs="Arial"/>
          <w:sz w:val="22"/>
          <w:szCs w:val="22"/>
          <w:lang w:val="en-GB"/>
        </w:rPr>
      </w:pPr>
      <w:r w:rsidRPr="0074000E">
        <w:rPr>
          <w:lang w:val="en-US"/>
        </w:rPr>
        <w:t xml:space="preserve">IX. </w:t>
      </w:r>
      <w:r>
        <w:rPr>
          <w:rFonts w:cs="Arial"/>
          <w:b/>
          <w:bCs/>
          <w:sz w:val="22"/>
          <w:szCs w:val="22"/>
          <w:lang w:val="en-GB"/>
        </w:rPr>
        <w:t xml:space="preserve">Term and </w:t>
      </w:r>
      <w:r w:rsidRPr="008471CF">
        <w:rPr>
          <w:rFonts w:cs="Arial"/>
          <w:b/>
          <w:bCs/>
          <w:sz w:val="22"/>
          <w:szCs w:val="22"/>
          <w:lang w:val="en-GB"/>
        </w:rPr>
        <w:t xml:space="preserve">Termination </w:t>
      </w:r>
    </w:p>
    <w:p w:rsidR="00F329D2" w:rsidRDefault="00F329D2" w:rsidP="00F329D2">
      <w:pPr>
        <w:pStyle w:val="CM14"/>
        <w:spacing w:line="256" w:lineRule="atLeast"/>
        <w:ind w:left="540" w:hanging="540"/>
        <w:jc w:val="both"/>
        <w:rPr>
          <w:rFonts w:cs="Arial"/>
          <w:sz w:val="22"/>
          <w:szCs w:val="22"/>
          <w:lang w:val="en-GB"/>
        </w:rPr>
      </w:pPr>
      <w:r w:rsidRPr="008471CF">
        <w:rPr>
          <w:rFonts w:cs="Arial"/>
          <w:sz w:val="22"/>
          <w:szCs w:val="22"/>
          <w:lang w:val="en-GB"/>
        </w:rPr>
        <w:t>1</w:t>
      </w:r>
      <w:r>
        <w:rPr>
          <w:rFonts w:cs="Arial"/>
          <w:sz w:val="22"/>
          <w:szCs w:val="22"/>
          <w:lang w:val="en-GB"/>
        </w:rPr>
        <w:t>.</w:t>
      </w:r>
      <w:r w:rsidRPr="008471CF">
        <w:rPr>
          <w:rFonts w:cs="Arial"/>
          <w:sz w:val="22"/>
          <w:szCs w:val="22"/>
          <w:lang w:val="en-GB"/>
        </w:rPr>
        <w:t xml:space="preserve"> </w:t>
      </w:r>
      <w:r>
        <w:rPr>
          <w:rFonts w:cs="Arial"/>
          <w:sz w:val="22"/>
          <w:szCs w:val="22"/>
          <w:lang w:val="en-GB"/>
        </w:rPr>
        <w:tab/>
      </w:r>
      <w:r w:rsidRPr="00031F65">
        <w:rPr>
          <w:rFonts w:cs="Arial"/>
          <w:sz w:val="22"/>
          <w:szCs w:val="22"/>
          <w:lang w:val="en-GB"/>
        </w:rPr>
        <w:t>This Agreement will come into force on the date of the last signature</w:t>
      </w:r>
      <w:r w:rsidR="00452FA6">
        <w:rPr>
          <w:rFonts w:cs="Arial"/>
          <w:sz w:val="22"/>
          <w:szCs w:val="22"/>
          <w:lang w:val="en-GB"/>
        </w:rPr>
        <w:t xml:space="preserve"> by all Parties</w:t>
      </w:r>
      <w:r>
        <w:rPr>
          <w:rFonts w:cs="Arial"/>
          <w:sz w:val="22"/>
          <w:szCs w:val="22"/>
          <w:lang w:val="en-GB"/>
        </w:rPr>
        <w:t xml:space="preserve"> and under the </w:t>
      </w:r>
      <w:r w:rsidR="00452FA6">
        <w:rPr>
          <w:rFonts w:cs="Arial"/>
          <w:sz w:val="22"/>
          <w:szCs w:val="22"/>
          <w:lang w:val="en-GB"/>
        </w:rPr>
        <w:t>proviso for each of the Party</w:t>
      </w:r>
      <w:r>
        <w:rPr>
          <w:rFonts w:cs="Arial"/>
          <w:sz w:val="22"/>
          <w:szCs w:val="22"/>
          <w:lang w:val="en-GB"/>
        </w:rPr>
        <w:t xml:space="preserve"> that envisaged funding for the execution of the project have been or will be granted. This Agreement will end after the funding authorities have accepted the final project report.</w:t>
      </w:r>
      <w:r w:rsidR="0036057C">
        <w:rPr>
          <w:rFonts w:cs="Arial"/>
          <w:sz w:val="22"/>
          <w:szCs w:val="22"/>
          <w:lang w:val="en-GB"/>
        </w:rPr>
        <w:t xml:space="preserve"> </w:t>
      </w:r>
      <w:r w:rsidR="0036057C" w:rsidRPr="0074000E">
        <w:rPr>
          <w:rFonts w:cs="Arial"/>
          <w:sz w:val="22"/>
          <w:szCs w:val="22"/>
          <w:lang w:val="en-GB"/>
        </w:rPr>
        <w:t xml:space="preserve">Obligation </w:t>
      </w:r>
      <w:r w:rsidR="0036057C" w:rsidRPr="0074000E">
        <w:rPr>
          <w:sz w:val="22"/>
          <w:szCs w:val="22"/>
          <w:lang w:val="en"/>
        </w:rPr>
        <w:t>to cooperate on the Project Implementation Plan</w:t>
      </w:r>
      <w:r w:rsidR="0036057C" w:rsidRPr="0074000E">
        <w:rPr>
          <w:rFonts w:cs="Arial"/>
          <w:sz w:val="22"/>
          <w:szCs w:val="22"/>
          <w:lang w:val="en-GB"/>
        </w:rPr>
        <w:t xml:space="preserve"> according to Section II. Shall remain unaffected.</w:t>
      </w:r>
    </w:p>
    <w:p w:rsidR="00F329D2" w:rsidRPr="008471CF" w:rsidRDefault="00F329D2" w:rsidP="00F329D2">
      <w:pPr>
        <w:pStyle w:val="CM14"/>
        <w:spacing w:line="256" w:lineRule="atLeast"/>
        <w:ind w:left="540" w:hanging="540"/>
        <w:jc w:val="both"/>
        <w:rPr>
          <w:rFonts w:cs="Arial"/>
          <w:sz w:val="22"/>
          <w:szCs w:val="22"/>
          <w:lang w:val="en-GB"/>
        </w:rPr>
      </w:pPr>
      <w:r>
        <w:rPr>
          <w:rFonts w:cs="Arial"/>
          <w:sz w:val="22"/>
          <w:szCs w:val="22"/>
          <w:lang w:val="en-GB"/>
        </w:rPr>
        <w:t>2.</w:t>
      </w:r>
      <w:r>
        <w:rPr>
          <w:rFonts w:cs="Arial"/>
          <w:sz w:val="22"/>
          <w:szCs w:val="22"/>
          <w:lang w:val="en-GB"/>
        </w:rPr>
        <w:tab/>
      </w:r>
      <w:r w:rsidR="00452FA6">
        <w:rPr>
          <w:rFonts w:cs="Arial"/>
          <w:sz w:val="22"/>
          <w:szCs w:val="22"/>
          <w:lang w:val="en-GB"/>
        </w:rPr>
        <w:t>Each Party</w:t>
      </w:r>
      <w:r w:rsidRPr="008471CF">
        <w:rPr>
          <w:rFonts w:cs="Arial"/>
          <w:sz w:val="22"/>
          <w:szCs w:val="22"/>
          <w:lang w:val="en-GB"/>
        </w:rPr>
        <w:t xml:space="preserve"> may terminate its participation in the project subject to a three-month period of notice for good cause only. This applies in particular if further co-operation has become unacceptable or funding has been reduced significantly. In the event of termination the respective funding authority shall be notified about the withdrawal from the project. </w:t>
      </w:r>
    </w:p>
    <w:p w:rsidR="00F329D2" w:rsidRPr="008471CF" w:rsidRDefault="00F329D2" w:rsidP="00F329D2">
      <w:pPr>
        <w:pStyle w:val="CM14"/>
        <w:spacing w:line="256" w:lineRule="atLeast"/>
        <w:ind w:left="540" w:hanging="540"/>
        <w:jc w:val="both"/>
        <w:rPr>
          <w:rFonts w:cs="Arial"/>
          <w:sz w:val="22"/>
          <w:szCs w:val="22"/>
          <w:lang w:val="en-GB"/>
        </w:rPr>
      </w:pPr>
      <w:r>
        <w:rPr>
          <w:rFonts w:cs="Arial"/>
          <w:sz w:val="22"/>
          <w:szCs w:val="22"/>
          <w:lang w:val="en-GB"/>
        </w:rPr>
        <w:t>3.</w:t>
      </w:r>
      <w:r w:rsidRPr="008471CF">
        <w:rPr>
          <w:rFonts w:cs="Arial"/>
          <w:sz w:val="22"/>
          <w:szCs w:val="22"/>
          <w:lang w:val="en-GB"/>
        </w:rPr>
        <w:t xml:space="preserve"> </w:t>
      </w:r>
      <w:r w:rsidRPr="008471CF">
        <w:rPr>
          <w:rFonts w:cs="Arial"/>
          <w:sz w:val="22"/>
          <w:szCs w:val="22"/>
          <w:lang w:val="en-GB"/>
        </w:rPr>
        <w:tab/>
        <w:t xml:space="preserve">In the event of the withdrawal </w:t>
      </w:r>
      <w:r w:rsidR="00452FA6">
        <w:rPr>
          <w:rFonts w:cs="Arial"/>
          <w:sz w:val="22"/>
          <w:szCs w:val="22"/>
          <w:lang w:val="en-GB"/>
        </w:rPr>
        <w:t>of a Party</w:t>
      </w:r>
      <w:r w:rsidRPr="008471CF">
        <w:rPr>
          <w:rFonts w:cs="Arial"/>
          <w:sz w:val="22"/>
          <w:szCs w:val="22"/>
          <w:lang w:val="en-GB"/>
        </w:rPr>
        <w:t xml:space="preserve"> </w:t>
      </w:r>
    </w:p>
    <w:p w:rsidR="00F329D2" w:rsidRPr="008471CF" w:rsidRDefault="00F329D2" w:rsidP="00F329D2">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 xml:space="preserve">its rights according to </w:t>
      </w:r>
      <w:r w:rsidR="008F10ED">
        <w:rPr>
          <w:rFonts w:cs="Arial"/>
          <w:sz w:val="22"/>
          <w:szCs w:val="22"/>
          <w:lang w:val="en-GB"/>
        </w:rPr>
        <w:t>section 3 and section 4</w:t>
      </w:r>
      <w:r w:rsidRPr="008471CF">
        <w:rPr>
          <w:rFonts w:cs="Arial"/>
          <w:sz w:val="22"/>
          <w:szCs w:val="22"/>
          <w:lang w:val="en-GB"/>
        </w:rPr>
        <w:t xml:space="preserve"> shall terminate;</w:t>
      </w:r>
    </w:p>
    <w:p w:rsidR="00F329D2" w:rsidRPr="008471CF" w:rsidRDefault="00F329D2" w:rsidP="00F329D2">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the licenses or rights of u</w:t>
      </w:r>
      <w:r w:rsidR="00452FA6">
        <w:rPr>
          <w:rFonts w:cs="Arial"/>
          <w:sz w:val="22"/>
          <w:szCs w:val="22"/>
          <w:lang w:val="en-GB"/>
        </w:rPr>
        <w:t>se granted to the other Party</w:t>
      </w:r>
      <w:r w:rsidRPr="008471CF">
        <w:rPr>
          <w:rFonts w:cs="Arial"/>
          <w:sz w:val="22"/>
          <w:szCs w:val="22"/>
          <w:lang w:val="en-GB"/>
        </w:rPr>
        <w:t xml:space="preserve"> on the basis of this Agreement shall not be affected; </w:t>
      </w:r>
    </w:p>
    <w:p w:rsidR="00F329D2" w:rsidRPr="008471CF" w:rsidRDefault="00F329D2" w:rsidP="00F329D2">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 xml:space="preserve">its obligation </w:t>
      </w:r>
      <w:r w:rsidR="008F10ED">
        <w:rPr>
          <w:rFonts w:cs="Arial"/>
          <w:sz w:val="22"/>
          <w:szCs w:val="22"/>
          <w:lang w:val="en-GB"/>
        </w:rPr>
        <w:t>according to Section 5</w:t>
      </w:r>
      <w:r w:rsidRPr="008471CF">
        <w:rPr>
          <w:rFonts w:cs="Arial"/>
          <w:sz w:val="22"/>
          <w:szCs w:val="22"/>
          <w:lang w:val="en-GB"/>
        </w:rPr>
        <w:t xml:space="preserve"> (Confidentiality) shall remain unaffected; </w:t>
      </w:r>
    </w:p>
    <w:p w:rsidR="00F329D2" w:rsidRPr="008471CF" w:rsidRDefault="00F329D2" w:rsidP="00F329D2">
      <w:pPr>
        <w:pStyle w:val="CM14"/>
        <w:spacing w:line="256" w:lineRule="atLeast"/>
        <w:ind w:left="900" w:right="205" w:hanging="360"/>
        <w:jc w:val="both"/>
        <w:rPr>
          <w:rFonts w:cs="Arial"/>
          <w:sz w:val="22"/>
          <w:szCs w:val="22"/>
          <w:lang w:val="en-GB"/>
        </w:rPr>
      </w:pPr>
      <w:r w:rsidRPr="008471CF">
        <w:rPr>
          <w:rFonts w:cs="Arial"/>
          <w:sz w:val="22"/>
          <w:szCs w:val="22"/>
          <w:lang w:val="en-GB"/>
        </w:rPr>
        <w:t>-</w:t>
      </w:r>
      <w:r w:rsidRPr="008471CF">
        <w:rPr>
          <w:rFonts w:cs="Arial"/>
          <w:sz w:val="22"/>
          <w:szCs w:val="22"/>
          <w:lang w:val="en-GB"/>
        </w:rPr>
        <w:tab/>
        <w:t xml:space="preserve">as far as the continuation of the joint project is reasonable, the </w:t>
      </w:r>
      <w:r w:rsidR="008F10ED">
        <w:rPr>
          <w:rFonts w:cs="Arial"/>
          <w:sz w:val="22"/>
          <w:szCs w:val="22"/>
          <w:lang w:val="en-GB"/>
        </w:rPr>
        <w:t>tasks of the withdrawing Party</w:t>
      </w:r>
      <w:r w:rsidRPr="008471CF">
        <w:rPr>
          <w:rFonts w:cs="Arial"/>
          <w:sz w:val="22"/>
          <w:szCs w:val="22"/>
          <w:lang w:val="en-GB"/>
        </w:rPr>
        <w:t xml:space="preserve"> which have not been carried out yet may be taken on by a new partner after mutual written agr</w:t>
      </w:r>
      <w:r w:rsidR="00452FA6">
        <w:rPr>
          <w:rFonts w:cs="Arial"/>
          <w:sz w:val="22"/>
          <w:szCs w:val="22"/>
          <w:lang w:val="en-GB"/>
        </w:rPr>
        <w:t>eement of the remaining Parties</w:t>
      </w:r>
      <w:r w:rsidRPr="008471CF">
        <w:rPr>
          <w:rFonts w:cs="Arial"/>
          <w:sz w:val="22"/>
          <w:szCs w:val="22"/>
          <w:lang w:val="en-GB"/>
        </w:rPr>
        <w:t xml:space="preserve">. </w:t>
      </w:r>
    </w:p>
    <w:p w:rsidR="00F329D2" w:rsidRPr="008471CF" w:rsidRDefault="00F329D2" w:rsidP="00F329D2">
      <w:pPr>
        <w:pStyle w:val="CM14"/>
        <w:spacing w:line="256" w:lineRule="atLeast"/>
        <w:ind w:left="540" w:right="205"/>
        <w:jc w:val="both"/>
        <w:rPr>
          <w:rFonts w:cs="Arial"/>
          <w:sz w:val="22"/>
          <w:szCs w:val="22"/>
          <w:lang w:val="en-GB"/>
        </w:rPr>
      </w:pPr>
      <w:r w:rsidRPr="008471CF">
        <w:rPr>
          <w:rFonts w:cs="Arial"/>
          <w:sz w:val="22"/>
          <w:szCs w:val="22"/>
          <w:lang w:val="en-GB"/>
        </w:rPr>
        <w:t>The obligations of the remaining</w:t>
      </w:r>
      <w:r w:rsidR="00452FA6">
        <w:rPr>
          <w:rFonts w:cs="Arial"/>
          <w:sz w:val="22"/>
          <w:szCs w:val="22"/>
          <w:lang w:val="en-GB"/>
        </w:rPr>
        <w:t xml:space="preserve"> Parties to the withdrawing Party</w:t>
      </w:r>
      <w:r w:rsidRPr="008471CF">
        <w:rPr>
          <w:rFonts w:cs="Arial"/>
          <w:sz w:val="22"/>
          <w:szCs w:val="22"/>
          <w:lang w:val="en-GB"/>
        </w:rPr>
        <w:t xml:space="preserve"> set forth under Sections 3-5 of this Agreement shall be applicable only for research results that were attained prior to the receipt of notice. His </w:t>
      </w:r>
      <w:r>
        <w:rPr>
          <w:rFonts w:cs="Arial"/>
          <w:sz w:val="22"/>
          <w:szCs w:val="22"/>
          <w:lang w:val="en-GB"/>
        </w:rPr>
        <w:t>rights under this Section 8.3</w:t>
      </w:r>
      <w:r w:rsidRPr="008471CF">
        <w:rPr>
          <w:rFonts w:cs="Arial"/>
          <w:sz w:val="22"/>
          <w:szCs w:val="22"/>
          <w:lang w:val="en-GB"/>
        </w:rPr>
        <w:t xml:space="preserve"> as well as the obliga</w:t>
      </w:r>
      <w:r w:rsidR="00452FA6">
        <w:rPr>
          <w:rFonts w:cs="Arial"/>
          <w:sz w:val="22"/>
          <w:szCs w:val="22"/>
          <w:lang w:val="en-GB"/>
        </w:rPr>
        <w:t>tions of the withdrawing Party</w:t>
      </w:r>
      <w:r w:rsidRPr="008471CF">
        <w:rPr>
          <w:rFonts w:cs="Arial"/>
          <w:sz w:val="22"/>
          <w:szCs w:val="22"/>
          <w:lang w:val="en-GB"/>
        </w:rPr>
        <w:t xml:space="preserve"> set forth under Sections 3-5 shall continue to </w:t>
      </w:r>
      <w:r w:rsidRPr="008471CF">
        <w:rPr>
          <w:rFonts w:cs="Arial"/>
          <w:sz w:val="22"/>
          <w:szCs w:val="22"/>
          <w:lang w:val="en-GB"/>
        </w:rPr>
        <w:lastRenderedPageBreak/>
        <w:t xml:space="preserve">apply to all research results and industrial property rights that are granted to him on the basis of activities which were assumed and/or started in connection with the project. </w:t>
      </w:r>
    </w:p>
    <w:p w:rsidR="00F329D2" w:rsidRPr="008471CF" w:rsidRDefault="00F329D2" w:rsidP="0074000E">
      <w:pPr>
        <w:pStyle w:val="CM14"/>
        <w:spacing w:line="256" w:lineRule="atLeast"/>
        <w:ind w:left="360" w:hanging="360"/>
        <w:jc w:val="both"/>
        <w:rPr>
          <w:rFonts w:cs="Arial"/>
          <w:sz w:val="22"/>
          <w:szCs w:val="22"/>
          <w:lang w:val="en-GB"/>
        </w:rPr>
      </w:pPr>
      <w:r>
        <w:rPr>
          <w:rFonts w:cs="Arial"/>
          <w:sz w:val="22"/>
          <w:szCs w:val="22"/>
          <w:lang w:val="en-GB"/>
        </w:rPr>
        <w:t>4.</w:t>
      </w:r>
      <w:r w:rsidRPr="008471CF">
        <w:rPr>
          <w:rFonts w:cs="Arial"/>
          <w:sz w:val="22"/>
          <w:szCs w:val="22"/>
          <w:lang w:val="en-GB"/>
        </w:rPr>
        <w:t xml:space="preserve"> </w:t>
      </w:r>
      <w:r w:rsidRPr="008471CF">
        <w:rPr>
          <w:rFonts w:cs="Arial"/>
          <w:sz w:val="22"/>
          <w:szCs w:val="22"/>
          <w:lang w:val="en-GB"/>
        </w:rPr>
        <w:tab/>
        <w:t>I</w:t>
      </w:r>
      <w:r w:rsidR="00452FA6">
        <w:rPr>
          <w:rFonts w:cs="Arial"/>
          <w:sz w:val="22"/>
          <w:szCs w:val="22"/>
          <w:lang w:val="en-GB"/>
        </w:rPr>
        <w:t>n the event that the Parties</w:t>
      </w:r>
      <w:r w:rsidRPr="008471CF">
        <w:rPr>
          <w:rFonts w:cs="Arial"/>
          <w:sz w:val="22"/>
          <w:szCs w:val="22"/>
          <w:lang w:val="en-GB"/>
        </w:rPr>
        <w:t xml:space="preserve"> mutually agree that the development goal of the project cannot be attained and that thus the basis for this Agreement</w:t>
      </w:r>
      <w:r w:rsidR="00452FA6">
        <w:rPr>
          <w:rFonts w:cs="Arial"/>
          <w:sz w:val="22"/>
          <w:szCs w:val="22"/>
          <w:lang w:val="en-GB"/>
        </w:rPr>
        <w:t xml:space="preserve"> ceases to exist the Parties</w:t>
      </w:r>
      <w:r w:rsidRPr="008471CF">
        <w:rPr>
          <w:rFonts w:cs="Arial"/>
          <w:sz w:val="22"/>
          <w:szCs w:val="22"/>
          <w:lang w:val="en-GB"/>
        </w:rPr>
        <w:t xml:space="preserve"> shall agree on further proceedings, including any rights to already attained research results, and shall conclude a separate agreement, if necessary. </w:t>
      </w:r>
    </w:p>
    <w:p w:rsidR="0016745A" w:rsidRPr="0074000E" w:rsidRDefault="0016745A" w:rsidP="00B967C7">
      <w:pPr>
        <w:rPr>
          <w:lang w:val="en-GB"/>
        </w:rPr>
      </w:pPr>
    </w:p>
    <w:p w:rsidR="0016745A" w:rsidRDefault="0016745A" w:rsidP="00B967C7"/>
    <w:p w:rsidR="0016745A" w:rsidRDefault="0016745A" w:rsidP="00B967C7"/>
    <w:p w:rsidR="00466833" w:rsidRDefault="00F329D2" w:rsidP="0074000E">
      <w:pPr>
        <w:pStyle w:val="Nadpis3"/>
        <w:numPr>
          <w:ilvl w:val="0"/>
          <w:numId w:val="0"/>
        </w:numPr>
        <w:ind w:left="360"/>
      </w:pPr>
      <w:r>
        <w:t>X</w:t>
      </w:r>
      <w:r w:rsidR="0016745A">
        <w:t xml:space="preserve">. </w:t>
      </w:r>
      <w:r w:rsidR="00FC79C2">
        <w:t>Final P</w:t>
      </w:r>
      <w:r w:rsidR="00466833">
        <w:t>rovisions</w:t>
      </w:r>
    </w:p>
    <w:p w:rsidR="00466833" w:rsidRDefault="00083AEF" w:rsidP="00466833">
      <w:r w:rsidRPr="00083AEF">
        <w:t xml:space="preserve">This </w:t>
      </w:r>
      <w:r>
        <w:t>Agreement</w:t>
      </w:r>
      <w:r w:rsidRPr="00083AEF">
        <w:t xml:space="preserve"> </w:t>
      </w:r>
      <w:r>
        <w:t>comes</w:t>
      </w:r>
      <w:r w:rsidRPr="00083AEF">
        <w:t xml:space="preserve"> into force and </w:t>
      </w:r>
      <w:r>
        <w:t>effect</w:t>
      </w:r>
      <w:r w:rsidRPr="00083AEF">
        <w:t xml:space="preserve"> </w:t>
      </w:r>
      <w:r>
        <w:t>upon</w:t>
      </w:r>
      <w:r w:rsidRPr="00083AEF">
        <w:t xml:space="preserve"> it</w:t>
      </w:r>
      <w:r>
        <w:t>s execution by all Parties</w:t>
      </w:r>
      <w:r w:rsidRPr="00083AEF">
        <w:t>.</w:t>
      </w:r>
    </w:p>
    <w:p w:rsidR="00083AEF" w:rsidRDefault="00083AEF" w:rsidP="00466833">
      <w:r w:rsidRPr="00083AEF">
        <w:t xml:space="preserve">This </w:t>
      </w:r>
      <w:r>
        <w:t>Agreement</w:t>
      </w:r>
      <w:r w:rsidRPr="00083AEF">
        <w:t xml:space="preserve"> and the relations arising from shall be governed by the Law of </w:t>
      </w:r>
      <w:r w:rsidRPr="00EA4E7E">
        <w:t xml:space="preserve">the </w:t>
      </w:r>
      <w:r w:rsidR="002718A7" w:rsidRPr="00EA4E7E">
        <w:t>Federal Republic of Germany</w:t>
      </w:r>
      <w:r>
        <w:t xml:space="preserve">. </w:t>
      </w:r>
    </w:p>
    <w:p w:rsidR="00083AEF" w:rsidRDefault="00083AEF" w:rsidP="00466833">
      <w:r w:rsidRPr="00083AEF">
        <w:t xml:space="preserve">This </w:t>
      </w:r>
      <w:r>
        <w:t>Agreement</w:t>
      </w:r>
      <w:r w:rsidRPr="00083AEF">
        <w:t xml:space="preserve"> had been made in </w:t>
      </w:r>
      <w:r>
        <w:t>4 (four)</w:t>
      </w:r>
      <w:r w:rsidRPr="00083AEF">
        <w:t xml:space="preserve"> </w:t>
      </w:r>
      <w:r w:rsidR="00A834C3">
        <w:t>copies</w:t>
      </w:r>
      <w:r w:rsidRPr="00083AEF">
        <w:t xml:space="preserve"> whereby each Party shall retain one copy each.</w:t>
      </w:r>
    </w:p>
    <w:p w:rsidR="00AE3DC1" w:rsidRDefault="00AE3DC1" w:rsidP="00466833"/>
    <w:p w:rsidR="00AE3DC1" w:rsidRDefault="00AE3DC1" w:rsidP="00466833"/>
    <w:p w:rsidR="00AE3DC1" w:rsidRDefault="00AE3DC1" w:rsidP="00466833"/>
    <w:p w:rsidR="00AE3DC1" w:rsidRDefault="00AE3DC1" w:rsidP="00466833"/>
    <w:p w:rsidR="00AE3DC1" w:rsidRPr="00AE3DC1" w:rsidRDefault="00AE3DC1" w:rsidP="00AE3DC1">
      <w:pPr>
        <w:rPr>
          <w:sz w:val="18"/>
        </w:rPr>
      </w:pPr>
    </w:p>
    <w:p w:rsidR="00AE3DC1" w:rsidRPr="00AE3DC1" w:rsidRDefault="00AE3DC1" w:rsidP="00AE3DC1">
      <w:pPr>
        <w:pStyle w:val="Bezmezer"/>
        <w:jc w:val="left"/>
        <w:rPr>
          <w:sz w:val="18"/>
        </w:rPr>
      </w:pPr>
    </w:p>
    <w:tbl>
      <w:tblPr>
        <w:tblW w:w="9509" w:type="dxa"/>
        <w:tblInd w:w="-127" w:type="dxa"/>
        <w:tblLayout w:type="fixed"/>
        <w:tblLook w:val="0400" w:firstRow="0" w:lastRow="0" w:firstColumn="0" w:lastColumn="0" w:noHBand="0" w:noVBand="1"/>
      </w:tblPr>
      <w:tblGrid>
        <w:gridCol w:w="4407"/>
        <w:gridCol w:w="850"/>
        <w:gridCol w:w="4252"/>
      </w:tblGrid>
      <w:tr w:rsidR="00AE3DC1" w:rsidRPr="00AE3DC1" w:rsidTr="00617204">
        <w:trPr>
          <w:trHeight w:val="340"/>
        </w:trPr>
        <w:tc>
          <w:tcPr>
            <w:tcW w:w="4407" w:type="dxa"/>
            <w:tcBorders>
              <w:top w:val="nil"/>
              <w:left w:val="nil"/>
              <w:bottom w:val="single" w:sz="4" w:space="0" w:color="000000"/>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 xml:space="preserve">(signature)                            </w:t>
            </w:r>
            <w:r>
              <w:rPr>
                <w:rFonts w:ascii="Cambria" w:eastAsia="Cambria" w:hAnsi="Cambria" w:cs="Cambria"/>
                <w:i/>
                <w:sz w:val="20"/>
                <w:szCs w:val="24"/>
              </w:rPr>
              <w:tab/>
            </w:r>
            <w:r w:rsidRPr="00AE3DC1">
              <w:rPr>
                <w:rFonts w:ascii="Cambria" w:eastAsia="Cambria" w:hAnsi="Cambria" w:cs="Cambria"/>
                <w:i/>
                <w:sz w:val="20"/>
                <w:szCs w:val="24"/>
              </w:rPr>
              <w:t xml:space="preserve">     (Date)</w:t>
            </w:r>
          </w:p>
        </w:tc>
        <w:tc>
          <w:tcPr>
            <w:tcW w:w="850" w:type="dxa"/>
            <w:tcBorders>
              <w:top w:val="nil"/>
              <w:left w:val="nil"/>
              <w:right w:val="nil"/>
            </w:tcBorders>
          </w:tcPr>
          <w:p w:rsidR="00AE3DC1" w:rsidRPr="00AE3DC1" w:rsidRDefault="00AE3DC1" w:rsidP="00AE3DC1">
            <w:pPr>
              <w:pStyle w:val="Bezmezer"/>
              <w:jc w:val="left"/>
              <w:rPr>
                <w:sz w:val="18"/>
              </w:rPr>
            </w:pPr>
          </w:p>
        </w:tc>
        <w:tc>
          <w:tcPr>
            <w:tcW w:w="4252" w:type="dxa"/>
            <w:tcBorders>
              <w:top w:val="nil"/>
              <w:left w:val="nil"/>
              <w:bottom w:val="single" w:sz="4" w:space="0" w:color="000000"/>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 xml:space="preserve">(signature)                             </w:t>
            </w:r>
            <w:r>
              <w:rPr>
                <w:rFonts w:ascii="Cambria" w:eastAsia="Cambria" w:hAnsi="Cambria" w:cs="Cambria"/>
                <w:i/>
                <w:sz w:val="20"/>
                <w:szCs w:val="24"/>
              </w:rPr>
              <w:tab/>
            </w:r>
            <w:r w:rsidRPr="00AE3DC1">
              <w:rPr>
                <w:rFonts w:ascii="Cambria" w:eastAsia="Cambria" w:hAnsi="Cambria" w:cs="Cambria"/>
                <w:i/>
                <w:sz w:val="20"/>
                <w:szCs w:val="24"/>
              </w:rPr>
              <w:t xml:space="preserve">  (Date)</w:t>
            </w:r>
          </w:p>
        </w:tc>
      </w:tr>
      <w:tr w:rsidR="00AE3DC1" w:rsidRPr="00AE3DC1" w:rsidTr="00617204">
        <w:trPr>
          <w:trHeight w:val="340"/>
        </w:trPr>
        <w:tc>
          <w:tcPr>
            <w:tcW w:w="4407" w:type="dxa"/>
            <w:vMerge w:val="restart"/>
            <w:tcBorders>
              <w:top w:val="nil"/>
              <w:left w:val="nil"/>
              <w:bottom w:val="nil"/>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Mgr. Eva SCHLEGELOVÁ</w:t>
            </w:r>
            <w:r w:rsidRPr="00AE3DC1">
              <w:rPr>
                <w:rFonts w:ascii="Cambria" w:eastAsia="Cambria" w:hAnsi="Cambria" w:cs="Cambria"/>
                <w:i/>
                <w:sz w:val="20"/>
                <w:szCs w:val="24"/>
              </w:rPr>
              <w:br/>
              <w:t>CEO</w:t>
            </w:r>
            <w:r w:rsidRPr="00AE3DC1">
              <w:rPr>
                <w:rFonts w:ascii="Cambria" w:eastAsia="Cambria" w:hAnsi="Cambria" w:cs="Cambria"/>
                <w:i/>
                <w:sz w:val="20"/>
                <w:szCs w:val="24"/>
              </w:rPr>
              <w:br/>
              <w:t xml:space="preserve">REX Controls </w:t>
            </w:r>
            <w:proofErr w:type="spellStart"/>
            <w:r w:rsidRPr="00AE3DC1">
              <w:rPr>
                <w:rFonts w:ascii="Cambria" w:eastAsia="Cambria" w:hAnsi="Cambria" w:cs="Cambria"/>
                <w:i/>
                <w:sz w:val="20"/>
                <w:szCs w:val="24"/>
              </w:rPr>
              <w:t>s.r.o</w:t>
            </w:r>
            <w:proofErr w:type="spellEnd"/>
            <w:r w:rsidRPr="00AE3DC1">
              <w:rPr>
                <w:rFonts w:ascii="Cambria" w:eastAsia="Cambria" w:hAnsi="Cambria" w:cs="Cambria"/>
                <w:i/>
                <w:sz w:val="20"/>
                <w:szCs w:val="24"/>
              </w:rPr>
              <w:t>.</w:t>
            </w:r>
          </w:p>
        </w:tc>
        <w:tc>
          <w:tcPr>
            <w:tcW w:w="850" w:type="dxa"/>
            <w:tcBorders>
              <w:top w:val="nil"/>
              <w:left w:val="nil"/>
              <w:bottom w:val="nil"/>
              <w:right w:val="nil"/>
            </w:tcBorders>
          </w:tcPr>
          <w:p w:rsidR="00AE3DC1" w:rsidRPr="00AE3DC1" w:rsidRDefault="00AE3DC1" w:rsidP="00AE3DC1">
            <w:pPr>
              <w:pStyle w:val="Bezmezer"/>
              <w:jc w:val="left"/>
              <w:rPr>
                <w:sz w:val="18"/>
              </w:rPr>
            </w:pPr>
          </w:p>
        </w:tc>
        <w:tc>
          <w:tcPr>
            <w:tcW w:w="4252" w:type="dxa"/>
            <w:vMerge w:val="restart"/>
            <w:tcBorders>
              <w:top w:val="nil"/>
              <w:left w:val="nil"/>
              <w:bottom w:val="nil"/>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 xml:space="preserve">David Rahusen </w:t>
            </w:r>
            <w:r w:rsidRPr="00AE3DC1">
              <w:rPr>
                <w:rFonts w:ascii="Cambria" w:eastAsia="Cambria" w:hAnsi="Cambria" w:cs="Cambria"/>
                <w:i/>
                <w:sz w:val="20"/>
                <w:szCs w:val="24"/>
                <w:highlight w:val="yellow"/>
              </w:rPr>
              <w:br/>
            </w:r>
            <w:r w:rsidRPr="00AE3DC1">
              <w:rPr>
                <w:rFonts w:ascii="Cambria" w:eastAsia="Cambria" w:hAnsi="Cambria" w:cs="Cambria"/>
                <w:i/>
                <w:sz w:val="20"/>
                <w:szCs w:val="24"/>
              </w:rPr>
              <w:t>Managing Director</w:t>
            </w:r>
            <w:r w:rsidRPr="00AE3DC1">
              <w:rPr>
                <w:rFonts w:ascii="Cambria" w:eastAsia="Cambria" w:hAnsi="Cambria" w:cs="Cambria"/>
                <w:i/>
                <w:sz w:val="20"/>
                <w:szCs w:val="24"/>
              </w:rPr>
              <w:br/>
              <w:t>STACKFORCE GmbH</w:t>
            </w:r>
          </w:p>
        </w:tc>
      </w:tr>
      <w:tr w:rsidR="00AE3DC1" w:rsidRPr="00AE3DC1" w:rsidTr="00617204">
        <w:trPr>
          <w:trHeight w:val="340"/>
        </w:trPr>
        <w:tc>
          <w:tcPr>
            <w:tcW w:w="4407" w:type="dxa"/>
            <w:vMerge/>
            <w:tcBorders>
              <w:top w:val="nil"/>
              <w:left w:val="nil"/>
              <w:bottom w:val="nil"/>
              <w:right w:val="nil"/>
            </w:tcBorders>
            <w:vAlign w:val="center"/>
          </w:tcPr>
          <w:p w:rsidR="00AE3DC1" w:rsidRPr="00AE3DC1" w:rsidRDefault="00AE3DC1" w:rsidP="00AE3DC1">
            <w:pPr>
              <w:pStyle w:val="Bezmezer"/>
              <w:jc w:val="left"/>
              <w:rPr>
                <w:sz w:val="18"/>
              </w:rPr>
            </w:pPr>
          </w:p>
        </w:tc>
        <w:tc>
          <w:tcPr>
            <w:tcW w:w="850" w:type="dxa"/>
            <w:tcBorders>
              <w:top w:val="nil"/>
              <w:left w:val="nil"/>
              <w:bottom w:val="nil"/>
              <w:right w:val="nil"/>
            </w:tcBorders>
          </w:tcPr>
          <w:p w:rsidR="00AE3DC1" w:rsidRPr="00AE3DC1" w:rsidRDefault="00AE3DC1" w:rsidP="00AE3DC1">
            <w:pPr>
              <w:pStyle w:val="Bezmezer"/>
              <w:jc w:val="left"/>
              <w:rPr>
                <w:sz w:val="18"/>
              </w:rPr>
            </w:pPr>
          </w:p>
        </w:tc>
        <w:tc>
          <w:tcPr>
            <w:tcW w:w="4252" w:type="dxa"/>
            <w:vMerge/>
            <w:tcBorders>
              <w:top w:val="nil"/>
              <w:left w:val="nil"/>
              <w:bottom w:val="nil"/>
              <w:right w:val="nil"/>
            </w:tcBorders>
            <w:vAlign w:val="center"/>
          </w:tcPr>
          <w:p w:rsidR="00AE3DC1" w:rsidRPr="00AE3DC1" w:rsidRDefault="00AE3DC1" w:rsidP="00AE3DC1">
            <w:pPr>
              <w:pStyle w:val="Bezmezer"/>
              <w:jc w:val="left"/>
              <w:rPr>
                <w:sz w:val="18"/>
              </w:rPr>
            </w:pPr>
          </w:p>
        </w:tc>
      </w:tr>
      <w:tr w:rsidR="00AE3DC1" w:rsidRPr="00AE3DC1" w:rsidTr="00617204">
        <w:trPr>
          <w:trHeight w:val="340"/>
        </w:trPr>
        <w:tc>
          <w:tcPr>
            <w:tcW w:w="4407" w:type="dxa"/>
            <w:vMerge/>
            <w:tcBorders>
              <w:top w:val="nil"/>
              <w:left w:val="nil"/>
              <w:bottom w:val="nil"/>
              <w:right w:val="nil"/>
            </w:tcBorders>
            <w:vAlign w:val="center"/>
          </w:tcPr>
          <w:p w:rsidR="00AE3DC1" w:rsidRPr="00AE3DC1" w:rsidRDefault="00AE3DC1" w:rsidP="00AE3DC1">
            <w:pPr>
              <w:pStyle w:val="Bezmezer"/>
              <w:jc w:val="left"/>
              <w:rPr>
                <w:sz w:val="18"/>
              </w:rPr>
            </w:pPr>
          </w:p>
        </w:tc>
        <w:tc>
          <w:tcPr>
            <w:tcW w:w="850" w:type="dxa"/>
            <w:tcBorders>
              <w:top w:val="nil"/>
              <w:left w:val="nil"/>
              <w:bottom w:val="nil"/>
              <w:right w:val="nil"/>
            </w:tcBorders>
          </w:tcPr>
          <w:p w:rsidR="00AE3DC1" w:rsidRPr="00AE3DC1" w:rsidRDefault="00AE3DC1" w:rsidP="00AE3DC1">
            <w:pPr>
              <w:pStyle w:val="Bezmezer"/>
              <w:jc w:val="left"/>
              <w:rPr>
                <w:sz w:val="18"/>
              </w:rPr>
            </w:pPr>
          </w:p>
        </w:tc>
        <w:tc>
          <w:tcPr>
            <w:tcW w:w="4252" w:type="dxa"/>
            <w:vMerge/>
            <w:tcBorders>
              <w:top w:val="nil"/>
              <w:left w:val="nil"/>
              <w:bottom w:val="nil"/>
              <w:right w:val="nil"/>
            </w:tcBorders>
            <w:vAlign w:val="center"/>
          </w:tcPr>
          <w:p w:rsidR="00AE3DC1" w:rsidRPr="00AE3DC1" w:rsidRDefault="00AE3DC1" w:rsidP="00AE3DC1">
            <w:pPr>
              <w:pStyle w:val="Bezmezer"/>
              <w:jc w:val="left"/>
              <w:rPr>
                <w:sz w:val="18"/>
              </w:rPr>
            </w:pPr>
          </w:p>
        </w:tc>
      </w:tr>
    </w:tbl>
    <w:p w:rsidR="00AE3DC1" w:rsidRP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Default="00AE3DC1" w:rsidP="00AE3DC1">
      <w:pPr>
        <w:pStyle w:val="Bezmezer"/>
        <w:jc w:val="left"/>
        <w:rPr>
          <w:sz w:val="18"/>
          <w:lang w:eastAsia="ko-KR"/>
        </w:rPr>
      </w:pPr>
    </w:p>
    <w:p w:rsidR="00AE3DC1" w:rsidRPr="00AE3DC1" w:rsidRDefault="00AE3DC1" w:rsidP="00AE3DC1">
      <w:pPr>
        <w:pStyle w:val="Bezmezer"/>
        <w:jc w:val="left"/>
        <w:rPr>
          <w:sz w:val="18"/>
          <w:lang w:eastAsia="ko-KR"/>
        </w:rPr>
      </w:pPr>
    </w:p>
    <w:p w:rsidR="00AE3DC1" w:rsidRPr="00AE3DC1" w:rsidRDefault="00AE3DC1" w:rsidP="00AE3DC1">
      <w:pPr>
        <w:pStyle w:val="Bezmezer"/>
        <w:jc w:val="left"/>
        <w:rPr>
          <w:sz w:val="18"/>
          <w:lang w:eastAsia="ko-KR"/>
        </w:rPr>
      </w:pPr>
    </w:p>
    <w:tbl>
      <w:tblPr>
        <w:tblW w:w="9509" w:type="dxa"/>
        <w:tblInd w:w="-127" w:type="dxa"/>
        <w:tblLayout w:type="fixed"/>
        <w:tblLook w:val="0400" w:firstRow="0" w:lastRow="0" w:firstColumn="0" w:lastColumn="0" w:noHBand="0" w:noVBand="1"/>
      </w:tblPr>
      <w:tblGrid>
        <w:gridCol w:w="4407"/>
        <w:gridCol w:w="850"/>
        <w:gridCol w:w="4252"/>
      </w:tblGrid>
      <w:tr w:rsidR="00AE3DC1" w:rsidRPr="00AE3DC1" w:rsidTr="00617204">
        <w:trPr>
          <w:trHeight w:val="340"/>
        </w:trPr>
        <w:tc>
          <w:tcPr>
            <w:tcW w:w="4407" w:type="dxa"/>
            <w:tcBorders>
              <w:top w:val="nil"/>
              <w:left w:val="nil"/>
              <w:bottom w:val="single" w:sz="4" w:space="0" w:color="000000"/>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 xml:space="preserve">(signature)                             </w:t>
            </w:r>
            <w:r>
              <w:rPr>
                <w:rFonts w:ascii="Cambria" w:eastAsia="Cambria" w:hAnsi="Cambria" w:cs="Cambria"/>
                <w:i/>
                <w:sz w:val="20"/>
                <w:szCs w:val="24"/>
              </w:rPr>
              <w:tab/>
            </w:r>
            <w:r w:rsidRPr="00AE3DC1">
              <w:rPr>
                <w:rFonts w:ascii="Cambria" w:eastAsia="Cambria" w:hAnsi="Cambria" w:cs="Cambria"/>
                <w:i/>
                <w:sz w:val="20"/>
                <w:szCs w:val="24"/>
              </w:rPr>
              <w:t xml:space="preserve">    (Date)</w:t>
            </w:r>
          </w:p>
        </w:tc>
        <w:tc>
          <w:tcPr>
            <w:tcW w:w="850" w:type="dxa"/>
            <w:tcBorders>
              <w:top w:val="nil"/>
              <w:left w:val="nil"/>
              <w:right w:val="nil"/>
            </w:tcBorders>
          </w:tcPr>
          <w:p w:rsidR="00AE3DC1" w:rsidRPr="00AE3DC1" w:rsidRDefault="00AE3DC1" w:rsidP="00AE3DC1">
            <w:pPr>
              <w:pStyle w:val="Bezmezer"/>
              <w:jc w:val="left"/>
              <w:rPr>
                <w:sz w:val="18"/>
              </w:rPr>
            </w:pPr>
          </w:p>
        </w:tc>
        <w:tc>
          <w:tcPr>
            <w:tcW w:w="4252" w:type="dxa"/>
            <w:tcBorders>
              <w:top w:val="nil"/>
              <w:left w:val="nil"/>
              <w:bottom w:val="single" w:sz="4" w:space="0" w:color="000000"/>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 xml:space="preserve">(signature)                           </w:t>
            </w:r>
            <w:r>
              <w:rPr>
                <w:rFonts w:ascii="Cambria" w:eastAsia="Cambria" w:hAnsi="Cambria" w:cs="Cambria"/>
                <w:i/>
                <w:sz w:val="20"/>
                <w:szCs w:val="24"/>
              </w:rPr>
              <w:tab/>
            </w:r>
            <w:r w:rsidRPr="00AE3DC1">
              <w:rPr>
                <w:rFonts w:ascii="Cambria" w:eastAsia="Cambria" w:hAnsi="Cambria" w:cs="Cambria"/>
                <w:i/>
                <w:sz w:val="20"/>
                <w:szCs w:val="24"/>
              </w:rPr>
              <w:t xml:space="preserve">    (Date)</w:t>
            </w:r>
          </w:p>
        </w:tc>
      </w:tr>
      <w:tr w:rsidR="00AE3DC1" w:rsidRPr="00300864" w:rsidTr="00617204">
        <w:trPr>
          <w:trHeight w:val="340"/>
        </w:trPr>
        <w:tc>
          <w:tcPr>
            <w:tcW w:w="4407" w:type="dxa"/>
            <w:vMerge w:val="restart"/>
            <w:tcBorders>
              <w:top w:val="nil"/>
              <w:left w:val="nil"/>
              <w:bottom w:val="nil"/>
              <w:right w:val="nil"/>
            </w:tcBorders>
            <w:vAlign w:val="center"/>
          </w:tcPr>
          <w:p w:rsidR="00AE3DC1" w:rsidRPr="00AE3DC1" w:rsidRDefault="00AE3DC1" w:rsidP="00AE3DC1">
            <w:pPr>
              <w:pStyle w:val="Bezmezer"/>
              <w:jc w:val="left"/>
              <w:rPr>
                <w:sz w:val="18"/>
              </w:rPr>
            </w:pPr>
            <w:r w:rsidRPr="00AE3DC1">
              <w:rPr>
                <w:rFonts w:ascii="Cambria" w:eastAsia="Cambria" w:hAnsi="Cambria" w:cs="Cambria"/>
                <w:i/>
                <w:sz w:val="20"/>
                <w:szCs w:val="24"/>
              </w:rPr>
              <w:t>doc. Dr. RNDr. Miroslav  HOLEČEK</w:t>
            </w:r>
            <w:r w:rsidRPr="00AE3DC1">
              <w:rPr>
                <w:rFonts w:ascii="Cambria" w:eastAsia="Cambria" w:hAnsi="Cambria" w:cs="Cambria"/>
                <w:i/>
                <w:sz w:val="20"/>
                <w:szCs w:val="24"/>
              </w:rPr>
              <w:br/>
              <w:t>University rector</w:t>
            </w:r>
            <w:r w:rsidRPr="00AE3DC1">
              <w:rPr>
                <w:rFonts w:ascii="Cambria" w:eastAsia="Cambria" w:hAnsi="Cambria" w:cs="Cambria"/>
                <w:i/>
                <w:sz w:val="20"/>
                <w:szCs w:val="24"/>
              </w:rPr>
              <w:br/>
            </w:r>
            <w:proofErr w:type="spellStart"/>
            <w:r w:rsidRPr="00AE3DC1">
              <w:rPr>
                <w:rFonts w:ascii="Cambria" w:eastAsia="Cambria" w:hAnsi="Cambria" w:cs="Cambria"/>
                <w:i/>
                <w:sz w:val="20"/>
                <w:szCs w:val="24"/>
              </w:rPr>
              <w:t>Západočeská</w:t>
            </w:r>
            <w:proofErr w:type="spellEnd"/>
            <w:r w:rsidRPr="00AE3DC1">
              <w:rPr>
                <w:rFonts w:ascii="Cambria" w:eastAsia="Cambria" w:hAnsi="Cambria" w:cs="Cambria"/>
                <w:i/>
                <w:sz w:val="20"/>
                <w:szCs w:val="24"/>
              </w:rPr>
              <w:t xml:space="preserve"> </w:t>
            </w:r>
            <w:proofErr w:type="spellStart"/>
            <w:r w:rsidRPr="00AE3DC1">
              <w:rPr>
                <w:rFonts w:ascii="Cambria" w:eastAsia="Cambria" w:hAnsi="Cambria" w:cs="Cambria"/>
                <w:i/>
                <w:sz w:val="20"/>
                <w:szCs w:val="24"/>
              </w:rPr>
              <w:t>univerzita</w:t>
            </w:r>
            <w:proofErr w:type="spellEnd"/>
            <w:r w:rsidRPr="00AE3DC1">
              <w:rPr>
                <w:rFonts w:ascii="Cambria" w:eastAsia="Cambria" w:hAnsi="Cambria" w:cs="Cambria"/>
                <w:i/>
                <w:sz w:val="20"/>
                <w:szCs w:val="24"/>
              </w:rPr>
              <w:t xml:space="preserve"> v </w:t>
            </w:r>
            <w:proofErr w:type="spellStart"/>
            <w:r w:rsidRPr="00AE3DC1">
              <w:rPr>
                <w:rFonts w:ascii="Cambria" w:eastAsia="Cambria" w:hAnsi="Cambria" w:cs="Cambria"/>
                <w:i/>
                <w:sz w:val="20"/>
                <w:szCs w:val="24"/>
              </w:rPr>
              <w:t>Plzni</w:t>
            </w:r>
            <w:proofErr w:type="spellEnd"/>
          </w:p>
        </w:tc>
        <w:tc>
          <w:tcPr>
            <w:tcW w:w="850" w:type="dxa"/>
            <w:tcBorders>
              <w:top w:val="nil"/>
              <w:left w:val="nil"/>
              <w:bottom w:val="nil"/>
              <w:right w:val="nil"/>
            </w:tcBorders>
          </w:tcPr>
          <w:p w:rsidR="00AE3DC1" w:rsidRPr="00AE3DC1" w:rsidRDefault="00AE3DC1" w:rsidP="00AE3DC1">
            <w:pPr>
              <w:pStyle w:val="Bezmezer"/>
              <w:jc w:val="left"/>
              <w:rPr>
                <w:sz w:val="18"/>
              </w:rPr>
            </w:pPr>
          </w:p>
        </w:tc>
        <w:tc>
          <w:tcPr>
            <w:tcW w:w="4252" w:type="dxa"/>
            <w:vMerge w:val="restart"/>
            <w:tcBorders>
              <w:top w:val="nil"/>
              <w:left w:val="nil"/>
              <w:bottom w:val="nil"/>
              <w:right w:val="nil"/>
            </w:tcBorders>
            <w:vAlign w:val="center"/>
          </w:tcPr>
          <w:p w:rsidR="00AE3DC1" w:rsidRPr="002718A7" w:rsidRDefault="00AE3DC1" w:rsidP="00AE3DC1">
            <w:pPr>
              <w:pStyle w:val="Bezmezer"/>
              <w:jc w:val="left"/>
              <w:rPr>
                <w:rFonts w:ascii="Cambria" w:eastAsia="Cambria" w:hAnsi="Cambria" w:cs="Cambria"/>
                <w:i/>
                <w:sz w:val="20"/>
                <w:szCs w:val="24"/>
                <w:lang w:val="de-DE"/>
              </w:rPr>
            </w:pPr>
            <w:r w:rsidRPr="002718A7">
              <w:rPr>
                <w:rFonts w:ascii="Cambria" w:eastAsia="Cambria" w:hAnsi="Cambria" w:cs="Cambria"/>
                <w:i/>
                <w:sz w:val="20"/>
                <w:szCs w:val="24"/>
                <w:lang w:val="de-DE"/>
              </w:rPr>
              <w:t xml:space="preserve">Clemens Pecha </w:t>
            </w:r>
          </w:p>
          <w:p w:rsidR="00AE3DC1" w:rsidRPr="00AE3DC1" w:rsidRDefault="008F10ED" w:rsidP="00AE3DC1">
            <w:pPr>
              <w:pStyle w:val="Bezmezer"/>
              <w:jc w:val="left"/>
              <w:rPr>
                <w:sz w:val="18"/>
                <w:lang w:val="de-DE"/>
              </w:rPr>
            </w:pPr>
            <w:r>
              <w:rPr>
                <w:rFonts w:ascii="Cambria" w:eastAsia="Cambria" w:hAnsi="Cambria" w:cs="Cambria"/>
                <w:i/>
                <w:sz w:val="20"/>
                <w:szCs w:val="24"/>
                <w:lang w:val="de-DE"/>
              </w:rPr>
              <w:t xml:space="preserve">CFO </w:t>
            </w:r>
            <w:r w:rsidR="00AE3DC1" w:rsidRPr="002718A7">
              <w:rPr>
                <w:rFonts w:ascii="Cambria" w:eastAsia="Cambria" w:hAnsi="Cambria" w:cs="Cambria"/>
                <w:i/>
                <w:sz w:val="20"/>
                <w:szCs w:val="24"/>
                <w:lang w:val="de-DE"/>
              </w:rPr>
              <w:br/>
              <w:t>Hahn-Schic</w:t>
            </w:r>
            <w:r w:rsidR="00AE3DC1" w:rsidRPr="00AE3DC1">
              <w:rPr>
                <w:rFonts w:ascii="Cambria" w:eastAsia="Cambria" w:hAnsi="Cambria" w:cs="Cambria"/>
                <w:i/>
                <w:sz w:val="20"/>
                <w:szCs w:val="24"/>
                <w:lang w:val="de-DE"/>
              </w:rPr>
              <w:t>kard-Gesellschaft für angewandte Forschung e.V.</w:t>
            </w:r>
          </w:p>
        </w:tc>
      </w:tr>
      <w:tr w:rsidR="00AE3DC1" w:rsidRPr="00300864" w:rsidTr="00617204">
        <w:trPr>
          <w:trHeight w:val="340"/>
        </w:trPr>
        <w:tc>
          <w:tcPr>
            <w:tcW w:w="4407" w:type="dxa"/>
            <w:vMerge/>
            <w:tcBorders>
              <w:top w:val="nil"/>
              <w:left w:val="nil"/>
              <w:bottom w:val="nil"/>
              <w:right w:val="nil"/>
            </w:tcBorders>
            <w:vAlign w:val="center"/>
          </w:tcPr>
          <w:p w:rsidR="00AE3DC1" w:rsidRPr="00AE3DC1" w:rsidRDefault="00AE3DC1" w:rsidP="00AE3DC1">
            <w:pPr>
              <w:pStyle w:val="Bezmezer"/>
              <w:jc w:val="left"/>
              <w:rPr>
                <w:sz w:val="18"/>
                <w:lang w:val="de-DE"/>
              </w:rPr>
            </w:pPr>
          </w:p>
        </w:tc>
        <w:tc>
          <w:tcPr>
            <w:tcW w:w="850" w:type="dxa"/>
            <w:tcBorders>
              <w:top w:val="nil"/>
              <w:left w:val="nil"/>
              <w:bottom w:val="nil"/>
              <w:right w:val="nil"/>
            </w:tcBorders>
          </w:tcPr>
          <w:p w:rsidR="00AE3DC1" w:rsidRPr="00AE3DC1" w:rsidRDefault="00AE3DC1" w:rsidP="00AE3DC1">
            <w:pPr>
              <w:pStyle w:val="Bezmezer"/>
              <w:jc w:val="left"/>
              <w:rPr>
                <w:sz w:val="18"/>
                <w:lang w:val="de-DE"/>
              </w:rPr>
            </w:pPr>
          </w:p>
        </w:tc>
        <w:tc>
          <w:tcPr>
            <w:tcW w:w="4252" w:type="dxa"/>
            <w:vMerge/>
            <w:tcBorders>
              <w:top w:val="nil"/>
              <w:left w:val="nil"/>
              <w:bottom w:val="nil"/>
              <w:right w:val="nil"/>
            </w:tcBorders>
            <w:vAlign w:val="center"/>
          </w:tcPr>
          <w:p w:rsidR="00AE3DC1" w:rsidRPr="00AE3DC1" w:rsidRDefault="00AE3DC1" w:rsidP="00AE3DC1">
            <w:pPr>
              <w:pStyle w:val="Bezmezer"/>
              <w:jc w:val="left"/>
              <w:rPr>
                <w:sz w:val="18"/>
                <w:lang w:val="de-DE"/>
              </w:rPr>
            </w:pPr>
          </w:p>
        </w:tc>
      </w:tr>
      <w:tr w:rsidR="00AE3DC1" w:rsidRPr="00300864" w:rsidTr="00617204">
        <w:trPr>
          <w:trHeight w:val="340"/>
        </w:trPr>
        <w:tc>
          <w:tcPr>
            <w:tcW w:w="4407" w:type="dxa"/>
            <w:vMerge/>
            <w:tcBorders>
              <w:top w:val="nil"/>
              <w:left w:val="nil"/>
              <w:bottom w:val="nil"/>
              <w:right w:val="nil"/>
            </w:tcBorders>
            <w:vAlign w:val="center"/>
          </w:tcPr>
          <w:p w:rsidR="00AE3DC1" w:rsidRPr="00AE3DC1" w:rsidRDefault="00AE3DC1" w:rsidP="00AE3DC1">
            <w:pPr>
              <w:pStyle w:val="Bezmezer"/>
              <w:jc w:val="left"/>
              <w:rPr>
                <w:sz w:val="18"/>
                <w:lang w:val="de-DE"/>
              </w:rPr>
            </w:pPr>
          </w:p>
        </w:tc>
        <w:tc>
          <w:tcPr>
            <w:tcW w:w="850" w:type="dxa"/>
            <w:tcBorders>
              <w:top w:val="nil"/>
              <w:left w:val="nil"/>
              <w:bottom w:val="nil"/>
              <w:right w:val="nil"/>
            </w:tcBorders>
          </w:tcPr>
          <w:p w:rsidR="00AE3DC1" w:rsidRPr="00AE3DC1" w:rsidRDefault="00AE3DC1" w:rsidP="00AE3DC1">
            <w:pPr>
              <w:pStyle w:val="Bezmezer"/>
              <w:jc w:val="left"/>
              <w:rPr>
                <w:sz w:val="18"/>
                <w:lang w:val="de-DE"/>
              </w:rPr>
            </w:pPr>
          </w:p>
        </w:tc>
        <w:tc>
          <w:tcPr>
            <w:tcW w:w="4252" w:type="dxa"/>
            <w:vMerge/>
            <w:tcBorders>
              <w:top w:val="nil"/>
              <w:left w:val="nil"/>
              <w:bottom w:val="nil"/>
              <w:right w:val="nil"/>
            </w:tcBorders>
            <w:vAlign w:val="center"/>
          </w:tcPr>
          <w:p w:rsidR="00AE3DC1" w:rsidRPr="00AE3DC1" w:rsidRDefault="00AE3DC1" w:rsidP="00AE3DC1">
            <w:pPr>
              <w:pStyle w:val="Bezmezer"/>
              <w:jc w:val="left"/>
              <w:rPr>
                <w:sz w:val="18"/>
                <w:lang w:val="de-DE"/>
              </w:rPr>
            </w:pPr>
          </w:p>
        </w:tc>
      </w:tr>
    </w:tbl>
    <w:p w:rsidR="00AE3DC1" w:rsidRDefault="00AE3DC1" w:rsidP="00AE3DC1">
      <w:pPr>
        <w:pStyle w:val="Bezmezer"/>
        <w:jc w:val="left"/>
        <w:rPr>
          <w:sz w:val="18"/>
          <w:lang w:val="de-DE"/>
        </w:rPr>
      </w:pPr>
    </w:p>
    <w:p w:rsidR="00F26EC7" w:rsidRDefault="00F26EC7" w:rsidP="00AE3DC1">
      <w:pPr>
        <w:pStyle w:val="Bezmezer"/>
        <w:jc w:val="left"/>
        <w:rPr>
          <w:sz w:val="18"/>
          <w:lang w:val="de-DE"/>
        </w:rPr>
      </w:pPr>
    </w:p>
    <w:p w:rsidR="00F26EC7" w:rsidRDefault="00F26EC7" w:rsidP="00AE3DC1">
      <w:pPr>
        <w:pStyle w:val="Bezmezer"/>
        <w:jc w:val="left"/>
        <w:rPr>
          <w:sz w:val="18"/>
          <w:lang w:val="de-DE"/>
        </w:rPr>
      </w:pPr>
    </w:p>
    <w:p w:rsidR="00F26EC7" w:rsidRDefault="00F26EC7" w:rsidP="00AE3DC1">
      <w:pPr>
        <w:pStyle w:val="Bezmezer"/>
        <w:jc w:val="left"/>
        <w:rPr>
          <w:sz w:val="18"/>
          <w:lang w:val="de-DE"/>
        </w:rPr>
      </w:pPr>
    </w:p>
    <w:p w:rsidR="00F26EC7" w:rsidRDefault="00F26EC7" w:rsidP="00AE3DC1">
      <w:pPr>
        <w:pStyle w:val="Bezmezer"/>
        <w:jc w:val="left"/>
        <w:rPr>
          <w:sz w:val="18"/>
          <w:lang w:val="de-DE"/>
        </w:rPr>
      </w:pPr>
    </w:p>
    <w:p w:rsidR="00F26EC7" w:rsidRDefault="00F26EC7" w:rsidP="00AE3DC1">
      <w:pPr>
        <w:pStyle w:val="Bezmezer"/>
        <w:jc w:val="left"/>
        <w:rPr>
          <w:sz w:val="18"/>
          <w:lang w:val="de-DE"/>
        </w:rPr>
      </w:pPr>
    </w:p>
    <w:p w:rsidR="00F26EC7" w:rsidRDefault="00F26EC7" w:rsidP="00AE3DC1">
      <w:pPr>
        <w:pStyle w:val="Bezmezer"/>
        <w:jc w:val="left"/>
        <w:rPr>
          <w:sz w:val="18"/>
          <w:lang w:val="de-DE"/>
        </w:rPr>
      </w:pPr>
    </w:p>
    <w:tbl>
      <w:tblPr>
        <w:tblW w:w="9509" w:type="dxa"/>
        <w:tblInd w:w="-127" w:type="dxa"/>
        <w:tblLayout w:type="fixed"/>
        <w:tblLook w:val="0400" w:firstRow="0" w:lastRow="0" w:firstColumn="0" w:lastColumn="0" w:noHBand="0" w:noVBand="1"/>
      </w:tblPr>
      <w:tblGrid>
        <w:gridCol w:w="4407"/>
        <w:gridCol w:w="850"/>
        <w:gridCol w:w="4252"/>
      </w:tblGrid>
      <w:tr w:rsidR="00F26EC7" w:rsidRPr="00AE3DC1" w:rsidTr="00B34FE1">
        <w:trPr>
          <w:trHeight w:val="340"/>
        </w:trPr>
        <w:tc>
          <w:tcPr>
            <w:tcW w:w="4407" w:type="dxa"/>
            <w:tcBorders>
              <w:top w:val="nil"/>
              <w:left w:val="nil"/>
              <w:bottom w:val="single" w:sz="4" w:space="0" w:color="000000"/>
              <w:right w:val="nil"/>
            </w:tcBorders>
            <w:vAlign w:val="center"/>
          </w:tcPr>
          <w:p w:rsidR="00F26EC7" w:rsidRPr="0074000E" w:rsidRDefault="00F26EC7" w:rsidP="00B34FE1">
            <w:pPr>
              <w:pStyle w:val="Bezmezer"/>
              <w:jc w:val="left"/>
              <w:rPr>
                <w:sz w:val="18"/>
                <w:lang w:val="de-DE"/>
              </w:rPr>
            </w:pPr>
          </w:p>
        </w:tc>
        <w:tc>
          <w:tcPr>
            <w:tcW w:w="850" w:type="dxa"/>
            <w:tcBorders>
              <w:top w:val="nil"/>
              <w:left w:val="nil"/>
              <w:right w:val="nil"/>
            </w:tcBorders>
          </w:tcPr>
          <w:p w:rsidR="00F26EC7" w:rsidRPr="0074000E" w:rsidRDefault="00F26EC7" w:rsidP="00B34FE1">
            <w:pPr>
              <w:pStyle w:val="Bezmezer"/>
              <w:jc w:val="left"/>
              <w:rPr>
                <w:sz w:val="18"/>
                <w:lang w:val="de-DE"/>
              </w:rPr>
            </w:pPr>
          </w:p>
        </w:tc>
        <w:tc>
          <w:tcPr>
            <w:tcW w:w="4252" w:type="dxa"/>
            <w:tcBorders>
              <w:top w:val="nil"/>
              <w:left w:val="nil"/>
              <w:bottom w:val="single" w:sz="4" w:space="0" w:color="000000"/>
              <w:right w:val="nil"/>
            </w:tcBorders>
            <w:vAlign w:val="center"/>
          </w:tcPr>
          <w:p w:rsidR="00F26EC7" w:rsidRPr="00AE3DC1" w:rsidRDefault="00F26EC7" w:rsidP="00B34FE1">
            <w:pPr>
              <w:pStyle w:val="Bezmezer"/>
              <w:jc w:val="left"/>
              <w:rPr>
                <w:sz w:val="18"/>
              </w:rPr>
            </w:pPr>
            <w:r w:rsidRPr="00AE3DC1">
              <w:rPr>
                <w:rFonts w:ascii="Cambria" w:eastAsia="Cambria" w:hAnsi="Cambria" w:cs="Cambria"/>
                <w:i/>
                <w:sz w:val="20"/>
                <w:szCs w:val="24"/>
              </w:rPr>
              <w:t xml:space="preserve">(signature)                           </w:t>
            </w:r>
            <w:r>
              <w:rPr>
                <w:rFonts w:ascii="Cambria" w:eastAsia="Cambria" w:hAnsi="Cambria" w:cs="Cambria"/>
                <w:i/>
                <w:sz w:val="20"/>
                <w:szCs w:val="24"/>
              </w:rPr>
              <w:tab/>
            </w:r>
            <w:r w:rsidRPr="00AE3DC1">
              <w:rPr>
                <w:rFonts w:ascii="Cambria" w:eastAsia="Cambria" w:hAnsi="Cambria" w:cs="Cambria"/>
                <w:i/>
                <w:sz w:val="20"/>
                <w:szCs w:val="24"/>
              </w:rPr>
              <w:t xml:space="preserve">    (Date)</w:t>
            </w:r>
          </w:p>
        </w:tc>
      </w:tr>
      <w:tr w:rsidR="00F26EC7" w:rsidRPr="00300864" w:rsidTr="00B34FE1">
        <w:trPr>
          <w:trHeight w:val="340"/>
        </w:trPr>
        <w:tc>
          <w:tcPr>
            <w:tcW w:w="4407" w:type="dxa"/>
            <w:tcBorders>
              <w:top w:val="nil"/>
              <w:left w:val="nil"/>
              <w:bottom w:val="nil"/>
              <w:right w:val="nil"/>
            </w:tcBorders>
            <w:vAlign w:val="center"/>
          </w:tcPr>
          <w:p w:rsidR="00F26EC7" w:rsidRPr="00AE3DC1" w:rsidRDefault="00F26EC7" w:rsidP="00B34FE1">
            <w:pPr>
              <w:pStyle w:val="Bezmezer"/>
              <w:jc w:val="left"/>
              <w:rPr>
                <w:sz w:val="18"/>
              </w:rPr>
            </w:pPr>
          </w:p>
        </w:tc>
        <w:tc>
          <w:tcPr>
            <w:tcW w:w="850" w:type="dxa"/>
            <w:tcBorders>
              <w:top w:val="nil"/>
              <w:left w:val="nil"/>
              <w:bottom w:val="nil"/>
              <w:right w:val="nil"/>
            </w:tcBorders>
          </w:tcPr>
          <w:p w:rsidR="00F26EC7" w:rsidRPr="00AE3DC1" w:rsidRDefault="00F26EC7" w:rsidP="00B34FE1">
            <w:pPr>
              <w:pStyle w:val="Bezmezer"/>
              <w:jc w:val="left"/>
              <w:rPr>
                <w:sz w:val="18"/>
              </w:rPr>
            </w:pPr>
          </w:p>
        </w:tc>
        <w:tc>
          <w:tcPr>
            <w:tcW w:w="4252" w:type="dxa"/>
            <w:tcBorders>
              <w:top w:val="nil"/>
              <w:left w:val="nil"/>
              <w:bottom w:val="nil"/>
              <w:right w:val="nil"/>
            </w:tcBorders>
            <w:vAlign w:val="center"/>
          </w:tcPr>
          <w:p w:rsidR="00F26EC7" w:rsidRPr="002718A7" w:rsidRDefault="00F26EC7" w:rsidP="00B34FE1">
            <w:pPr>
              <w:pStyle w:val="Bezmezer"/>
              <w:jc w:val="left"/>
              <w:rPr>
                <w:rFonts w:ascii="Cambria" w:eastAsia="Cambria" w:hAnsi="Cambria" w:cs="Cambria"/>
                <w:i/>
                <w:sz w:val="20"/>
                <w:szCs w:val="24"/>
                <w:lang w:val="de-DE"/>
              </w:rPr>
            </w:pPr>
            <w:r>
              <w:rPr>
                <w:rFonts w:ascii="Cambria" w:eastAsia="Cambria" w:hAnsi="Cambria" w:cs="Cambria"/>
                <w:i/>
                <w:sz w:val="20"/>
                <w:szCs w:val="24"/>
                <w:lang w:val="de-DE"/>
              </w:rPr>
              <w:t>Prof. Dr. Alfons Dehé</w:t>
            </w:r>
          </w:p>
          <w:p w:rsidR="00F26EC7" w:rsidRPr="00AE3DC1" w:rsidRDefault="00F26EC7" w:rsidP="00B34FE1">
            <w:pPr>
              <w:pStyle w:val="Bezmezer"/>
              <w:jc w:val="left"/>
              <w:rPr>
                <w:sz w:val="18"/>
                <w:lang w:val="de-DE"/>
              </w:rPr>
            </w:pPr>
            <w:r>
              <w:rPr>
                <w:rFonts w:ascii="Cambria" w:eastAsia="Cambria" w:hAnsi="Cambria" w:cs="Cambria"/>
                <w:i/>
                <w:sz w:val="20"/>
                <w:szCs w:val="24"/>
                <w:lang w:val="de-DE"/>
              </w:rPr>
              <w:t>Executive Board</w:t>
            </w:r>
            <w:r w:rsidRPr="002718A7">
              <w:rPr>
                <w:rFonts w:ascii="Cambria" w:eastAsia="Cambria" w:hAnsi="Cambria" w:cs="Cambria"/>
                <w:i/>
                <w:sz w:val="20"/>
                <w:szCs w:val="24"/>
                <w:lang w:val="de-DE"/>
              </w:rPr>
              <w:br/>
              <w:t>Hahn-Schic</w:t>
            </w:r>
            <w:r w:rsidRPr="00AE3DC1">
              <w:rPr>
                <w:rFonts w:ascii="Cambria" w:eastAsia="Cambria" w:hAnsi="Cambria" w:cs="Cambria"/>
                <w:i/>
                <w:sz w:val="20"/>
                <w:szCs w:val="24"/>
                <w:lang w:val="de-DE"/>
              </w:rPr>
              <w:t>kard-Gesellschaft für angewandte Forschung e.V.</w:t>
            </w:r>
          </w:p>
        </w:tc>
      </w:tr>
    </w:tbl>
    <w:p w:rsidR="00F26EC7" w:rsidRPr="00AE3DC1" w:rsidRDefault="00F26EC7" w:rsidP="00AE3DC1">
      <w:pPr>
        <w:pStyle w:val="Bezmezer"/>
        <w:jc w:val="left"/>
        <w:rPr>
          <w:sz w:val="18"/>
          <w:lang w:val="de-DE"/>
        </w:rPr>
      </w:pPr>
    </w:p>
    <w:sectPr w:rsidR="00F26EC7" w:rsidRPr="00AE3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A73"/>
    <w:multiLevelType w:val="hybridMultilevel"/>
    <w:tmpl w:val="0E3A2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FF166E"/>
    <w:multiLevelType w:val="hybridMultilevel"/>
    <w:tmpl w:val="F55E9B1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0072B6"/>
    <w:multiLevelType w:val="hybridMultilevel"/>
    <w:tmpl w:val="D4FEB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BA051F"/>
    <w:multiLevelType w:val="hybridMultilevel"/>
    <w:tmpl w:val="5A04D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5666F"/>
    <w:multiLevelType w:val="hybridMultilevel"/>
    <w:tmpl w:val="25E87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FA05C1"/>
    <w:multiLevelType w:val="hybridMultilevel"/>
    <w:tmpl w:val="7C5C3BF6"/>
    <w:lvl w:ilvl="0" w:tplc="C212B03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8A37DC"/>
    <w:multiLevelType w:val="hybridMultilevel"/>
    <w:tmpl w:val="0712BC2A"/>
    <w:lvl w:ilvl="0" w:tplc="2BD872B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A95819"/>
    <w:multiLevelType w:val="hybridMultilevel"/>
    <w:tmpl w:val="EADEF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33202B"/>
    <w:multiLevelType w:val="hybridMultilevel"/>
    <w:tmpl w:val="0DB0867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604887"/>
    <w:multiLevelType w:val="hybridMultilevel"/>
    <w:tmpl w:val="B0D092D4"/>
    <w:lvl w:ilvl="0" w:tplc="7A220FF6">
      <w:start w:val="1"/>
      <w:numFmt w:val="upperRoman"/>
      <w:pStyle w:val="Nadpis3"/>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9"/>
  </w:num>
  <w:num w:numId="6">
    <w:abstractNumId w:val="1"/>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2"/>
    <w:rsid w:val="00014931"/>
    <w:rsid w:val="00083AEF"/>
    <w:rsid w:val="00087A63"/>
    <w:rsid w:val="00117565"/>
    <w:rsid w:val="0016745A"/>
    <w:rsid w:val="00193F83"/>
    <w:rsid w:val="00210E0B"/>
    <w:rsid w:val="00217108"/>
    <w:rsid w:val="0022573F"/>
    <w:rsid w:val="0025711B"/>
    <w:rsid w:val="002718A7"/>
    <w:rsid w:val="0027710C"/>
    <w:rsid w:val="002B1925"/>
    <w:rsid w:val="002E7EED"/>
    <w:rsid w:val="00300864"/>
    <w:rsid w:val="003068CC"/>
    <w:rsid w:val="00312BB6"/>
    <w:rsid w:val="0036057C"/>
    <w:rsid w:val="003936EB"/>
    <w:rsid w:val="003B7298"/>
    <w:rsid w:val="0043278B"/>
    <w:rsid w:val="00443CB3"/>
    <w:rsid w:val="00452FA6"/>
    <w:rsid w:val="00466833"/>
    <w:rsid w:val="004D1803"/>
    <w:rsid w:val="00576F7A"/>
    <w:rsid w:val="00594544"/>
    <w:rsid w:val="005C6EBF"/>
    <w:rsid w:val="005F7CC9"/>
    <w:rsid w:val="00617C14"/>
    <w:rsid w:val="00623C2B"/>
    <w:rsid w:val="00687BA6"/>
    <w:rsid w:val="006949F9"/>
    <w:rsid w:val="006B1761"/>
    <w:rsid w:val="006E1222"/>
    <w:rsid w:val="006F307D"/>
    <w:rsid w:val="0071559E"/>
    <w:rsid w:val="0074000E"/>
    <w:rsid w:val="00746620"/>
    <w:rsid w:val="00751874"/>
    <w:rsid w:val="00757CDF"/>
    <w:rsid w:val="007709AC"/>
    <w:rsid w:val="007E39BF"/>
    <w:rsid w:val="00867AD0"/>
    <w:rsid w:val="008D1ECA"/>
    <w:rsid w:val="008F10ED"/>
    <w:rsid w:val="009A4A23"/>
    <w:rsid w:val="009D5245"/>
    <w:rsid w:val="009D5AF2"/>
    <w:rsid w:val="009F71C5"/>
    <w:rsid w:val="00A30B27"/>
    <w:rsid w:val="00A33151"/>
    <w:rsid w:val="00A834C3"/>
    <w:rsid w:val="00AE3DC1"/>
    <w:rsid w:val="00AF6081"/>
    <w:rsid w:val="00B33EAD"/>
    <w:rsid w:val="00B42826"/>
    <w:rsid w:val="00B87144"/>
    <w:rsid w:val="00B967C7"/>
    <w:rsid w:val="00BA5C48"/>
    <w:rsid w:val="00BC489D"/>
    <w:rsid w:val="00BE1AED"/>
    <w:rsid w:val="00C01A2E"/>
    <w:rsid w:val="00C0690E"/>
    <w:rsid w:val="00C416C7"/>
    <w:rsid w:val="00D028EC"/>
    <w:rsid w:val="00D24601"/>
    <w:rsid w:val="00DB5D0C"/>
    <w:rsid w:val="00E14596"/>
    <w:rsid w:val="00E46592"/>
    <w:rsid w:val="00E94037"/>
    <w:rsid w:val="00E96805"/>
    <w:rsid w:val="00EA4E7E"/>
    <w:rsid w:val="00F01EA8"/>
    <w:rsid w:val="00F03DB3"/>
    <w:rsid w:val="00F26EC7"/>
    <w:rsid w:val="00F329D2"/>
    <w:rsid w:val="00F54881"/>
    <w:rsid w:val="00FC7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ECA"/>
    <w:pPr>
      <w:jc w:val="both"/>
    </w:pPr>
    <w:rPr>
      <w:lang w:val="en-US"/>
    </w:rPr>
  </w:style>
  <w:style w:type="paragraph" w:styleId="Nadpis2">
    <w:name w:val="heading 2"/>
    <w:basedOn w:val="Normln"/>
    <w:next w:val="Normln"/>
    <w:link w:val="Nadpis2Char"/>
    <w:uiPriority w:val="9"/>
    <w:unhideWhenUsed/>
    <w:qFormat/>
    <w:rsid w:val="008D1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7CDF"/>
    <w:pPr>
      <w:keepNext/>
      <w:keepLines/>
      <w:numPr>
        <w:numId w:val="5"/>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D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55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59E"/>
    <w:rPr>
      <w:rFonts w:ascii="Tahoma" w:hAnsi="Tahoma" w:cs="Tahoma"/>
      <w:sz w:val="16"/>
      <w:szCs w:val="16"/>
    </w:rPr>
  </w:style>
  <w:style w:type="character" w:customStyle="1" w:styleId="Nadpis2Char">
    <w:name w:val="Nadpis 2 Char"/>
    <w:basedOn w:val="Standardnpsmoodstavce"/>
    <w:link w:val="Nadpis2"/>
    <w:uiPriority w:val="9"/>
    <w:rsid w:val="008D1EC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8D1ECA"/>
    <w:pPr>
      <w:jc w:val="center"/>
    </w:pPr>
    <w:rPr>
      <w:b/>
      <w:sz w:val="28"/>
      <w:szCs w:val="28"/>
    </w:rPr>
  </w:style>
  <w:style w:type="character" w:customStyle="1" w:styleId="NzevChar">
    <w:name w:val="Název Char"/>
    <w:basedOn w:val="Standardnpsmoodstavce"/>
    <w:link w:val="Nzev"/>
    <w:uiPriority w:val="10"/>
    <w:rsid w:val="008D1ECA"/>
    <w:rPr>
      <w:b/>
      <w:sz w:val="28"/>
      <w:szCs w:val="28"/>
      <w:lang w:val="en-US"/>
    </w:rPr>
  </w:style>
  <w:style w:type="character" w:customStyle="1" w:styleId="Nadpis3Char">
    <w:name w:val="Nadpis 3 Char"/>
    <w:basedOn w:val="Standardnpsmoodstavce"/>
    <w:link w:val="Nadpis3"/>
    <w:uiPriority w:val="9"/>
    <w:rsid w:val="00757CDF"/>
    <w:rPr>
      <w:rFonts w:asciiTheme="majorHAnsi" w:eastAsiaTheme="majorEastAsia" w:hAnsiTheme="majorHAnsi" w:cstheme="majorBidi"/>
      <w:b/>
      <w:bCs/>
      <w:color w:val="4F81BD" w:themeColor="accent1"/>
      <w:lang w:val="en-US"/>
    </w:rPr>
  </w:style>
  <w:style w:type="paragraph" w:styleId="Odstavecseseznamem">
    <w:name w:val="List Paragraph"/>
    <w:basedOn w:val="Normln"/>
    <w:uiPriority w:val="34"/>
    <w:qFormat/>
    <w:rsid w:val="003068CC"/>
    <w:pPr>
      <w:spacing w:before="60" w:after="60" w:line="240" w:lineRule="auto"/>
      <w:ind w:left="720"/>
      <w:contextualSpacing/>
    </w:pPr>
    <w:rPr>
      <w:rFonts w:ascii="Garamond" w:eastAsia="Times New Roman" w:hAnsi="Garamond" w:cs="Times New Roman"/>
      <w:sz w:val="20"/>
      <w:szCs w:val="24"/>
      <w:lang w:eastAsia="de-DE"/>
    </w:rPr>
  </w:style>
  <w:style w:type="table" w:customStyle="1" w:styleId="Tabellenraster1">
    <w:name w:val="Tabellenraster1"/>
    <w:basedOn w:val="Normlntabulka"/>
    <w:next w:val="Mkatabulky"/>
    <w:rsid w:val="003068CC"/>
    <w:pPr>
      <w:spacing w:after="0" w:line="240" w:lineRule="auto"/>
      <w:ind w:firstLine="360"/>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83AEF"/>
    <w:rPr>
      <w:sz w:val="16"/>
      <w:szCs w:val="16"/>
    </w:rPr>
  </w:style>
  <w:style w:type="paragraph" w:styleId="Textkomente">
    <w:name w:val="annotation text"/>
    <w:basedOn w:val="Normln"/>
    <w:link w:val="TextkomenteChar"/>
    <w:uiPriority w:val="99"/>
    <w:unhideWhenUsed/>
    <w:rsid w:val="00083AEF"/>
    <w:pPr>
      <w:spacing w:line="240" w:lineRule="auto"/>
    </w:pPr>
    <w:rPr>
      <w:sz w:val="20"/>
      <w:szCs w:val="20"/>
    </w:rPr>
  </w:style>
  <w:style w:type="character" w:customStyle="1" w:styleId="TextkomenteChar">
    <w:name w:val="Text komentáře Char"/>
    <w:basedOn w:val="Standardnpsmoodstavce"/>
    <w:link w:val="Textkomente"/>
    <w:uiPriority w:val="99"/>
    <w:rsid w:val="00083AEF"/>
    <w:rPr>
      <w:sz w:val="20"/>
      <w:szCs w:val="20"/>
      <w:lang w:val="en-US"/>
    </w:rPr>
  </w:style>
  <w:style w:type="paragraph" w:styleId="Pedmtkomente">
    <w:name w:val="annotation subject"/>
    <w:basedOn w:val="Textkomente"/>
    <w:next w:val="Textkomente"/>
    <w:link w:val="PedmtkomenteChar"/>
    <w:uiPriority w:val="99"/>
    <w:semiHidden/>
    <w:unhideWhenUsed/>
    <w:rsid w:val="00083AEF"/>
    <w:rPr>
      <w:b/>
      <w:bCs/>
    </w:rPr>
  </w:style>
  <w:style w:type="character" w:customStyle="1" w:styleId="PedmtkomenteChar">
    <w:name w:val="Předmět komentáře Char"/>
    <w:basedOn w:val="TextkomenteChar"/>
    <w:link w:val="Pedmtkomente"/>
    <w:uiPriority w:val="99"/>
    <w:semiHidden/>
    <w:rsid w:val="00083AEF"/>
    <w:rPr>
      <w:b/>
      <w:bCs/>
      <w:sz w:val="20"/>
      <w:szCs w:val="20"/>
      <w:lang w:val="en-US"/>
    </w:rPr>
  </w:style>
  <w:style w:type="paragraph" w:styleId="Bezmezer">
    <w:name w:val="No Spacing"/>
    <w:uiPriority w:val="1"/>
    <w:qFormat/>
    <w:rsid w:val="009D5245"/>
    <w:pPr>
      <w:spacing w:after="0" w:line="240" w:lineRule="auto"/>
      <w:jc w:val="both"/>
    </w:pPr>
    <w:rPr>
      <w:lang w:val="en-US"/>
    </w:rPr>
  </w:style>
  <w:style w:type="paragraph" w:customStyle="1" w:styleId="Default">
    <w:name w:val="Default"/>
    <w:rsid w:val="0016745A"/>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customStyle="1" w:styleId="CM14">
    <w:name w:val="CM14"/>
    <w:basedOn w:val="Default"/>
    <w:next w:val="Default"/>
    <w:rsid w:val="0016745A"/>
    <w:pPr>
      <w:spacing w:after="250"/>
    </w:pPr>
    <w:rPr>
      <w:rFonts w:cs="Times New Roman"/>
      <w:color w:val="auto"/>
    </w:rPr>
  </w:style>
  <w:style w:type="paragraph" w:customStyle="1" w:styleId="CM15">
    <w:name w:val="CM15"/>
    <w:basedOn w:val="Default"/>
    <w:next w:val="Default"/>
    <w:rsid w:val="0016745A"/>
    <w:pPr>
      <w:spacing w:after="498"/>
    </w:pPr>
    <w:rPr>
      <w:rFonts w:cs="Times New Roman"/>
      <w:color w:val="auto"/>
    </w:rPr>
  </w:style>
  <w:style w:type="paragraph" w:customStyle="1" w:styleId="Einzug2">
    <w:name w:val="Einzug2"/>
    <w:basedOn w:val="Normln"/>
    <w:rsid w:val="0016745A"/>
    <w:pPr>
      <w:spacing w:after="0" w:line="240" w:lineRule="auto"/>
      <w:ind w:left="737" w:hanging="737"/>
    </w:pPr>
    <w:rPr>
      <w:rFonts w:ascii="Arial" w:eastAsia="Times New Roman" w:hAnsi="Arial" w:cs="Times New Roman"/>
      <w:sz w:val="24"/>
      <w:szCs w:val="20"/>
    </w:rPr>
  </w:style>
  <w:style w:type="paragraph" w:styleId="Revize">
    <w:name w:val="Revision"/>
    <w:hidden/>
    <w:uiPriority w:val="99"/>
    <w:semiHidden/>
    <w:rsid w:val="00217108"/>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217108"/>
    <w:pPr>
      <w:shd w:val="clear" w:color="auto" w:fill="FFFFFF" w:themeFill="background1"/>
      <w:spacing w:after="0" w:line="240" w:lineRule="auto"/>
      <w:ind w:right="-108"/>
    </w:pPr>
    <w:rPr>
      <w:rFonts w:ascii="Arial" w:eastAsia="SimSun" w:hAnsi="Arial" w:cs="Arial"/>
      <w:color w:val="000000" w:themeColor="text1"/>
      <w:spacing w:val="-3"/>
      <w:lang w:val="en-GB" w:eastAsia="de-DE"/>
    </w:rPr>
  </w:style>
  <w:style w:type="character" w:customStyle="1" w:styleId="StandardTextTegn">
    <w:name w:val="Standard Text Tegn"/>
    <w:link w:val="StandardText"/>
    <w:rsid w:val="00217108"/>
    <w:rPr>
      <w:rFonts w:ascii="Arial" w:eastAsia="SimSun" w:hAnsi="Arial" w:cs="Arial"/>
      <w:color w:val="000000" w:themeColor="text1"/>
      <w:spacing w:val="-3"/>
      <w:shd w:val="clear" w:color="auto" w:fill="FFFFFF" w:themeFill="background1"/>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ECA"/>
    <w:pPr>
      <w:jc w:val="both"/>
    </w:pPr>
    <w:rPr>
      <w:lang w:val="en-US"/>
    </w:rPr>
  </w:style>
  <w:style w:type="paragraph" w:styleId="Nadpis2">
    <w:name w:val="heading 2"/>
    <w:basedOn w:val="Normln"/>
    <w:next w:val="Normln"/>
    <w:link w:val="Nadpis2Char"/>
    <w:uiPriority w:val="9"/>
    <w:unhideWhenUsed/>
    <w:qFormat/>
    <w:rsid w:val="008D1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57CDF"/>
    <w:pPr>
      <w:keepNext/>
      <w:keepLines/>
      <w:numPr>
        <w:numId w:val="5"/>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D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55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59E"/>
    <w:rPr>
      <w:rFonts w:ascii="Tahoma" w:hAnsi="Tahoma" w:cs="Tahoma"/>
      <w:sz w:val="16"/>
      <w:szCs w:val="16"/>
    </w:rPr>
  </w:style>
  <w:style w:type="character" w:customStyle="1" w:styleId="Nadpis2Char">
    <w:name w:val="Nadpis 2 Char"/>
    <w:basedOn w:val="Standardnpsmoodstavce"/>
    <w:link w:val="Nadpis2"/>
    <w:uiPriority w:val="9"/>
    <w:rsid w:val="008D1EC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8D1ECA"/>
    <w:pPr>
      <w:jc w:val="center"/>
    </w:pPr>
    <w:rPr>
      <w:b/>
      <w:sz w:val="28"/>
      <w:szCs w:val="28"/>
    </w:rPr>
  </w:style>
  <w:style w:type="character" w:customStyle="1" w:styleId="NzevChar">
    <w:name w:val="Název Char"/>
    <w:basedOn w:val="Standardnpsmoodstavce"/>
    <w:link w:val="Nzev"/>
    <w:uiPriority w:val="10"/>
    <w:rsid w:val="008D1ECA"/>
    <w:rPr>
      <w:b/>
      <w:sz w:val="28"/>
      <w:szCs w:val="28"/>
      <w:lang w:val="en-US"/>
    </w:rPr>
  </w:style>
  <w:style w:type="character" w:customStyle="1" w:styleId="Nadpis3Char">
    <w:name w:val="Nadpis 3 Char"/>
    <w:basedOn w:val="Standardnpsmoodstavce"/>
    <w:link w:val="Nadpis3"/>
    <w:uiPriority w:val="9"/>
    <w:rsid w:val="00757CDF"/>
    <w:rPr>
      <w:rFonts w:asciiTheme="majorHAnsi" w:eastAsiaTheme="majorEastAsia" w:hAnsiTheme="majorHAnsi" w:cstheme="majorBidi"/>
      <w:b/>
      <w:bCs/>
      <w:color w:val="4F81BD" w:themeColor="accent1"/>
      <w:lang w:val="en-US"/>
    </w:rPr>
  </w:style>
  <w:style w:type="paragraph" w:styleId="Odstavecseseznamem">
    <w:name w:val="List Paragraph"/>
    <w:basedOn w:val="Normln"/>
    <w:uiPriority w:val="34"/>
    <w:qFormat/>
    <w:rsid w:val="003068CC"/>
    <w:pPr>
      <w:spacing w:before="60" w:after="60" w:line="240" w:lineRule="auto"/>
      <w:ind w:left="720"/>
      <w:contextualSpacing/>
    </w:pPr>
    <w:rPr>
      <w:rFonts w:ascii="Garamond" w:eastAsia="Times New Roman" w:hAnsi="Garamond" w:cs="Times New Roman"/>
      <w:sz w:val="20"/>
      <w:szCs w:val="24"/>
      <w:lang w:eastAsia="de-DE"/>
    </w:rPr>
  </w:style>
  <w:style w:type="table" w:customStyle="1" w:styleId="Tabellenraster1">
    <w:name w:val="Tabellenraster1"/>
    <w:basedOn w:val="Normlntabulka"/>
    <w:next w:val="Mkatabulky"/>
    <w:rsid w:val="003068CC"/>
    <w:pPr>
      <w:spacing w:after="0" w:line="240" w:lineRule="auto"/>
      <w:ind w:firstLine="360"/>
    </w:pPr>
    <w:rPr>
      <w:rFonts w:ascii="Calibri" w:eastAsia="Times New Roman"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83AEF"/>
    <w:rPr>
      <w:sz w:val="16"/>
      <w:szCs w:val="16"/>
    </w:rPr>
  </w:style>
  <w:style w:type="paragraph" w:styleId="Textkomente">
    <w:name w:val="annotation text"/>
    <w:basedOn w:val="Normln"/>
    <w:link w:val="TextkomenteChar"/>
    <w:uiPriority w:val="99"/>
    <w:unhideWhenUsed/>
    <w:rsid w:val="00083AEF"/>
    <w:pPr>
      <w:spacing w:line="240" w:lineRule="auto"/>
    </w:pPr>
    <w:rPr>
      <w:sz w:val="20"/>
      <w:szCs w:val="20"/>
    </w:rPr>
  </w:style>
  <w:style w:type="character" w:customStyle="1" w:styleId="TextkomenteChar">
    <w:name w:val="Text komentáře Char"/>
    <w:basedOn w:val="Standardnpsmoodstavce"/>
    <w:link w:val="Textkomente"/>
    <w:uiPriority w:val="99"/>
    <w:rsid w:val="00083AEF"/>
    <w:rPr>
      <w:sz w:val="20"/>
      <w:szCs w:val="20"/>
      <w:lang w:val="en-US"/>
    </w:rPr>
  </w:style>
  <w:style w:type="paragraph" w:styleId="Pedmtkomente">
    <w:name w:val="annotation subject"/>
    <w:basedOn w:val="Textkomente"/>
    <w:next w:val="Textkomente"/>
    <w:link w:val="PedmtkomenteChar"/>
    <w:uiPriority w:val="99"/>
    <w:semiHidden/>
    <w:unhideWhenUsed/>
    <w:rsid w:val="00083AEF"/>
    <w:rPr>
      <w:b/>
      <w:bCs/>
    </w:rPr>
  </w:style>
  <w:style w:type="character" w:customStyle="1" w:styleId="PedmtkomenteChar">
    <w:name w:val="Předmět komentáře Char"/>
    <w:basedOn w:val="TextkomenteChar"/>
    <w:link w:val="Pedmtkomente"/>
    <w:uiPriority w:val="99"/>
    <w:semiHidden/>
    <w:rsid w:val="00083AEF"/>
    <w:rPr>
      <w:b/>
      <w:bCs/>
      <w:sz w:val="20"/>
      <w:szCs w:val="20"/>
      <w:lang w:val="en-US"/>
    </w:rPr>
  </w:style>
  <w:style w:type="paragraph" w:styleId="Bezmezer">
    <w:name w:val="No Spacing"/>
    <w:uiPriority w:val="1"/>
    <w:qFormat/>
    <w:rsid w:val="009D5245"/>
    <w:pPr>
      <w:spacing w:after="0" w:line="240" w:lineRule="auto"/>
      <w:jc w:val="both"/>
    </w:pPr>
    <w:rPr>
      <w:lang w:val="en-US"/>
    </w:rPr>
  </w:style>
  <w:style w:type="paragraph" w:customStyle="1" w:styleId="Default">
    <w:name w:val="Default"/>
    <w:rsid w:val="0016745A"/>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customStyle="1" w:styleId="CM14">
    <w:name w:val="CM14"/>
    <w:basedOn w:val="Default"/>
    <w:next w:val="Default"/>
    <w:rsid w:val="0016745A"/>
    <w:pPr>
      <w:spacing w:after="250"/>
    </w:pPr>
    <w:rPr>
      <w:rFonts w:cs="Times New Roman"/>
      <w:color w:val="auto"/>
    </w:rPr>
  </w:style>
  <w:style w:type="paragraph" w:customStyle="1" w:styleId="CM15">
    <w:name w:val="CM15"/>
    <w:basedOn w:val="Default"/>
    <w:next w:val="Default"/>
    <w:rsid w:val="0016745A"/>
    <w:pPr>
      <w:spacing w:after="498"/>
    </w:pPr>
    <w:rPr>
      <w:rFonts w:cs="Times New Roman"/>
      <w:color w:val="auto"/>
    </w:rPr>
  </w:style>
  <w:style w:type="paragraph" w:customStyle="1" w:styleId="Einzug2">
    <w:name w:val="Einzug2"/>
    <w:basedOn w:val="Normln"/>
    <w:rsid w:val="0016745A"/>
    <w:pPr>
      <w:spacing w:after="0" w:line="240" w:lineRule="auto"/>
      <w:ind w:left="737" w:hanging="737"/>
    </w:pPr>
    <w:rPr>
      <w:rFonts w:ascii="Arial" w:eastAsia="Times New Roman" w:hAnsi="Arial" w:cs="Times New Roman"/>
      <w:sz w:val="24"/>
      <w:szCs w:val="20"/>
    </w:rPr>
  </w:style>
  <w:style w:type="paragraph" w:styleId="Revize">
    <w:name w:val="Revision"/>
    <w:hidden/>
    <w:uiPriority w:val="99"/>
    <w:semiHidden/>
    <w:rsid w:val="00217108"/>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ln"/>
    <w:link w:val="StandardTextTegn"/>
    <w:autoRedefine/>
    <w:rsid w:val="00217108"/>
    <w:pPr>
      <w:shd w:val="clear" w:color="auto" w:fill="FFFFFF" w:themeFill="background1"/>
      <w:spacing w:after="0" w:line="240" w:lineRule="auto"/>
      <w:ind w:right="-108"/>
    </w:pPr>
    <w:rPr>
      <w:rFonts w:ascii="Arial" w:eastAsia="SimSun" w:hAnsi="Arial" w:cs="Arial"/>
      <w:color w:val="000000" w:themeColor="text1"/>
      <w:spacing w:val="-3"/>
      <w:lang w:val="en-GB" w:eastAsia="de-DE"/>
    </w:rPr>
  </w:style>
  <w:style w:type="character" w:customStyle="1" w:styleId="StandardTextTegn">
    <w:name w:val="Standard Text Tegn"/>
    <w:link w:val="StandardText"/>
    <w:rsid w:val="00217108"/>
    <w:rPr>
      <w:rFonts w:ascii="Arial" w:eastAsia="SimSun" w:hAnsi="Arial" w:cs="Arial"/>
      <w:color w:val="000000" w:themeColor="text1"/>
      <w:spacing w:val="-3"/>
      <w:shd w:val="clear" w:color="auto" w:fill="FFFFFF" w:themeFill="background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9687</Characters>
  <Application>Microsoft Office Word</Application>
  <DocSecurity>0</DocSecurity>
  <Lines>80</Lines>
  <Paragraphs>22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ZČU</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Čečil</dc:creator>
  <cp:lastModifiedBy>Mgr. Jitka GAMMONS</cp:lastModifiedBy>
  <cp:revision>2</cp:revision>
  <dcterms:created xsi:type="dcterms:W3CDTF">2018-01-26T13:55:00Z</dcterms:created>
  <dcterms:modified xsi:type="dcterms:W3CDTF">2018-01-26T13:55:00Z</dcterms:modified>
</cp:coreProperties>
</file>