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C1" w:rsidRDefault="008D44F2">
      <w:pPr>
        <w:pStyle w:val="Style2"/>
        <w:shd w:val="clear" w:color="auto" w:fill="auto"/>
        <w:spacing w:after="327"/>
        <w:ind w:left="20"/>
      </w:pPr>
      <w:bookmarkStart w:id="0" w:name="_GoBack"/>
      <w:bookmarkEnd w:id="0"/>
      <w:r>
        <w:t xml:space="preserve">PŘÍLOHA </w:t>
      </w:r>
      <w:r>
        <w:rPr>
          <w:rStyle w:val="CharStyle4"/>
        </w:rPr>
        <w:t>Č. 3</w:t>
      </w:r>
    </w:p>
    <w:p w:rsidR="00BF7BC1" w:rsidRDefault="008D44F2">
      <w:pPr>
        <w:pStyle w:val="Style8"/>
        <w:keepNext/>
        <w:keepLines/>
        <w:shd w:val="clear" w:color="auto" w:fill="auto"/>
        <w:spacing w:before="0"/>
        <w:ind w:left="20"/>
      </w:pPr>
      <w:bookmarkStart w:id="1" w:name="bookmark0"/>
      <w:r>
        <w:t>CTZ s.r.o.</w:t>
      </w:r>
      <w:bookmarkEnd w:id="1"/>
    </w:p>
    <w:p w:rsidR="00BF7BC1" w:rsidRDefault="008D44F2">
      <w:pPr>
        <w:pStyle w:val="Style10"/>
        <w:shd w:val="clear" w:color="auto" w:fill="auto"/>
        <w:spacing w:after="1139"/>
        <w:ind w:left="20" w:firstLine="0"/>
      </w:pPr>
      <w:r>
        <w:t>Sokolovská 572, 686 01 Uherské Hradiště, IČ 634 72 163</w:t>
      </w:r>
    </w:p>
    <w:p w:rsidR="00BF7BC1" w:rsidRDefault="008D44F2">
      <w:pPr>
        <w:pStyle w:val="Style10"/>
        <w:pBdr>
          <w:top w:val="single" w:sz="4" w:space="1" w:color="auto"/>
          <w:left w:val="single" w:sz="4" w:space="4" w:color="auto"/>
          <w:bottom w:val="single" w:sz="4" w:space="1" w:color="auto"/>
          <w:right w:val="single" w:sz="4" w:space="4" w:color="auto"/>
        </w:pBdr>
        <w:shd w:val="clear" w:color="auto" w:fill="auto"/>
        <w:spacing w:after="541" w:line="245" w:lineRule="exact"/>
        <w:ind w:left="2100" w:right="2180" w:firstLine="0"/>
        <w:jc w:val="left"/>
      </w:pPr>
      <w:r>
        <w:t>OBCHODNÍ A TECHNICKÉ PODMÍNKY na dodávku tepla pro vytápění a ohřev TUV</w:t>
      </w:r>
    </w:p>
    <w:p w:rsidR="00BF7BC1" w:rsidRDefault="008D44F2">
      <w:pPr>
        <w:pStyle w:val="Style12"/>
        <w:keepNext/>
        <w:keepLines/>
        <w:shd w:val="clear" w:color="auto" w:fill="auto"/>
        <w:spacing w:before="0" w:after="108"/>
        <w:ind w:left="20"/>
      </w:pPr>
      <w:bookmarkStart w:id="2" w:name="bookmark1"/>
      <w:r>
        <w:t>§1</w:t>
      </w:r>
      <w:bookmarkEnd w:id="2"/>
    </w:p>
    <w:p w:rsidR="00BF7BC1" w:rsidRDefault="008D44F2">
      <w:pPr>
        <w:pStyle w:val="Style14"/>
        <w:shd w:val="clear" w:color="auto" w:fill="auto"/>
        <w:spacing w:before="0" w:after="132"/>
        <w:ind w:left="320" w:hanging="320"/>
      </w:pPr>
      <w:r>
        <w:t>1/ Tyto obchodní a technické podmínky na dodávku tepla pro vytápění a ohřev TUV jsou součástí smlouvy na dodávku a odběr tepla ze soustav dodavatele a jsou závazné pro všechny odběratele po dobu platnosti smlouvy.</w:t>
      </w:r>
    </w:p>
    <w:p w:rsidR="00BF7BC1" w:rsidRDefault="008D44F2">
      <w:pPr>
        <w:pStyle w:val="Style16"/>
        <w:keepNext/>
        <w:keepLines/>
        <w:shd w:val="clear" w:color="auto" w:fill="auto"/>
        <w:spacing w:before="0" w:after="365"/>
        <w:ind w:left="20"/>
      </w:pPr>
      <w:bookmarkStart w:id="3" w:name="bookmark2"/>
      <w:r>
        <w:t>§2</w:t>
      </w:r>
      <w:bookmarkEnd w:id="3"/>
    </w:p>
    <w:p w:rsidR="00BF7BC1" w:rsidRDefault="008D44F2">
      <w:pPr>
        <w:pStyle w:val="Style14"/>
        <w:shd w:val="clear" w:color="auto" w:fill="auto"/>
        <w:spacing w:before="0" w:after="123" w:line="263" w:lineRule="exact"/>
        <w:ind w:left="320" w:hanging="320"/>
      </w:pPr>
      <w:r>
        <w:t>1/ Pro odběratele s technologickým odběrem je ve smluvním období přípustná tolerance proti sjednanému množství v GJ +3 % a -10 %, pokud nebude dohodnuto jinak.</w:t>
      </w:r>
    </w:p>
    <w:p w:rsidR="00BF7BC1" w:rsidRDefault="008D44F2">
      <w:pPr>
        <w:pStyle w:val="Style14"/>
        <w:shd w:val="clear" w:color="auto" w:fill="auto"/>
        <w:spacing w:before="0" w:after="240"/>
        <w:ind w:left="320" w:hanging="320"/>
      </w:pPr>
      <w:r>
        <w:t xml:space="preserve">2/ Parametry teplonosného média (tlak, teplota) dohodnou dodavatel a odběratel ve smlouvě, současně dohodnou i jejich min. </w:t>
      </w:r>
      <w:r>
        <w:rPr>
          <w:lang w:val="en-US" w:eastAsia="en-US" w:bidi="en-US"/>
        </w:rPr>
        <w:t xml:space="preserve">a max. </w:t>
      </w:r>
      <w:r>
        <w:t>hodnoty (viz. odběrový diagram a teplotní diagramy topné vody).</w:t>
      </w:r>
    </w:p>
    <w:p w:rsidR="00BF7BC1" w:rsidRDefault="008D44F2">
      <w:pPr>
        <w:pStyle w:val="Style14"/>
        <w:shd w:val="clear" w:color="auto" w:fill="auto"/>
        <w:spacing w:before="0"/>
        <w:ind w:left="320" w:hanging="320"/>
      </w:pPr>
      <w:r>
        <w:t>3/ Odběratel je povinen hlásit dodavateli bez zbytečného odkladu všechny závady na odběrném tepelném zařízení (včetně zařízení podružných odběratelů), které mají vliv na dodávku tepla a zajistit jejich co nejrychlejší odstranění; nesmí však bez souhlasu dodavatele zasahovat do horkovodního a teplovodního okruhu a rozvodu TUV.</w:t>
      </w:r>
    </w:p>
    <w:p w:rsidR="00BF7BC1" w:rsidRDefault="008D44F2">
      <w:pPr>
        <w:pStyle w:val="Style14"/>
        <w:shd w:val="clear" w:color="auto" w:fill="auto"/>
        <w:spacing w:before="0"/>
        <w:ind w:left="320" w:hanging="320"/>
      </w:pPr>
      <w:r>
        <w:t>4/ Dodavatel je povinen umožnit oprávněným osobám odběratele vstup do předávací stanice k měřícímu zařízení.</w:t>
      </w:r>
    </w:p>
    <w:p w:rsidR="00BF7BC1" w:rsidRDefault="008D44F2">
      <w:pPr>
        <w:pStyle w:val="Style14"/>
        <w:shd w:val="clear" w:color="auto" w:fill="auto"/>
        <w:spacing w:before="0" w:after="135"/>
        <w:ind w:left="320" w:hanging="320"/>
      </w:pPr>
      <w:r>
        <w:t>5/ Odběratel je povinen odsouhlasit s dodavatelem podstatné technické úpravy a změny, které hodlá realizovat na svém tepelném zařízení a které mohou mít vliv na objem dodávek a technické parametry dodávaného tepla a TUV. Případná následná regulace (tlaku nebo teploty) nesmí být provedena přepouštěním.</w:t>
      </w:r>
    </w:p>
    <w:p w:rsidR="00BF7BC1" w:rsidRDefault="008D44F2">
      <w:pPr>
        <w:pStyle w:val="Style14"/>
        <w:shd w:val="clear" w:color="auto" w:fill="auto"/>
        <w:spacing w:before="0" w:after="378" w:line="241" w:lineRule="exact"/>
        <w:ind w:left="320" w:right="1300" w:hanging="320"/>
        <w:jc w:val="left"/>
      </w:pPr>
      <w:r>
        <w:t xml:space="preserve">6/ Oprávněný pracovník dodavatele má právo kontrolovat za účasti odběratele: </w:t>
      </w:r>
      <w:r>
        <w:rPr>
          <w:rStyle w:val="CharStyle18"/>
        </w:rPr>
        <w:t xml:space="preserve">a/ </w:t>
      </w:r>
      <w:r>
        <w:t xml:space="preserve">odběrná tepelná zařízení u odběratele i jeho podružných odběratelů, </w:t>
      </w:r>
      <w:r>
        <w:rPr>
          <w:rStyle w:val="CharStyle18"/>
        </w:rPr>
        <w:t xml:space="preserve">b/ </w:t>
      </w:r>
      <w:r>
        <w:t xml:space="preserve">dodržování sjednaných technických podmínek, </w:t>
      </w:r>
      <w:r>
        <w:rPr>
          <w:rStyle w:val="CharStyle18"/>
        </w:rPr>
        <w:t xml:space="preserve">e/ </w:t>
      </w:r>
      <w:r>
        <w:t>správnost údajů uváděných odběratelem a naopak.</w:t>
      </w:r>
    </w:p>
    <w:p w:rsidR="00BF7BC1" w:rsidRDefault="008D44F2">
      <w:pPr>
        <w:pStyle w:val="Style14"/>
        <w:shd w:val="clear" w:color="auto" w:fill="auto"/>
        <w:spacing w:before="0" w:line="244" w:lineRule="exact"/>
        <w:ind w:left="20" w:firstLine="0"/>
        <w:jc w:val="center"/>
      </w:pPr>
      <w:r>
        <w:t>§3</w:t>
      </w:r>
    </w:p>
    <w:p w:rsidR="00BF7BC1" w:rsidRDefault="008D44F2">
      <w:pPr>
        <w:pStyle w:val="Style10"/>
        <w:shd w:val="clear" w:color="auto" w:fill="auto"/>
        <w:spacing w:after="105"/>
        <w:ind w:left="20" w:firstLine="0"/>
      </w:pPr>
      <w:r>
        <w:t>Uzavírání smluv</w:t>
      </w:r>
    </w:p>
    <w:p w:rsidR="00BF7BC1" w:rsidRDefault="008D44F2">
      <w:pPr>
        <w:pStyle w:val="Style14"/>
        <w:shd w:val="clear" w:color="auto" w:fill="auto"/>
        <w:spacing w:before="0" w:after="135" w:line="263" w:lineRule="exact"/>
        <w:ind w:left="320" w:hanging="320"/>
      </w:pPr>
      <w:r>
        <w:t xml:space="preserve">1/ Smlouva na dodávku a odběr tepla se uzavírá písemně ve smyslu zákona č. 458/2000 Sb. o podmínkách podnikání a o výkonu státní správy v energetických odvětvích a o změně některých zákonů,, dále jen </w:t>
      </w:r>
      <w:r>
        <w:rPr>
          <w:rStyle w:val="CharStyle18"/>
        </w:rPr>
        <w:t xml:space="preserve">energetický zákon </w:t>
      </w:r>
      <w:r>
        <w:t>a přísl. předpisů a vyhlášek.</w:t>
      </w:r>
    </w:p>
    <w:p w:rsidR="00BF7BC1" w:rsidRDefault="008D44F2">
      <w:pPr>
        <w:pStyle w:val="Style14"/>
        <w:shd w:val="clear" w:color="auto" w:fill="auto"/>
        <w:spacing w:before="0" w:after="108" w:line="244" w:lineRule="exact"/>
        <w:ind w:left="320" w:firstLine="0"/>
        <w:jc w:val="left"/>
      </w:pPr>
      <w:r>
        <w:t>Smlouva musí být uzavřena před zahájením odběru.</w:t>
      </w:r>
    </w:p>
    <w:p w:rsidR="00BF7BC1" w:rsidRDefault="008D44F2">
      <w:pPr>
        <w:pStyle w:val="Style14"/>
        <w:shd w:val="clear" w:color="auto" w:fill="auto"/>
        <w:spacing w:before="0" w:after="126"/>
        <w:ind w:left="320" w:hanging="320"/>
      </w:pPr>
      <w:r>
        <w:t>2/ Nejpozději 1 měsíc před zahájením odběru tepla předloží odběratel dodavateli přihlášku k odběru tepla a návrh technických a dodacích podmínek na tiskopisech, které mu vydá dodavatel. Dodavatel se k předloženým dokladům vyjádří do 20-ti dnů od jejich doručení.</w:t>
      </w:r>
    </w:p>
    <w:p w:rsidR="00BF7BC1" w:rsidRDefault="008D44F2">
      <w:pPr>
        <w:pStyle w:val="Style14"/>
        <w:shd w:val="clear" w:color="auto" w:fill="auto"/>
        <w:spacing w:before="0" w:after="0" w:line="252" w:lineRule="exact"/>
        <w:ind w:left="320" w:hanging="320"/>
      </w:pPr>
      <w:r>
        <w:t>3/ Nejpozději při zahájení odběru tepla předloží odběratel dodavateli kolaudační výměr, případně souhlas stavebního úřadu s předčasným užíváním připojovaného tepelného zařízení.</w:t>
      </w:r>
    </w:p>
    <w:p w:rsidR="00BF7BC1" w:rsidRDefault="008D44F2">
      <w:pPr>
        <w:pStyle w:val="Style14"/>
        <w:shd w:val="clear" w:color="auto" w:fill="auto"/>
        <w:spacing w:before="0" w:after="132"/>
        <w:ind w:left="300" w:hanging="300"/>
      </w:pPr>
      <w:r>
        <w:lastRenderedPageBreak/>
        <w:t>4/ Dodavatel a odběratel sjednají odběrový diagram nejpozději 10 dnů před začátkem smluvního období. Neoznámí-li odběratel nebo dodavatel ve stejné lhůtě, že trvá na sjednání nového odběrového diagramu, prodlužuje se platnost odběrového diagramu na další smluvní období, stejné jako předchozí.</w:t>
      </w:r>
    </w:p>
    <w:p w:rsidR="00BF7BC1" w:rsidRDefault="008D44F2">
      <w:pPr>
        <w:pStyle w:val="Style14"/>
        <w:shd w:val="clear" w:color="auto" w:fill="auto"/>
        <w:spacing w:before="0" w:after="105" w:line="244" w:lineRule="exact"/>
        <w:ind w:left="300" w:hanging="300"/>
      </w:pPr>
      <w:r>
        <w:t>5/ Smluvní období je na dobu neurčitou s ročním upřesněním odběrových diagramů.</w:t>
      </w:r>
    </w:p>
    <w:p w:rsidR="00BF7BC1" w:rsidRDefault="008D44F2">
      <w:pPr>
        <w:pStyle w:val="Style14"/>
        <w:shd w:val="clear" w:color="auto" w:fill="auto"/>
        <w:spacing w:before="0" w:after="123" w:line="263" w:lineRule="exact"/>
        <w:ind w:left="300" w:hanging="300"/>
      </w:pPr>
      <w:r>
        <w:t>6/ Předmětem plnění je předané množství tepla pro vytápění a TUV. Součástí odběrového diagramu může být časový průběh odběru tepla, a to hodinový, směnový, denní, týdenní a měsíční.</w:t>
      </w:r>
    </w:p>
    <w:p w:rsidR="00BF7BC1" w:rsidRDefault="008D44F2">
      <w:pPr>
        <w:pStyle w:val="Style14"/>
        <w:shd w:val="clear" w:color="auto" w:fill="auto"/>
        <w:spacing w:before="0" w:after="132"/>
        <w:ind w:left="300" w:hanging="300"/>
      </w:pPr>
      <w:r>
        <w:t>7/ Pro odběry tepla na staveniště může dodavatel dohodnout na období do kolaudace budovaného odběrného zařízení zvláštní technické a dodací podmínky a způsob sjednávání odběrových diagramů včetně ustanovení o regulačních opatřeních.</w:t>
      </w:r>
    </w:p>
    <w:p w:rsidR="00BF7BC1" w:rsidRDefault="008D44F2">
      <w:pPr>
        <w:pStyle w:val="Style14"/>
        <w:shd w:val="clear" w:color="auto" w:fill="auto"/>
        <w:spacing w:before="0" w:line="244" w:lineRule="exact"/>
        <w:ind w:firstLine="0"/>
        <w:jc w:val="center"/>
      </w:pPr>
      <w:r>
        <w:t>§4</w:t>
      </w:r>
    </w:p>
    <w:p w:rsidR="00BF7BC1" w:rsidRDefault="008D44F2">
      <w:pPr>
        <w:pStyle w:val="Style10"/>
        <w:shd w:val="clear" w:color="auto" w:fill="auto"/>
        <w:spacing w:after="105"/>
        <w:ind w:firstLine="0"/>
      </w:pPr>
      <w:r>
        <w:t>Plnění smlouvy</w:t>
      </w:r>
    </w:p>
    <w:p w:rsidR="00BF7BC1" w:rsidRDefault="008D44F2">
      <w:pPr>
        <w:pStyle w:val="Style14"/>
        <w:shd w:val="clear" w:color="auto" w:fill="auto"/>
        <w:spacing w:before="0" w:after="123" w:line="263" w:lineRule="exact"/>
        <w:ind w:left="300" w:hanging="300"/>
      </w:pPr>
      <w:r>
        <w:t>1/ Dodávka je splněna přechodem tepla pro vytápění a TUV ze zařízení v majetku dodavatele do zařízení v majetku odběratele - odběrní místo uvedené ve smlouvě.</w:t>
      </w:r>
    </w:p>
    <w:p w:rsidR="00BF7BC1" w:rsidRDefault="008D44F2">
      <w:pPr>
        <w:pStyle w:val="Style14"/>
        <w:shd w:val="clear" w:color="auto" w:fill="auto"/>
        <w:spacing w:before="0"/>
        <w:ind w:left="300" w:hanging="300"/>
      </w:pPr>
      <w:r>
        <w:t>2/ Předávacím místem dodávky tepla a TUV je první uzavírací armatura na přívodním potrubí a poslední armatura na vratném potrubí topení nebo cirkulačním potrubí TUV na odběrním místě a které jsou součástí přípojky.</w:t>
      </w:r>
    </w:p>
    <w:p w:rsidR="00BF7BC1" w:rsidRDefault="008D44F2">
      <w:pPr>
        <w:pStyle w:val="Style14"/>
        <w:shd w:val="clear" w:color="auto" w:fill="auto"/>
        <w:spacing w:before="0" w:after="123"/>
        <w:ind w:left="300" w:hanging="300"/>
      </w:pPr>
      <w:r>
        <w:t>3/ Další armatury tj. regulační ventil, filtr a uzavírací ventil popř. šoupátko u topení a regulační armatury rozvodů TUV (i když je regulační armatura ve vlastnictví dodavatele) jsou součástí vnitřních rozvodů. Běžná údržba těchto armatur tj. dotahování nebo výměna ucpávek, čištění filtrů provádí dodavatel a je zahrnuto v kalkulaci ceny tepla. Výměnu armatur zajišťuje na své náklady odběratel tepla.</w:t>
      </w:r>
    </w:p>
    <w:p w:rsidR="00BF7BC1" w:rsidRDefault="008D44F2">
      <w:pPr>
        <w:pStyle w:val="Style14"/>
        <w:shd w:val="clear" w:color="auto" w:fill="auto"/>
        <w:spacing w:before="0" w:after="117" w:line="256" w:lineRule="exact"/>
        <w:ind w:left="300" w:hanging="300"/>
      </w:pPr>
      <w:r>
        <w:t>4/ Odběratel není oprávněn použít dodané teplo k jiným, než ve smlouvě sjednaným účelům. Odběratel může s písemným souhlasem dodavatele přenechat teplo podružně připojeným odběratelům.</w:t>
      </w:r>
    </w:p>
    <w:p w:rsidR="00BF7BC1" w:rsidRDefault="008D44F2">
      <w:pPr>
        <w:pStyle w:val="Style14"/>
        <w:shd w:val="clear" w:color="auto" w:fill="auto"/>
        <w:spacing w:before="0" w:after="132"/>
        <w:ind w:left="300" w:hanging="140"/>
      </w:pPr>
      <w:r>
        <w:t>5/ Teplonosné médium je majetkem dodavatele a odběratel je povinen jej vracet. Odběr teplonosného média musí být ve smlouvě sjednán.</w:t>
      </w:r>
    </w:p>
    <w:p w:rsidR="00BF7BC1" w:rsidRDefault="008D44F2">
      <w:pPr>
        <w:pStyle w:val="Style14"/>
        <w:shd w:val="clear" w:color="auto" w:fill="auto"/>
        <w:spacing w:before="0" w:line="244" w:lineRule="exact"/>
        <w:ind w:firstLine="0"/>
        <w:jc w:val="center"/>
      </w:pPr>
      <w:r>
        <w:t>§5</w:t>
      </w:r>
    </w:p>
    <w:p w:rsidR="00BF7BC1" w:rsidRDefault="008D44F2">
      <w:pPr>
        <w:pStyle w:val="Style10"/>
        <w:shd w:val="clear" w:color="auto" w:fill="auto"/>
        <w:spacing w:after="114"/>
        <w:ind w:firstLine="0"/>
      </w:pPr>
      <w:r>
        <w:t>Změna a zrušení závazků</w:t>
      </w:r>
    </w:p>
    <w:p w:rsidR="00BF7BC1" w:rsidRDefault="008D44F2">
      <w:pPr>
        <w:pStyle w:val="Style14"/>
        <w:shd w:val="clear" w:color="auto" w:fill="auto"/>
        <w:spacing w:before="0" w:after="117" w:line="252" w:lineRule="exact"/>
        <w:ind w:left="300" w:hanging="300"/>
      </w:pPr>
      <w:r>
        <w:t>1/ Změnu skutečností uvedených v přihlášce k odběru teplaje odběratel povinen odsouhlasit s dodavatelem nejpozději 10 dnů předem.</w:t>
      </w:r>
    </w:p>
    <w:p w:rsidR="00BF7BC1" w:rsidRDefault="008D44F2">
      <w:pPr>
        <w:pStyle w:val="Style14"/>
        <w:shd w:val="clear" w:color="auto" w:fill="auto"/>
        <w:spacing w:before="0" w:after="117" w:line="256" w:lineRule="exact"/>
        <w:ind w:left="300" w:hanging="300"/>
      </w:pPr>
      <w:r>
        <w:t>2/ Odběratel má právo požádat o změnu smluvního množství tepla, žádost o změnu předkládá zpravidla 1 měsíc před provedením změny.</w:t>
      </w:r>
    </w:p>
    <w:p w:rsidR="00BF7BC1" w:rsidRDefault="008D44F2">
      <w:pPr>
        <w:pStyle w:val="Style14"/>
        <w:shd w:val="clear" w:color="auto" w:fill="auto"/>
        <w:spacing w:before="0" w:after="123"/>
        <w:ind w:left="300" w:hanging="140"/>
      </w:pPr>
      <w:r>
        <w:t>3/ Předá-li odběratel objekt s odběrem tepla novému uživateli, je povinen nového uživatele včas seznámit s těmito všeobecnými a technickými podmínkami dodávek tepla. Nový uživatel je povinen nejpozději 30 dnů před zahájením odběru tepla předložit dodavateli přihlášku k odběru tepla a do 3 dnů po převzetí objektu oznámit stav počítadla měřiče tepla ke dni převzetí, potvrzený původním odběratelem.</w:t>
      </w:r>
    </w:p>
    <w:p w:rsidR="00BF7BC1" w:rsidRDefault="008D44F2">
      <w:pPr>
        <w:pStyle w:val="Style14"/>
        <w:shd w:val="clear" w:color="auto" w:fill="auto"/>
        <w:spacing w:before="0" w:after="0" w:line="256" w:lineRule="exact"/>
        <w:ind w:left="300" w:hanging="140"/>
      </w:pPr>
      <w:r>
        <w:t>4/ Ukončení odběru je odběratel povinen oznámit dodavateli nejpozději 30 dnů předem a umožnit mu provedení konečného odečtu měřiče tepla, popřípadě provedení jiných opatření souvisejících s ukončením dodávky a odběru. Neumožní-li odběratel odečet stavu měřidel, nebo provedení opatření, uhradí dodavateli veškeré odebrané teplo až do podání přihlášky novým odběratelem, nebo do doby, kdy bude umožněno dodavateli přerušit dodávku tepla a odebrat měřící zařízení.</w:t>
      </w:r>
    </w:p>
    <w:p w:rsidR="00BF7BC1" w:rsidRDefault="008D44F2">
      <w:pPr>
        <w:pStyle w:val="Style19"/>
        <w:keepNext/>
        <w:keepLines/>
        <w:shd w:val="clear" w:color="auto" w:fill="auto"/>
        <w:ind w:left="160"/>
      </w:pPr>
      <w:bookmarkStart w:id="4" w:name="bookmark3"/>
      <w:r>
        <w:t>§6</w:t>
      </w:r>
      <w:bookmarkEnd w:id="4"/>
    </w:p>
    <w:p w:rsidR="00BF7BC1" w:rsidRDefault="008D44F2">
      <w:pPr>
        <w:pStyle w:val="Style10"/>
        <w:shd w:val="clear" w:color="auto" w:fill="auto"/>
        <w:spacing w:after="105"/>
        <w:ind w:left="160" w:firstLine="0"/>
      </w:pPr>
      <w:r>
        <w:t>Měření a vyhodnocování odběru</w:t>
      </w:r>
    </w:p>
    <w:p w:rsidR="00BF7BC1" w:rsidRDefault="008D44F2">
      <w:pPr>
        <w:pStyle w:val="Style14"/>
        <w:shd w:val="clear" w:color="auto" w:fill="auto"/>
        <w:spacing w:before="0" w:after="135" w:line="263" w:lineRule="exact"/>
        <w:ind w:left="280" w:hanging="280"/>
      </w:pPr>
      <w:r>
        <w:t xml:space="preserve">1/ Dodavatel měří dodávku tepla svým zařízením, které na odběrním místě odběratele instaluje, zapojí a udržuje. Není-li ve výjimečných případech možné měřit měřícím zařízením dodavatele, je po dohodě s odběratelem možné dodávku měřit měřícím zařízením odběratele. </w:t>
      </w:r>
      <w:r>
        <w:lastRenderedPageBreak/>
        <w:t>Odběratel je povinen svá zařízení upravit podle pokynů dodavatele tak, aby byla umožněna instalace měřiče a zajištěna jeho správná funkce. Způsob měření, druh a umístění určí dodavatel.</w:t>
      </w:r>
    </w:p>
    <w:p w:rsidR="00BF7BC1" w:rsidRDefault="008D44F2">
      <w:pPr>
        <w:pStyle w:val="Style14"/>
        <w:shd w:val="clear" w:color="auto" w:fill="auto"/>
        <w:spacing w:before="0" w:after="105" w:line="244" w:lineRule="exact"/>
        <w:ind w:left="280" w:hanging="280"/>
      </w:pPr>
      <w:r>
        <w:t>2/ Měření spotřeby tepla pro vytápění:</w:t>
      </w:r>
    </w:p>
    <w:p w:rsidR="00BF7BC1" w:rsidRDefault="008D44F2">
      <w:pPr>
        <w:pStyle w:val="Style14"/>
        <w:shd w:val="clear" w:color="auto" w:fill="auto"/>
        <w:spacing w:before="0" w:line="263" w:lineRule="exact"/>
        <w:ind w:left="280" w:firstLine="0"/>
      </w:pPr>
      <w:r>
        <w:t>Měření spotřeby tepla bude umístěno v místnosti napojovacích uzlů, nebo v místnosti, kde je hlavní uzávěr ústředního vytápění. Proti nepovolenému zásahu bude místnost trvale uzamčena popř. bude měření chráněno ocelovou konstrukcí. V případě poškození měřícího zařízení cizí osobou budou náklady na opravu účtovány odběrateli a spotřeba tepla se určí výpočtem od doby posledního odečtu na průměrnou venkovní teplotu po dobu, kdy měření bylo mimo provoz. Při poruše měření bude spotřeba tepla vypočítána stejným způsobem.</w:t>
      </w:r>
    </w:p>
    <w:p w:rsidR="00BF7BC1" w:rsidRDefault="008D44F2">
      <w:pPr>
        <w:pStyle w:val="Style14"/>
        <w:shd w:val="clear" w:color="auto" w:fill="auto"/>
        <w:spacing w:before="0" w:after="123" w:line="263" w:lineRule="exact"/>
        <w:ind w:left="280" w:hanging="280"/>
      </w:pPr>
      <w:r>
        <w:t>3/ Odběratel je povinen zajistit na svůj náklad zřízení potřebného elektrického přívodu se samostatným okruhem a hradit spotřebu elektrické energie pro měřící zařízení dodavatele umístěná v objektu odběratele.</w:t>
      </w:r>
    </w:p>
    <w:p w:rsidR="00BF7BC1" w:rsidRDefault="008D44F2">
      <w:pPr>
        <w:pStyle w:val="Style14"/>
        <w:shd w:val="clear" w:color="auto" w:fill="auto"/>
        <w:spacing w:before="0"/>
        <w:ind w:left="280" w:hanging="280"/>
      </w:pPr>
      <w:r>
        <w:t>4/ Odběratel je povinen pečovat o to, aby nedocházelo k přerušení přívodu elektrické energie pro měřící zařízení, do 3 dnů po zjištění hlásit dodavateli veškeré závady a neobvyklosti v měření, jakož i zjevné poruchy v instalaci před měřícím zařízením. Dále je odběratel povinen zajistit a trvale pečovat o bezpečný přístup k měřičům tepla a zabránit vstupu nepovolaným a cizím osobám.</w:t>
      </w:r>
    </w:p>
    <w:p w:rsidR="00BF7BC1" w:rsidRDefault="008D44F2">
      <w:pPr>
        <w:pStyle w:val="Style14"/>
        <w:shd w:val="clear" w:color="auto" w:fill="auto"/>
        <w:spacing w:before="0" w:after="132"/>
        <w:ind w:left="280" w:hanging="280"/>
      </w:pPr>
      <w:r>
        <w:t>5/ Odběratel může pro vlastní potřebu namontovat vlastní podružné nebo kontrolní měřiče tepla, zapojené za měřícím zařízením dodavatele. Správnost měření podružných nebo kontrolních měřičů dodavatel nekontroluje a jejich stavy neodečítá. Podružné nebo kontrolní měřiče tepla odběratele jsou zvlášť označeny. Dojde-li k poruše měřícího zařízení dodavatele, lze použít údajů kontrolního měřiče tepla odběratele.</w:t>
      </w:r>
    </w:p>
    <w:p w:rsidR="00BF7BC1" w:rsidRDefault="008D44F2">
      <w:pPr>
        <w:pStyle w:val="Style14"/>
        <w:shd w:val="clear" w:color="auto" w:fill="auto"/>
        <w:spacing w:before="0" w:after="108" w:line="244" w:lineRule="exact"/>
        <w:ind w:right="100" w:firstLine="0"/>
        <w:jc w:val="center"/>
      </w:pPr>
      <w:r>
        <w:t>§7</w:t>
      </w:r>
    </w:p>
    <w:p w:rsidR="00BF7BC1" w:rsidRDefault="008D44F2">
      <w:pPr>
        <w:pStyle w:val="Style14"/>
        <w:shd w:val="clear" w:color="auto" w:fill="auto"/>
        <w:spacing w:before="0"/>
        <w:ind w:left="280" w:hanging="280"/>
      </w:pPr>
      <w:r>
        <w:t>1/ Má-li odběratel pochybnosti o správnosti údajů měřiče tepla, může požádat písemně dodavatele o jeho přezkoušení.</w:t>
      </w:r>
    </w:p>
    <w:p w:rsidR="00BF7BC1" w:rsidRDefault="008D44F2">
      <w:pPr>
        <w:pStyle w:val="Style14"/>
        <w:shd w:val="clear" w:color="auto" w:fill="auto"/>
        <w:spacing w:before="0" w:after="117"/>
        <w:ind w:left="280" w:hanging="280"/>
      </w:pPr>
      <w:r>
        <w:t>2/ Dodavatel je povinen zajistit přezkoušení měřiče tepla do 30 dnů od nahlášení závady odběratelem a je-li vadný, zajistit jeho výměnu.</w:t>
      </w:r>
    </w:p>
    <w:p w:rsidR="00BF7BC1" w:rsidRDefault="008D44F2">
      <w:pPr>
        <w:pStyle w:val="Style14"/>
        <w:shd w:val="clear" w:color="auto" w:fill="auto"/>
        <w:spacing w:before="0" w:after="135" w:line="263" w:lineRule="exact"/>
        <w:ind w:left="280" w:hanging="280"/>
      </w:pPr>
      <w:r>
        <w:t>3/ Je-li na měřícím zařízení zjištěna závada, hradí náklady spojené s jeho přezkoušením a výměnou dodavatel. Není-li závada zjištěna, hradí tyto náklady odběratel.</w:t>
      </w:r>
    </w:p>
    <w:p w:rsidR="00BF7BC1" w:rsidRDefault="008D44F2">
      <w:pPr>
        <w:pStyle w:val="Style14"/>
        <w:shd w:val="clear" w:color="auto" w:fill="auto"/>
        <w:spacing w:before="0" w:after="108" w:line="244" w:lineRule="exact"/>
        <w:ind w:left="280" w:hanging="280"/>
      </w:pPr>
      <w:r>
        <w:t>4/ Jakýkoliv zásah do měřícího zařízení bez souhlasu jeho vlastníka se zakazuje.</w:t>
      </w:r>
    </w:p>
    <w:p w:rsidR="00BF7BC1" w:rsidRDefault="008D44F2">
      <w:pPr>
        <w:pStyle w:val="Style14"/>
        <w:shd w:val="clear" w:color="auto" w:fill="auto"/>
        <w:spacing w:before="0"/>
        <w:ind w:left="280" w:hanging="280"/>
      </w:pPr>
      <w:r>
        <w:t>5/ Zjistí-li se při přezkoušení, že údaje měřiče se odchylují od přípustné hodnoty , vymění dodavatel měřič tepla na svůj náklad a zvýhodněná smluvní strana uhradí druhé smluvní straně částku, odpovídající chybě v údajích měřiče, a to ode dne, kdy závada prokazatelně vznikla, nelze-li jej zjistit,ode dne předcházejícího odečtu.</w:t>
      </w:r>
    </w:p>
    <w:p w:rsidR="00BF7BC1" w:rsidRDefault="008D44F2">
      <w:pPr>
        <w:pStyle w:val="Style14"/>
        <w:shd w:val="clear" w:color="auto" w:fill="auto"/>
        <w:spacing w:before="0" w:after="132"/>
        <w:ind w:left="280" w:hanging="280"/>
      </w:pPr>
      <w:r>
        <w:t>6/ Nelze-li přesně zjistit spotřebu tepla za dobu poruchy měřiče tepla, vypočte se podle údajů kontrolního nebo podružného měřiče, nebo podle průměrných spotřeb v předcházejících srovnatelných obdobích; u dodávek pro vytápění podle spotřeby v klimaticky stejném a řádně měřeném období, nebo jiným, s odběratelem dohodnutým způsobem.</w:t>
      </w:r>
    </w:p>
    <w:p w:rsidR="00BF7BC1" w:rsidRDefault="008D44F2">
      <w:pPr>
        <w:pStyle w:val="Style21"/>
        <w:keepNext/>
        <w:keepLines/>
        <w:shd w:val="clear" w:color="auto" w:fill="auto"/>
        <w:spacing w:before="0"/>
        <w:ind w:right="100"/>
      </w:pPr>
      <w:bookmarkStart w:id="5" w:name="bookmark4"/>
      <w:r>
        <w:t>§8</w:t>
      </w:r>
      <w:bookmarkEnd w:id="5"/>
    </w:p>
    <w:p w:rsidR="00BF7BC1" w:rsidRDefault="008D44F2">
      <w:pPr>
        <w:pStyle w:val="Style10"/>
        <w:shd w:val="clear" w:color="auto" w:fill="auto"/>
        <w:spacing w:after="117"/>
        <w:ind w:right="100" w:firstLine="0"/>
      </w:pPr>
      <w:r>
        <w:t>Regulace, omezení a přerušení dodávek a odběru tepla</w:t>
      </w:r>
    </w:p>
    <w:p w:rsidR="00BF7BC1" w:rsidRDefault="008D44F2">
      <w:pPr>
        <w:pStyle w:val="Style14"/>
        <w:shd w:val="clear" w:color="auto" w:fill="auto"/>
        <w:spacing w:before="0" w:after="0" w:line="248" w:lineRule="exact"/>
        <w:ind w:left="280" w:hanging="280"/>
      </w:pPr>
      <w:r>
        <w:t>1/ Pro zajištění plynulého zásobování všech odběratelů teplem je dodavatel oprávněn podle potřeby provádět regulační opatření.</w:t>
      </w:r>
    </w:p>
    <w:p w:rsidR="00BF7BC1" w:rsidRDefault="008D44F2">
      <w:pPr>
        <w:pStyle w:val="Style14"/>
        <w:shd w:val="clear" w:color="auto" w:fill="auto"/>
        <w:spacing w:before="0" w:after="0" w:line="244" w:lineRule="exact"/>
        <w:ind w:left="300" w:hanging="300"/>
      </w:pPr>
      <w:r>
        <w:rPr>
          <w:rStyle w:val="CharStyle18"/>
        </w:rPr>
        <w:t xml:space="preserve">2/ </w:t>
      </w:r>
      <w:r>
        <w:t xml:space="preserve">Dodavatel je oprávněn </w:t>
      </w:r>
      <w:r>
        <w:rPr>
          <w:rStyle w:val="CharStyle18"/>
        </w:rPr>
        <w:t xml:space="preserve">omezit </w:t>
      </w:r>
      <w:r>
        <w:t xml:space="preserve">nebo </w:t>
      </w:r>
      <w:r>
        <w:rPr>
          <w:rStyle w:val="CharStyle18"/>
        </w:rPr>
        <w:t xml:space="preserve">přerušit </w:t>
      </w:r>
      <w:r>
        <w:t>dodávky tepla v nezbytném rozsahu v těchto</w:t>
      </w:r>
    </w:p>
    <w:p w:rsidR="00BF7BC1" w:rsidRDefault="008D44F2">
      <w:pPr>
        <w:pStyle w:val="Style14"/>
        <w:shd w:val="clear" w:color="auto" w:fill="auto"/>
        <w:spacing w:before="0" w:after="24" w:line="244" w:lineRule="exact"/>
        <w:ind w:left="600" w:hanging="300"/>
        <w:jc w:val="left"/>
      </w:pPr>
      <w:r>
        <w:t>případech (§ 76, odst. 4, písm.a - i) zákona č. 458/2000 Sb.):</w:t>
      </w:r>
    </w:p>
    <w:p w:rsidR="00BF7BC1" w:rsidRDefault="008D44F2">
      <w:pPr>
        <w:pStyle w:val="Style14"/>
        <w:numPr>
          <w:ilvl w:val="0"/>
          <w:numId w:val="1"/>
        </w:numPr>
        <w:shd w:val="clear" w:color="auto" w:fill="auto"/>
        <w:tabs>
          <w:tab w:val="left" w:pos="669"/>
        </w:tabs>
        <w:spacing w:before="0" w:after="0" w:line="389" w:lineRule="exact"/>
        <w:ind w:left="600" w:hanging="300"/>
        <w:jc w:val="left"/>
      </w:pPr>
      <w:r>
        <w:t>při bezprostředním ohrožení zdraví nebo majetku osob a při likvidaci těchto stavů,</w:t>
      </w:r>
    </w:p>
    <w:p w:rsidR="00BF7BC1" w:rsidRDefault="008D44F2">
      <w:pPr>
        <w:pStyle w:val="Style14"/>
        <w:numPr>
          <w:ilvl w:val="0"/>
          <w:numId w:val="1"/>
        </w:numPr>
        <w:shd w:val="clear" w:color="auto" w:fill="auto"/>
        <w:tabs>
          <w:tab w:val="left" w:pos="680"/>
        </w:tabs>
        <w:spacing w:before="0" w:after="0" w:line="389" w:lineRule="exact"/>
        <w:ind w:left="600" w:hanging="300"/>
        <w:jc w:val="left"/>
      </w:pPr>
      <w:r>
        <w:t>při stavech nouze nebo činnostech bezprostředně zamezujících jejich vzniku,</w:t>
      </w:r>
    </w:p>
    <w:p w:rsidR="00BF7BC1" w:rsidRDefault="008D44F2">
      <w:pPr>
        <w:pStyle w:val="Style14"/>
        <w:numPr>
          <w:ilvl w:val="0"/>
          <w:numId w:val="1"/>
        </w:numPr>
        <w:shd w:val="clear" w:color="auto" w:fill="auto"/>
        <w:tabs>
          <w:tab w:val="left" w:pos="680"/>
        </w:tabs>
        <w:spacing w:before="0" w:after="0" w:line="389" w:lineRule="exact"/>
        <w:ind w:left="600" w:hanging="300"/>
        <w:jc w:val="left"/>
      </w:pPr>
      <w:r>
        <w:t>při provádění plánovaných rekonstrukcí, oprav, údržbových a revizních prací, pokud</w:t>
      </w:r>
    </w:p>
    <w:p w:rsidR="00BF7BC1" w:rsidRDefault="008D44F2">
      <w:pPr>
        <w:pStyle w:val="Style14"/>
        <w:shd w:val="clear" w:color="auto" w:fill="auto"/>
        <w:spacing w:before="0" w:after="140" w:line="244" w:lineRule="exact"/>
        <w:ind w:left="600" w:hanging="300"/>
        <w:jc w:val="left"/>
      </w:pPr>
      <w:r>
        <w:t>jsou oznámeny nejméně 15 dní předem,</w:t>
      </w:r>
    </w:p>
    <w:p w:rsidR="00BF7BC1" w:rsidRDefault="008D44F2">
      <w:pPr>
        <w:pStyle w:val="Style14"/>
        <w:numPr>
          <w:ilvl w:val="0"/>
          <w:numId w:val="1"/>
        </w:numPr>
        <w:shd w:val="clear" w:color="auto" w:fill="auto"/>
        <w:tabs>
          <w:tab w:val="left" w:pos="684"/>
        </w:tabs>
        <w:spacing w:before="0" w:after="128" w:line="244" w:lineRule="exact"/>
        <w:ind w:left="600" w:hanging="300"/>
        <w:jc w:val="left"/>
      </w:pPr>
      <w:r>
        <w:lastRenderedPageBreak/>
        <w:t>při provádění nezbytných provozních manipulací na dobu 4 hodin,</w:t>
      </w:r>
    </w:p>
    <w:p w:rsidR="00BF7BC1" w:rsidRDefault="008D44F2">
      <w:pPr>
        <w:pStyle w:val="Style14"/>
        <w:numPr>
          <w:ilvl w:val="0"/>
          <w:numId w:val="1"/>
        </w:numPr>
        <w:shd w:val="clear" w:color="auto" w:fill="auto"/>
        <w:tabs>
          <w:tab w:val="left" w:pos="684"/>
        </w:tabs>
        <w:spacing w:before="0" w:after="152"/>
        <w:ind w:left="600" w:hanging="300"/>
        <w:jc w:val="left"/>
      </w:pPr>
      <w:r>
        <w:t>při havarijním přerušení či omezení nezbytných provozních dodávek teplonosné látky nebo paliv a energií poskytovaných jinými dodavateli,</w:t>
      </w:r>
    </w:p>
    <w:p w:rsidR="00BF7BC1" w:rsidRDefault="008D44F2">
      <w:pPr>
        <w:pStyle w:val="Style14"/>
        <w:numPr>
          <w:ilvl w:val="0"/>
          <w:numId w:val="1"/>
        </w:numPr>
        <w:shd w:val="clear" w:color="auto" w:fill="auto"/>
        <w:tabs>
          <w:tab w:val="left" w:pos="658"/>
        </w:tabs>
        <w:spacing w:before="0" w:after="128" w:line="244" w:lineRule="exact"/>
        <w:ind w:left="600" w:hanging="300"/>
        <w:jc w:val="left"/>
      </w:pPr>
      <w:r>
        <w:t>při nedodržení povinností odběratele podle § 77 odst.4,</w:t>
      </w:r>
    </w:p>
    <w:p w:rsidR="00BF7BC1" w:rsidRDefault="008D44F2">
      <w:pPr>
        <w:pStyle w:val="Style14"/>
        <w:numPr>
          <w:ilvl w:val="0"/>
          <w:numId w:val="1"/>
        </w:numPr>
        <w:shd w:val="clear" w:color="auto" w:fill="auto"/>
        <w:tabs>
          <w:tab w:val="left" w:pos="673"/>
        </w:tabs>
        <w:spacing w:before="0" w:after="140"/>
        <w:ind w:left="600" w:hanging="300"/>
        <w:jc w:val="left"/>
      </w:pPr>
      <w:r>
        <w:t>při vzniku a odstraňování havárií a poruch na zařízeních pro rozvod a výrobu tepelné energie na dobu nezbytně nutnou,</w:t>
      </w:r>
    </w:p>
    <w:p w:rsidR="00BF7BC1" w:rsidRDefault="008D44F2">
      <w:pPr>
        <w:pStyle w:val="Style14"/>
        <w:numPr>
          <w:ilvl w:val="0"/>
          <w:numId w:val="1"/>
        </w:numPr>
        <w:shd w:val="clear" w:color="auto" w:fill="auto"/>
        <w:tabs>
          <w:tab w:val="left" w:pos="680"/>
        </w:tabs>
        <w:spacing w:before="0" w:after="152"/>
        <w:ind w:left="600" w:hanging="300"/>
        <w:jc w:val="left"/>
      </w:pPr>
      <w:r>
        <w:t>jestliže odběratel používá zařízení, která ohrožují život, zdraví nebo majetek osob nebo ovlivňují kvalitu dodávek v neprospěch dalších odběratelů,</w:t>
      </w:r>
    </w:p>
    <w:p w:rsidR="00BF7BC1" w:rsidRDefault="008D44F2">
      <w:pPr>
        <w:pStyle w:val="Style10"/>
        <w:numPr>
          <w:ilvl w:val="0"/>
          <w:numId w:val="1"/>
        </w:numPr>
        <w:shd w:val="clear" w:color="auto" w:fill="auto"/>
        <w:tabs>
          <w:tab w:val="left" w:pos="680"/>
        </w:tabs>
        <w:spacing w:after="540"/>
        <w:ind w:left="600"/>
        <w:jc w:val="left"/>
      </w:pPr>
      <w:r>
        <w:rPr>
          <w:rStyle w:val="CharStyle23"/>
        </w:rPr>
        <w:t xml:space="preserve">při </w:t>
      </w:r>
      <w:r>
        <w:t>neoprávněném odběru</w:t>
      </w:r>
    </w:p>
    <w:p w:rsidR="00BF7BC1" w:rsidRDefault="008D44F2">
      <w:pPr>
        <w:pStyle w:val="Style10"/>
        <w:shd w:val="clear" w:color="auto" w:fill="auto"/>
        <w:spacing w:after="140"/>
        <w:ind w:left="100" w:firstLine="0"/>
      </w:pPr>
      <w:r>
        <w:t>§9</w:t>
      </w:r>
    </w:p>
    <w:p w:rsidR="00BF7BC1" w:rsidRDefault="008D44F2">
      <w:pPr>
        <w:pStyle w:val="Style14"/>
        <w:shd w:val="clear" w:color="auto" w:fill="auto"/>
        <w:spacing w:before="0" w:after="128" w:line="244" w:lineRule="exact"/>
        <w:ind w:firstLine="140"/>
        <w:jc w:val="left"/>
      </w:pPr>
      <w:r>
        <w:t>1/ Dodavatel je povinen:</w:t>
      </w:r>
    </w:p>
    <w:p w:rsidR="00BF7BC1" w:rsidRDefault="008D44F2">
      <w:pPr>
        <w:pStyle w:val="Style14"/>
        <w:shd w:val="clear" w:color="auto" w:fill="auto"/>
        <w:spacing w:before="0" w:after="143"/>
        <w:ind w:left="600" w:hanging="300"/>
        <w:jc w:val="left"/>
      </w:pPr>
      <w:r>
        <w:t>a/ nejméně 15 dnů předem informovat odběratele způsobem v místě obvyklým o omezení nebo přerušení dodávky s výjimkou provozních manipulací, při nichž omezení nebo přerušení nepřekročí zákonem stanovenou dobu</w:t>
      </w:r>
    </w:p>
    <w:p w:rsidR="00BF7BC1" w:rsidRDefault="008D44F2">
      <w:pPr>
        <w:pStyle w:val="Style14"/>
        <w:numPr>
          <w:ilvl w:val="0"/>
          <w:numId w:val="2"/>
        </w:numPr>
        <w:shd w:val="clear" w:color="auto" w:fill="auto"/>
        <w:tabs>
          <w:tab w:val="left" w:pos="680"/>
        </w:tabs>
        <w:spacing w:before="0" w:after="143" w:line="256" w:lineRule="exact"/>
        <w:ind w:left="600" w:hanging="300"/>
        <w:jc w:val="left"/>
      </w:pPr>
      <w:r>
        <w:t>písemně, telefonicky nebo jiným dohodnutým způsobem vyrozumět odběratele o omezení nebo přerušení dodávky tepla v ostatních případech uvedených v § 76odst. 2</w:t>
      </w:r>
    </w:p>
    <w:p w:rsidR="00BF7BC1" w:rsidRDefault="008D44F2">
      <w:pPr>
        <w:pStyle w:val="Style14"/>
        <w:numPr>
          <w:ilvl w:val="0"/>
          <w:numId w:val="2"/>
        </w:numPr>
        <w:shd w:val="clear" w:color="auto" w:fill="auto"/>
        <w:tabs>
          <w:tab w:val="left" w:pos="680"/>
        </w:tabs>
        <w:spacing w:before="0" w:after="134" w:line="252" w:lineRule="exact"/>
        <w:ind w:left="600" w:hanging="300"/>
        <w:jc w:val="left"/>
      </w:pPr>
      <w:r>
        <w:t>oznámit odběrateli změnu teplonosné látky nebo jejich parametrů v souladu se zvláštními předpisy,</w:t>
      </w:r>
    </w:p>
    <w:p w:rsidR="00BF7BC1" w:rsidRDefault="008D44F2">
      <w:pPr>
        <w:pStyle w:val="Style14"/>
        <w:numPr>
          <w:ilvl w:val="0"/>
          <w:numId w:val="2"/>
        </w:numPr>
        <w:shd w:val="clear" w:color="auto" w:fill="auto"/>
        <w:tabs>
          <w:tab w:val="left" w:pos="684"/>
        </w:tabs>
        <w:spacing w:before="0" w:after="143"/>
        <w:ind w:left="600" w:hanging="300"/>
        <w:jc w:val="left"/>
      </w:pPr>
      <w:r>
        <w:t>obnovit dodávku tepelné energie bezprostředně po odstranění příčin,které vedly k jejímu omezení nebo přerušení.</w:t>
      </w:r>
    </w:p>
    <w:p w:rsidR="00BF7BC1" w:rsidRDefault="008D44F2">
      <w:pPr>
        <w:pStyle w:val="Style14"/>
        <w:shd w:val="clear" w:color="auto" w:fill="auto"/>
        <w:spacing w:before="0" w:after="549" w:line="256" w:lineRule="exact"/>
        <w:ind w:left="300" w:hanging="300"/>
      </w:pPr>
      <w:r>
        <w:t>2/ Při zjištění provozních nehod (havárií) a poruch, které bezprostředně ohrožují bezpečnost života nebo majetku, přeruší prodávající dodávku ihned po zjištění závady; není-li odběratel odpojení přítomen, vyrozumí jej o tom dodavatel neprodleně.</w:t>
      </w:r>
    </w:p>
    <w:p w:rsidR="00BF7BC1" w:rsidRDefault="008D44F2">
      <w:pPr>
        <w:pStyle w:val="Style24"/>
        <w:keepNext/>
        <w:keepLines/>
        <w:shd w:val="clear" w:color="auto" w:fill="auto"/>
        <w:spacing w:before="0"/>
        <w:ind w:right="160"/>
      </w:pPr>
      <w:bookmarkStart w:id="6" w:name="bookmark5"/>
      <w:r>
        <w:t>§10</w:t>
      </w:r>
      <w:bookmarkEnd w:id="6"/>
    </w:p>
    <w:p w:rsidR="00BF7BC1" w:rsidRDefault="008D44F2">
      <w:pPr>
        <w:pStyle w:val="Style10"/>
        <w:shd w:val="clear" w:color="auto" w:fill="auto"/>
        <w:spacing w:after="360"/>
        <w:ind w:right="160" w:firstLine="0"/>
      </w:pPr>
      <w:r>
        <w:t>Neoprávněný odběr</w:t>
      </w:r>
    </w:p>
    <w:p w:rsidR="00BF7BC1" w:rsidRDefault="008D44F2">
      <w:pPr>
        <w:pStyle w:val="Style14"/>
        <w:shd w:val="clear" w:color="auto" w:fill="auto"/>
        <w:spacing w:before="0" w:after="0" w:line="244" w:lineRule="exact"/>
        <w:ind w:firstLine="140"/>
        <w:jc w:val="left"/>
      </w:pPr>
      <w:r>
        <w:t xml:space="preserve">1/ Za </w:t>
      </w:r>
      <w:r>
        <w:rPr>
          <w:rStyle w:val="CharStyle26"/>
        </w:rPr>
        <w:t>neoprávněny odběr tepla se považuje:</w:t>
      </w:r>
    </w:p>
    <w:p w:rsidR="00BF7BC1" w:rsidRDefault="008D44F2">
      <w:pPr>
        <w:pStyle w:val="Style14"/>
        <w:shd w:val="clear" w:color="auto" w:fill="auto"/>
        <w:spacing w:before="0" w:after="27" w:line="244" w:lineRule="exact"/>
        <w:ind w:left="600" w:hanging="300"/>
        <w:jc w:val="left"/>
      </w:pPr>
      <w:r>
        <w:t>( § 89, zák.č. 458/2000 Sb.)</w:t>
      </w:r>
    </w:p>
    <w:p w:rsidR="00BF7BC1" w:rsidRDefault="008D44F2">
      <w:pPr>
        <w:pStyle w:val="Style14"/>
        <w:numPr>
          <w:ilvl w:val="0"/>
          <w:numId w:val="3"/>
        </w:numPr>
        <w:shd w:val="clear" w:color="auto" w:fill="auto"/>
        <w:tabs>
          <w:tab w:val="left" w:pos="506"/>
        </w:tabs>
        <w:spacing w:before="0" w:after="0" w:line="385" w:lineRule="exact"/>
        <w:ind w:firstLine="140"/>
        <w:jc w:val="left"/>
      </w:pPr>
      <w:r>
        <w:t>odběr bez souhlasu dodavatele nebo v rozporu s uzavřenou smlouvou,</w:t>
      </w:r>
    </w:p>
    <w:p w:rsidR="00BF7BC1" w:rsidRDefault="008D44F2">
      <w:pPr>
        <w:pStyle w:val="Style14"/>
        <w:numPr>
          <w:ilvl w:val="0"/>
          <w:numId w:val="3"/>
        </w:numPr>
        <w:shd w:val="clear" w:color="auto" w:fill="auto"/>
        <w:tabs>
          <w:tab w:val="left" w:pos="520"/>
        </w:tabs>
        <w:spacing w:before="0" w:after="0" w:line="385" w:lineRule="exact"/>
        <w:ind w:firstLine="140"/>
        <w:jc w:val="left"/>
      </w:pPr>
      <w:r>
        <w:t>odběr při opakovaném neplnění smluvené platební povinnosti včetně záloh,</w:t>
      </w:r>
    </w:p>
    <w:p w:rsidR="00BF7BC1" w:rsidRDefault="008D44F2">
      <w:pPr>
        <w:pStyle w:val="Style14"/>
        <w:numPr>
          <w:ilvl w:val="0"/>
          <w:numId w:val="3"/>
        </w:numPr>
        <w:shd w:val="clear" w:color="auto" w:fill="auto"/>
        <w:tabs>
          <w:tab w:val="left" w:pos="438"/>
        </w:tabs>
        <w:spacing w:before="0" w:after="152"/>
        <w:ind w:firstLine="140"/>
        <w:jc w:val="left"/>
      </w:pPr>
      <w:r>
        <w:t>odběr bez měřícího zařízení nebo odběr přes měřící zařízení, které v důsledku zásahu odběratele odběr nezaznamenává nebo zaznamenává odběr menší než skutečný,</w:t>
      </w:r>
    </w:p>
    <w:p w:rsidR="00BF7BC1" w:rsidRDefault="008D44F2">
      <w:pPr>
        <w:pStyle w:val="Style14"/>
        <w:numPr>
          <w:ilvl w:val="0"/>
          <w:numId w:val="3"/>
        </w:numPr>
        <w:shd w:val="clear" w:color="auto" w:fill="auto"/>
        <w:tabs>
          <w:tab w:val="left" w:pos="520"/>
        </w:tabs>
        <w:spacing w:before="0" w:after="139" w:line="244" w:lineRule="exact"/>
        <w:ind w:firstLine="140"/>
        <w:jc w:val="left"/>
      </w:pPr>
      <w:r>
        <w:t>odběr měřicím zařízením přemístěným bez souhlasu dodavatele,</w:t>
      </w:r>
    </w:p>
    <w:p w:rsidR="00BF7BC1" w:rsidRDefault="008D44F2">
      <w:pPr>
        <w:pStyle w:val="Style14"/>
        <w:numPr>
          <w:ilvl w:val="0"/>
          <w:numId w:val="3"/>
        </w:numPr>
        <w:shd w:val="clear" w:color="auto" w:fill="auto"/>
        <w:tabs>
          <w:tab w:val="left" w:pos="434"/>
        </w:tabs>
        <w:spacing w:before="0" w:after="0" w:line="245" w:lineRule="exact"/>
        <w:ind w:firstLine="140"/>
        <w:jc w:val="left"/>
        <w:sectPr w:rsidR="00BF7BC1">
          <w:footerReference w:type="default" r:id="rId8"/>
          <w:pgSz w:w="11992" w:h="16898"/>
          <w:pgMar w:top="818" w:right="1544" w:bottom="1024" w:left="1930" w:header="0" w:footer="3" w:gutter="0"/>
          <w:cols w:space="720"/>
          <w:noEndnote/>
          <w:docGrid w:linePitch="360"/>
        </w:sectPr>
      </w:pPr>
      <w:r>
        <w:t>odběr měřícím zařízením, na němž bylo porušeno zajištění proti neoprávněné manipulaci a nebyla splněna povinnost podle § 78 odst.4</w:t>
      </w:r>
    </w:p>
    <w:p w:rsidR="00BF7BC1" w:rsidRDefault="008D44F2">
      <w:pPr>
        <w:pStyle w:val="Style14"/>
        <w:shd w:val="clear" w:color="auto" w:fill="auto"/>
        <w:spacing w:before="0" w:after="0" w:line="244" w:lineRule="exact"/>
        <w:ind w:left="360" w:hanging="360"/>
      </w:pPr>
      <w:r>
        <w:lastRenderedPageBreak/>
        <w:t>2/ Způsob výpočtu škody vzniklé držiteli licence neoprávněným odběrem stanoví prováděcí</w:t>
      </w:r>
    </w:p>
    <w:p w:rsidR="00BF7BC1" w:rsidRDefault="008D44F2">
      <w:pPr>
        <w:pStyle w:val="Style14"/>
        <w:shd w:val="clear" w:color="auto" w:fill="auto"/>
        <w:spacing w:before="0" w:after="131" w:line="244" w:lineRule="exact"/>
        <w:ind w:left="360" w:hanging="360"/>
      </w:pPr>
      <w:r>
        <w:t>právní předpis. Do doby vydání tohoto předpisu bude postupováno dle bodů 3/ a 4/-viz níže.</w:t>
      </w:r>
    </w:p>
    <w:p w:rsidR="00BF7BC1" w:rsidRDefault="008D44F2">
      <w:pPr>
        <w:pStyle w:val="Style14"/>
        <w:shd w:val="clear" w:color="auto" w:fill="auto"/>
        <w:spacing w:before="0" w:after="134" w:line="256" w:lineRule="exact"/>
        <w:ind w:left="360" w:hanging="360"/>
      </w:pPr>
      <w:r>
        <w:t>3/ Neoprávněně odebrané množství se zjišťuje tak, že se uvažuje plné zatížení všech spotřebičů a to po dobu nejméně 16 hodin denně, pokud nebyla zjištěna jiná doba využití; mimo topnou sezónu se však nepřihlíží ke spotřebičům pro vytápění. Takto stanovená výše denního neoprávněného odběru tepla a teplonosné látky se násobí počtem dnů neoprávněného odběru; není-li možno zjistit celé období neoprávněného odběru, stanoví se odběr za poslední odečítací období.</w:t>
      </w:r>
    </w:p>
    <w:p w:rsidR="00BF7BC1" w:rsidRDefault="008D44F2">
      <w:pPr>
        <w:pStyle w:val="Style14"/>
        <w:shd w:val="clear" w:color="auto" w:fill="auto"/>
        <w:spacing w:before="0" w:line="263" w:lineRule="exact"/>
        <w:ind w:left="360" w:hanging="160"/>
        <w:jc w:val="left"/>
      </w:pPr>
      <w:r>
        <w:t>4/ K částce vypočtené podle odstavce 2 se připočtou náklady spojené se zjišťováním neoprávněného odběru.</w:t>
      </w:r>
    </w:p>
    <w:p w:rsidR="00BF7BC1" w:rsidRDefault="008D44F2">
      <w:pPr>
        <w:pStyle w:val="Style27"/>
        <w:keepNext/>
        <w:keepLines/>
        <w:shd w:val="clear" w:color="auto" w:fill="auto"/>
        <w:spacing w:before="0"/>
      </w:pPr>
      <w:bookmarkStart w:id="7" w:name="bookmark6"/>
      <w:r>
        <w:t>§H</w:t>
      </w:r>
      <w:bookmarkEnd w:id="7"/>
    </w:p>
    <w:p w:rsidR="00BF7BC1" w:rsidRDefault="008D44F2">
      <w:pPr>
        <w:pStyle w:val="Style10"/>
        <w:shd w:val="clear" w:color="auto" w:fill="auto"/>
        <w:spacing w:after="128"/>
        <w:ind w:firstLine="0"/>
      </w:pPr>
      <w:r>
        <w:t>Ostatní podmínky dodávky</w:t>
      </w:r>
    </w:p>
    <w:p w:rsidR="00BF7BC1" w:rsidRDefault="008D44F2">
      <w:pPr>
        <w:pStyle w:val="Style14"/>
        <w:shd w:val="clear" w:color="auto" w:fill="auto"/>
        <w:spacing w:before="0" w:after="36"/>
        <w:ind w:left="360" w:hanging="360"/>
      </w:pPr>
      <w:r>
        <w:t>1/ Teplou užitkovou vodu bude dodavatel dodávat denně po dobu 24 hod. Pouze v době od 6.00 hod. do 22.00 hod. dodavatel zaručuje teplotu TUV na výtoku nejméně 45 °C a nejvýše 60 °C.</w:t>
      </w:r>
    </w:p>
    <w:p w:rsidR="00BF7BC1" w:rsidRDefault="008D44F2">
      <w:pPr>
        <w:pStyle w:val="Style14"/>
        <w:shd w:val="clear" w:color="auto" w:fill="auto"/>
        <w:spacing w:before="0" w:after="0" w:line="389" w:lineRule="exact"/>
        <w:ind w:left="360" w:right="3740" w:hanging="360"/>
        <w:jc w:val="left"/>
      </w:pPr>
      <w:r>
        <w:t xml:space="preserve">2/ Dodavatel </w:t>
      </w:r>
      <w:r>
        <w:rPr>
          <w:rStyle w:val="CharStyle26"/>
        </w:rPr>
        <w:t>nezaručuje</w:t>
      </w:r>
      <w:r>
        <w:t xml:space="preserve"> dodávky TUV v případech: a/ nebude-li ve vodovodní síti potřebný tlak,</w:t>
      </w:r>
    </w:p>
    <w:p w:rsidR="00BF7BC1" w:rsidRDefault="008D44F2">
      <w:pPr>
        <w:pStyle w:val="Style14"/>
        <w:shd w:val="clear" w:color="auto" w:fill="auto"/>
        <w:spacing w:before="0" w:after="143"/>
        <w:ind w:left="560" w:hanging="200"/>
        <w:jc w:val="left"/>
      </w:pPr>
      <w:r>
        <w:rPr>
          <w:rStyle w:val="CharStyle18"/>
        </w:rPr>
        <w:t xml:space="preserve">b/ </w:t>
      </w:r>
      <w:r>
        <w:t>v případě poruchy v tlakové zvyšovací stanici, která pro příslušnou PS zajišťuje dodávku studené vody z veřejné vodovodní sítě o vyšším tlaku,</w:t>
      </w:r>
    </w:p>
    <w:p w:rsidR="00BF7BC1" w:rsidRDefault="008D44F2">
      <w:pPr>
        <w:pStyle w:val="Style14"/>
        <w:shd w:val="clear" w:color="auto" w:fill="auto"/>
        <w:spacing w:before="0" w:after="137" w:line="256" w:lineRule="exact"/>
        <w:ind w:left="360" w:hanging="360"/>
        <w:jc w:val="left"/>
      </w:pPr>
      <w:r>
        <w:t>3/ Otopné období začíná 1. září a končí 31.května následujícího roku. S vytápěním započne dodavatel v otopném období, jestliže průměrná denní teplota venkovního vzduchu poklesne pod +13 °C ve dvou dnech po sobě následujících a podle vývoje počasí nelze očekávat zvýšení průměrné denní teploty venkovního vzduchu pro následující den,pokud se dodavatel tepla s odběratelem nedohodnou jinak.</w:t>
      </w:r>
    </w:p>
    <w:p w:rsidR="00BF7BC1" w:rsidRDefault="008D44F2">
      <w:pPr>
        <w:pStyle w:val="Style14"/>
        <w:shd w:val="clear" w:color="auto" w:fill="auto"/>
        <w:spacing w:before="0" w:after="143"/>
        <w:ind w:left="360" w:hanging="360"/>
      </w:pPr>
      <w:r>
        <w:t>4/ V otopném období, kdy průměrná denní teplota venkovního vzduchu vystoupí nad +13</w:t>
      </w:r>
      <w:r>
        <w:rPr>
          <w:vertAlign w:val="superscript"/>
        </w:rPr>
        <w:t>0</w:t>
      </w:r>
      <w:r>
        <w:t xml:space="preserve"> C a podle vývoje počasí nelze očekávat pokles průměrné denní teploty venkovního vzduchu pro následující den, vytápění se přeruší nebo omezí.</w:t>
      </w:r>
    </w:p>
    <w:p w:rsidR="00BF7BC1" w:rsidRDefault="008D44F2">
      <w:pPr>
        <w:pStyle w:val="Style14"/>
        <w:shd w:val="clear" w:color="auto" w:fill="auto"/>
        <w:spacing w:before="0" w:after="140" w:line="256" w:lineRule="exact"/>
        <w:ind w:left="360" w:hanging="360"/>
      </w:pPr>
      <w:r>
        <w:t>5/ Vytápění se ukončí v měsíci květnu, jestliže průměrná denní teplota venkovního vzduchu vystoupí nad +13 °C ve dvou po sobě následujících dnech a podle vývoje počasí nelze očekávat pokles průměrné denní teploty venkovního vzduchu pro následující den, pokud se dodavatel s odběratelem nedohodnou jinak.</w:t>
      </w:r>
    </w:p>
    <w:p w:rsidR="00BF7BC1" w:rsidRDefault="008D44F2">
      <w:pPr>
        <w:pStyle w:val="Style14"/>
        <w:shd w:val="clear" w:color="auto" w:fill="auto"/>
        <w:spacing w:before="0" w:after="140" w:line="256" w:lineRule="exact"/>
        <w:ind w:left="360" w:hanging="160"/>
      </w:pPr>
      <w:r>
        <w:t>6/ Dodavatel a odběratel tepla se mohou dohodnout na vytápění mimo otopné období, vyžadují-li to místní podmínky při dodržení zásad hospodárnosti při využívání tepla a připouštějí-li to technické a zásobovací možnosti.</w:t>
      </w:r>
    </w:p>
    <w:p w:rsidR="00BF7BC1" w:rsidRDefault="008D44F2">
      <w:pPr>
        <w:pStyle w:val="Style14"/>
        <w:shd w:val="clear" w:color="auto" w:fill="auto"/>
        <w:spacing w:before="0" w:after="149" w:line="256" w:lineRule="exact"/>
        <w:ind w:left="360" w:hanging="160"/>
      </w:pPr>
      <w:r>
        <w:t>7/ Obytné a jiné prostory budou vytápěny v průběhu otopného období tak, aby byla v době jejich provozu zabezpečena teplota stanovená v technické normě ČSN 06 0210, ČSN 25 8005. Pro byty platí průměrná teplota +20 °C měřená kulovým (výsledným) teploměrem a dále platí pravidla pro vytápění ve smyslu vyhl.č.245/95 Sb., § 2, odst.5,6. Průměrná teplota činí jednu čtvrtinu součtu teplot měřených v 8.00, 12.00, 16.00 a 21.00 hod neboje průměrem teploty registrované po celou dobu provozu".</w:t>
      </w:r>
    </w:p>
    <w:p w:rsidR="00BF7BC1" w:rsidRDefault="008D44F2">
      <w:pPr>
        <w:pStyle w:val="Style14"/>
        <w:shd w:val="clear" w:color="auto" w:fill="auto"/>
        <w:spacing w:before="0" w:after="140" w:line="244" w:lineRule="exact"/>
        <w:ind w:left="560" w:hanging="360"/>
      </w:pPr>
      <w:r>
        <w:t>8/ Doba provozu vytápěných prostor se rozumí u:</w:t>
      </w:r>
    </w:p>
    <w:p w:rsidR="00BF7BC1" w:rsidRDefault="008D44F2">
      <w:pPr>
        <w:pStyle w:val="Style14"/>
        <w:shd w:val="clear" w:color="auto" w:fill="auto"/>
        <w:spacing w:before="0" w:after="0" w:line="244" w:lineRule="exact"/>
        <w:ind w:left="560" w:hanging="200"/>
        <w:jc w:val="left"/>
      </w:pPr>
      <w:r>
        <w:t>a/ bytů doba nejméně od 6.00 do 22.00 hod., kdy není prováděno přerušení nebo omezení</w:t>
      </w:r>
    </w:p>
    <w:p w:rsidR="00BF7BC1" w:rsidRDefault="008D44F2">
      <w:pPr>
        <w:pStyle w:val="Style14"/>
        <w:shd w:val="clear" w:color="auto" w:fill="auto"/>
        <w:spacing w:before="0" w:after="140" w:line="244" w:lineRule="exact"/>
        <w:ind w:left="360" w:hanging="360"/>
      </w:pPr>
      <w:r>
        <w:t>vytápění</w:t>
      </w:r>
    </w:p>
    <w:p w:rsidR="00BF7BC1" w:rsidRDefault="008D44F2">
      <w:pPr>
        <w:pStyle w:val="Style14"/>
        <w:shd w:val="clear" w:color="auto" w:fill="auto"/>
        <w:spacing w:before="0" w:after="137" w:line="244" w:lineRule="exact"/>
        <w:ind w:left="560" w:hanging="200"/>
        <w:jc w:val="left"/>
      </w:pPr>
      <w:r>
        <w:rPr>
          <w:rStyle w:val="CharStyle18"/>
        </w:rPr>
        <w:t xml:space="preserve">b/ </w:t>
      </w:r>
      <w:r>
        <w:t>všech ostatních prostor doba stanovená vzhledem k danému účelu</w:t>
      </w:r>
    </w:p>
    <w:p w:rsidR="00BF7BC1" w:rsidRDefault="008D44F2">
      <w:pPr>
        <w:pStyle w:val="Style14"/>
        <w:shd w:val="clear" w:color="auto" w:fill="auto"/>
        <w:spacing w:before="0" w:after="137" w:line="248" w:lineRule="exact"/>
        <w:ind w:left="360" w:hanging="160"/>
      </w:pPr>
      <w:r>
        <w:t>9/ Průměrná odchylka od stanovených teplot v době provozu vytápěných prostor nesmí být větší než 1,5 °C.</w:t>
      </w:r>
    </w:p>
    <w:p w:rsidR="00BF7BC1" w:rsidRDefault="008D44F2">
      <w:pPr>
        <w:pStyle w:val="Style14"/>
        <w:shd w:val="clear" w:color="auto" w:fill="auto"/>
        <w:spacing w:before="0" w:after="0" w:line="252" w:lineRule="exact"/>
        <w:ind w:left="560" w:hanging="360"/>
      </w:pPr>
      <w:r>
        <w:t>10/ Pokud to technické podmínky dovolí, bude dodavatel snižovat nebo přerušovat dodávky tepelné energie v době mimo jejich provoz, avšak tak, aby byly splněny požadavky technické normy ČSN 73 0540.</w:t>
      </w:r>
    </w:p>
    <w:p w:rsidR="00BF7BC1" w:rsidRDefault="008D44F2">
      <w:pPr>
        <w:pStyle w:val="Style14"/>
        <w:shd w:val="clear" w:color="auto" w:fill="auto"/>
        <w:spacing w:before="0" w:after="126" w:line="263" w:lineRule="exact"/>
        <w:ind w:left="400" w:hanging="400"/>
      </w:pPr>
      <w:r>
        <w:t xml:space="preserve">11/ Pro budovy v technické normě (ČSN 06 0210, ČSN 25 8005) neuvedené platí teploty </w:t>
      </w:r>
      <w:r>
        <w:lastRenderedPageBreak/>
        <w:t>stanovené provozními předpisy nebo podmínkami využívání nebo určení daného prostoru.</w:t>
      </w:r>
    </w:p>
    <w:p w:rsidR="00BF7BC1" w:rsidRDefault="008D44F2">
      <w:pPr>
        <w:pStyle w:val="Style14"/>
        <w:shd w:val="clear" w:color="auto" w:fill="auto"/>
        <w:spacing w:before="0" w:after="117" w:line="256" w:lineRule="exact"/>
        <w:ind w:left="400" w:hanging="400"/>
      </w:pPr>
      <w:r>
        <w:t>12/ Povinnosti provozovatele zařízení pro zásobování teplem a povinnosti provozovatelů bytů a nebytových prostor jsou stanoveny příslušnými právními předpisy.</w:t>
      </w:r>
    </w:p>
    <w:p w:rsidR="00BF7BC1" w:rsidRDefault="008D44F2">
      <w:pPr>
        <w:pStyle w:val="Style14"/>
        <w:shd w:val="clear" w:color="auto" w:fill="auto"/>
        <w:spacing w:before="0"/>
        <w:ind w:left="400" w:hanging="400"/>
      </w:pPr>
      <w:r>
        <w:t>13/ Povinnosti měření dodávek tepla provozovatelů předávacích stanic a rozvodů tepla,provozovatelů obytných a jiných budov stanoví příslušné právní předpisy.</w:t>
      </w:r>
    </w:p>
    <w:p w:rsidR="00BF7BC1" w:rsidRDefault="008D44F2">
      <w:pPr>
        <w:pStyle w:val="Style14"/>
        <w:shd w:val="clear" w:color="auto" w:fill="auto"/>
        <w:spacing w:before="0"/>
        <w:ind w:left="400" w:hanging="400"/>
      </w:pPr>
      <w:r>
        <w:t>14/ Odběratel je povinen provést před připojením domovního rozvodu na sekundární síť prodávajícího zkoušky v rozsahu požadavků normy ČSN 06 0310, 61.119, tj. zkoušky těsnosti a zkoušky provozní.</w:t>
      </w:r>
    </w:p>
    <w:p w:rsidR="00BF7BC1" w:rsidRDefault="008D44F2">
      <w:pPr>
        <w:pStyle w:val="Style14"/>
        <w:shd w:val="clear" w:color="auto" w:fill="auto"/>
        <w:spacing w:before="0"/>
        <w:ind w:left="400" w:hanging="400"/>
      </w:pPr>
      <w:r>
        <w:t>15/ Zjistí-li dodavatel, že systém ÚT a TUV není v objektu regulován,vyzve odběratele, aby závadu odstranil. Pokud odběratel nedostatek neodstraní, je dodavatel oprávněn přerušit dodávku tepla i TUV až do odstranění závady.</w:t>
      </w:r>
    </w:p>
    <w:p w:rsidR="00BF7BC1" w:rsidRDefault="008D44F2">
      <w:pPr>
        <w:pStyle w:val="Style14"/>
        <w:shd w:val="clear" w:color="auto" w:fill="auto"/>
        <w:spacing w:before="0" w:after="132"/>
        <w:ind w:left="400" w:hanging="400"/>
      </w:pPr>
      <w:r>
        <w:t>16/ Pro bezpečný a spolehlivý provoz výměníkové stanice musí být dodavateli zabezpečen volný přístup do napojovacích uzlů tím, že odběratel předá dodavateli jeden klíč (duplikát) od napojovaeího uzlu. Neučiní-li ani dodatečně,přejímá odběratel veškerou odpovědnost za vadné dodávky a za škodu, která z tohoto důvodu vznikla.</w:t>
      </w:r>
    </w:p>
    <w:p w:rsidR="00BF7BC1" w:rsidRDefault="008D44F2">
      <w:pPr>
        <w:pStyle w:val="Style29"/>
        <w:keepNext/>
        <w:keepLines/>
        <w:shd w:val="clear" w:color="auto" w:fill="auto"/>
        <w:spacing w:before="0"/>
        <w:ind w:left="20"/>
      </w:pPr>
      <w:bookmarkStart w:id="8" w:name="bookmark7"/>
      <w:r>
        <w:t>§12</w:t>
      </w:r>
      <w:bookmarkEnd w:id="8"/>
    </w:p>
    <w:p w:rsidR="00BF7BC1" w:rsidRDefault="008D44F2">
      <w:pPr>
        <w:pStyle w:val="Style14"/>
        <w:shd w:val="clear" w:color="auto" w:fill="auto"/>
        <w:spacing w:before="0" w:after="111" w:line="244" w:lineRule="exact"/>
        <w:ind w:left="20" w:firstLine="0"/>
        <w:jc w:val="center"/>
      </w:pPr>
      <w:r>
        <w:t>Kvalita dodávky</w:t>
      </w:r>
    </w:p>
    <w:p w:rsidR="00BF7BC1" w:rsidRDefault="008D44F2">
      <w:pPr>
        <w:pStyle w:val="Style14"/>
        <w:shd w:val="clear" w:color="auto" w:fill="auto"/>
        <w:spacing w:before="0" w:after="117" w:line="256" w:lineRule="exact"/>
        <w:ind w:left="320" w:hanging="320"/>
      </w:pPr>
      <w:r>
        <w:t>1/ Topení: Teplota topné vody je řízena ekvitermě na výměníkové stanici a teplotní diagram pro každou výměníkovou stanici nebo kotelnu je zpracován samostatně. Bude upravován podle místních podmínek popř. požadavků odběratele tepla.Dalším kvalitativním znakem dodávky tepla je průtočné množství topné vody. Okamžitý průtok je možné změřit a kontrolovat na průtokoměru měřiče tepla. Údaj o průtočném množství každého objektu je součástí smlouvy o dodávce tepla. O změně musí být proveden zápis. Vzhledem k tomu, že regulační armatury jsou běžně přístupné, neodpovídá dodavatel tepla za vady , které vzniknou zásahem do regulace objektu.</w:t>
      </w:r>
    </w:p>
    <w:p w:rsidR="00BF7BC1" w:rsidRDefault="008D44F2">
      <w:pPr>
        <w:pStyle w:val="Style14"/>
        <w:shd w:val="clear" w:color="auto" w:fill="auto"/>
        <w:spacing w:before="0" w:after="123"/>
        <w:ind w:left="320" w:hanging="320"/>
      </w:pPr>
      <w:r>
        <w:rPr>
          <w:rStyle w:val="CharStyle31"/>
        </w:rPr>
        <w:t>21</w:t>
      </w:r>
      <w:r>
        <w:t xml:space="preserve"> TUV: Kontrola teploty TUV se provádí dotykovým teploměrem na vstupním potrubí do objektu a to na povrchu potrubí a na vybraném výtoku TUV v proudu tekoucí vody. Po naplno otevření výtoku vody se tato ponechá téct max.l min. Po tuto dobu se provádí měření. Za teplotu vody se považuje hodnota naměřená na konci této doby.</w:t>
      </w:r>
    </w:p>
    <w:p w:rsidR="00BF7BC1" w:rsidRDefault="008D44F2">
      <w:pPr>
        <w:pStyle w:val="Style14"/>
        <w:shd w:val="clear" w:color="auto" w:fill="auto"/>
        <w:spacing w:before="0" w:line="256" w:lineRule="exact"/>
        <w:ind w:left="320" w:hanging="320"/>
      </w:pPr>
      <w:r>
        <w:t>3/ Dodavatel neodpovídá za nedostatky ve vytápění budov způsobené nedostatečnou těsností oken, špatně provedenou domovní regulací ústředního topení, která nezajišťuje dostatečné oběhové množství otopnými tělesy, nebo nevhodně instalovanou výhřevnou plochou otopných těles vzhledem ke skutečné spotřebě tepla v místnostech apod., pokud byly dodrženy vstupní a výstupní teploty podle teplotního diagramu, zpracovaného pro každou PS samostatně.</w:t>
      </w:r>
    </w:p>
    <w:p w:rsidR="00BF7BC1" w:rsidRDefault="008D44F2">
      <w:pPr>
        <w:pStyle w:val="Style14"/>
        <w:shd w:val="clear" w:color="auto" w:fill="auto"/>
        <w:spacing w:before="0" w:after="129" w:line="256" w:lineRule="exact"/>
        <w:ind w:left="320" w:hanging="320"/>
      </w:pPr>
      <w:r>
        <w:t>4/ Dodavatel neodpovídá za tlak, případně množství dodávané teplé užitkové vody, pokud by tyto parametry neovlivnil vlastním provozním zařízením na ohřev vody.</w:t>
      </w:r>
    </w:p>
    <w:p w:rsidR="00BF7BC1" w:rsidRDefault="008D44F2">
      <w:pPr>
        <w:pStyle w:val="Style14"/>
        <w:shd w:val="clear" w:color="auto" w:fill="auto"/>
        <w:spacing w:before="0" w:line="244" w:lineRule="exact"/>
        <w:ind w:left="20" w:firstLine="0"/>
        <w:jc w:val="center"/>
      </w:pPr>
      <w:r>
        <w:t>§13</w:t>
      </w:r>
    </w:p>
    <w:p w:rsidR="00BF7BC1" w:rsidRDefault="008D44F2">
      <w:pPr>
        <w:pStyle w:val="Style14"/>
        <w:shd w:val="clear" w:color="auto" w:fill="auto"/>
        <w:spacing w:before="0" w:after="108" w:line="244" w:lineRule="exact"/>
        <w:ind w:left="20" w:firstLine="0"/>
        <w:jc w:val="center"/>
      </w:pPr>
      <w:r>
        <w:t>Reklamace</w:t>
      </w:r>
    </w:p>
    <w:p w:rsidR="00BF7BC1" w:rsidRDefault="008D44F2">
      <w:pPr>
        <w:pStyle w:val="Style14"/>
        <w:shd w:val="clear" w:color="auto" w:fill="auto"/>
        <w:spacing w:before="0" w:after="132"/>
        <w:ind w:left="320" w:hanging="320"/>
      </w:pPr>
      <w:r>
        <w:t>1/ Nedostatečnou dodávku tepla a TUV odběratel reklamuje u dodavatele písemně s uvedením reklamované závady a odběrního místa. Rozhodujícím termínem pro uplatnění nároků, vyplývajících z nedostatečné dodávky je termín doručení reklamace, pokud se dodavatel s odběratelem nedohodne jinak.</w:t>
      </w:r>
    </w:p>
    <w:p w:rsidR="00BF7BC1" w:rsidRDefault="008D44F2">
      <w:pPr>
        <w:pStyle w:val="Style14"/>
        <w:shd w:val="clear" w:color="auto" w:fill="auto"/>
        <w:spacing w:before="0" w:after="121" w:line="245" w:lineRule="exact"/>
        <w:ind w:left="320" w:hanging="320"/>
      </w:pPr>
      <w:r>
        <w:t xml:space="preserve">2/ Nekvalitní dodávku zásadně ověřují pověření pracovníci dodavatele a odběratele přičemž zjišťují </w:t>
      </w:r>
      <w:r>
        <w:rPr>
          <w:rStyle w:val="CharStyle26"/>
        </w:rPr>
        <w:t>u dodávky tepla</w:t>
      </w:r>
    </w:p>
    <w:p w:rsidR="00BF7BC1" w:rsidRDefault="008D44F2">
      <w:pPr>
        <w:pStyle w:val="Style14"/>
        <w:shd w:val="clear" w:color="auto" w:fill="auto"/>
        <w:spacing w:before="0" w:after="0" w:line="244" w:lineRule="exact"/>
        <w:ind w:left="320" w:firstLine="0"/>
        <w:jc w:val="left"/>
      </w:pPr>
      <w:r>
        <w:t>- průtočné množství teplonosného media s hodnotou uvedenou ve smlouvě</w:t>
      </w:r>
    </w:p>
    <w:p w:rsidR="00BF7BC1" w:rsidRDefault="008D44F2">
      <w:pPr>
        <w:pStyle w:val="Style14"/>
        <w:numPr>
          <w:ilvl w:val="0"/>
          <w:numId w:val="4"/>
        </w:numPr>
        <w:shd w:val="clear" w:color="auto" w:fill="auto"/>
        <w:tabs>
          <w:tab w:val="left" w:pos="541"/>
        </w:tabs>
        <w:spacing w:before="0" w:after="141" w:line="270" w:lineRule="exact"/>
        <w:ind w:left="420" w:hanging="80"/>
        <w:jc w:val="left"/>
      </w:pPr>
      <w:r>
        <w:t>teplotu media s hodnotou uvedenou na teplotním diagramu výměníkové stanice vztaženou k venkovní teplotě.</w:t>
      </w:r>
    </w:p>
    <w:p w:rsidR="00BF7BC1" w:rsidRDefault="008D44F2">
      <w:pPr>
        <w:pStyle w:val="Style14"/>
        <w:pBdr>
          <w:bottom w:val="single" w:sz="4" w:space="1" w:color="auto"/>
        </w:pBdr>
        <w:shd w:val="clear" w:color="auto" w:fill="auto"/>
        <w:spacing w:before="0" w:line="244" w:lineRule="exact"/>
        <w:ind w:left="420" w:firstLine="0"/>
        <w:jc w:val="left"/>
      </w:pPr>
      <w:r>
        <w:t>dodávky TUV</w:t>
      </w:r>
    </w:p>
    <w:p w:rsidR="00BF7BC1" w:rsidRDefault="008D44F2">
      <w:pPr>
        <w:pStyle w:val="Style14"/>
        <w:numPr>
          <w:ilvl w:val="0"/>
          <w:numId w:val="4"/>
        </w:numPr>
        <w:shd w:val="clear" w:color="auto" w:fill="auto"/>
        <w:tabs>
          <w:tab w:val="left" w:pos="541"/>
        </w:tabs>
        <w:spacing w:before="0" w:after="108" w:line="244" w:lineRule="exact"/>
        <w:ind w:left="420" w:hanging="80"/>
        <w:jc w:val="left"/>
      </w:pPr>
      <w:r>
        <w:t xml:space="preserve">teplotu dodávané vody podle § 12 </w:t>
      </w:r>
      <w:r>
        <w:rPr>
          <w:lang w:val="en-US" w:eastAsia="en-US" w:bidi="en-US"/>
        </w:rPr>
        <w:t xml:space="preserve">OTP, </w:t>
      </w:r>
      <w:r>
        <w:t>a množství dodávané vody</w:t>
      </w:r>
    </w:p>
    <w:p w:rsidR="00BF7BC1" w:rsidRDefault="008D44F2">
      <w:pPr>
        <w:pStyle w:val="Style14"/>
        <w:shd w:val="clear" w:color="auto" w:fill="auto"/>
        <w:spacing w:before="0" w:after="117"/>
        <w:ind w:left="340" w:hanging="340"/>
      </w:pPr>
      <w:r>
        <w:lastRenderedPageBreak/>
        <w:t>3/ Dodavatel je povinen neodkladně při oznámení reklamované vady zahájit šetření ve spolupráci s odběratelem. O řešení a vyřízení reklamace vyhotoví obě strany zápis.</w:t>
      </w:r>
    </w:p>
    <w:p w:rsidR="00BF7BC1" w:rsidRDefault="008D44F2">
      <w:pPr>
        <w:pStyle w:val="Style14"/>
        <w:shd w:val="clear" w:color="auto" w:fill="auto"/>
        <w:spacing w:before="0" w:after="123" w:line="263" w:lineRule="exact"/>
        <w:ind w:left="340" w:hanging="340"/>
      </w:pPr>
      <w:r>
        <w:t>4/ Odběratel je povinen poskytnout dodavateli nezbytnou součinnost tak, aby vada dodávky byla v co nejkratším termínu odstraněna.</w:t>
      </w:r>
    </w:p>
    <w:p w:rsidR="00BF7BC1" w:rsidRDefault="008D44F2">
      <w:pPr>
        <w:pStyle w:val="Style14"/>
        <w:shd w:val="clear" w:color="auto" w:fill="auto"/>
        <w:spacing w:before="0" w:after="512"/>
        <w:ind w:left="340" w:hanging="340"/>
      </w:pPr>
      <w:r>
        <w:t>5/ Odběratel je oprávněn reklamovat ostatní vady v dodavatelsko-odběratelském vztahu, zejména vyúčtování tepla, fakturace atp. podle obecně platných předpisů.</w:t>
      </w:r>
    </w:p>
    <w:p w:rsidR="00BF7BC1" w:rsidRDefault="008D44F2">
      <w:pPr>
        <w:pStyle w:val="Style14"/>
        <w:shd w:val="clear" w:color="auto" w:fill="auto"/>
        <w:spacing w:before="0" w:after="13" w:line="244" w:lineRule="exact"/>
        <w:ind w:left="40" w:firstLine="0"/>
        <w:jc w:val="center"/>
      </w:pPr>
      <w:r>
        <w:t>§14</w:t>
      </w:r>
    </w:p>
    <w:p w:rsidR="00BF7BC1" w:rsidRDefault="008D44F2">
      <w:pPr>
        <w:pStyle w:val="Style10"/>
        <w:shd w:val="clear" w:color="auto" w:fill="auto"/>
        <w:spacing w:after="0" w:line="378" w:lineRule="exact"/>
        <w:ind w:left="40" w:firstLine="0"/>
      </w:pPr>
      <w:r>
        <w:t>Rozúčtování dodávek tepla</w:t>
      </w:r>
    </w:p>
    <w:p w:rsidR="00BF7BC1" w:rsidRDefault="008D44F2">
      <w:pPr>
        <w:pStyle w:val="Style14"/>
        <w:shd w:val="clear" w:color="auto" w:fill="auto"/>
        <w:spacing w:before="0" w:after="0" w:line="378" w:lineRule="exact"/>
        <w:ind w:left="340" w:hanging="340"/>
      </w:pPr>
      <w:r>
        <w:t>Rozúčtování dodávek tepla bude prováděno následovně:</w:t>
      </w:r>
    </w:p>
    <w:p w:rsidR="00BF7BC1" w:rsidRDefault="008D44F2">
      <w:pPr>
        <w:pStyle w:val="Style14"/>
        <w:shd w:val="clear" w:color="auto" w:fill="auto"/>
        <w:spacing w:before="0" w:after="0" w:line="378" w:lineRule="exact"/>
        <w:ind w:left="340" w:hanging="340"/>
      </w:pPr>
      <w:r>
        <w:t>1/ Rozúčtování úhrady za teplo se zjišťuje podle údajů měřicího zařízení.</w:t>
      </w:r>
    </w:p>
    <w:p w:rsidR="00BF7BC1" w:rsidRDefault="008D44F2">
      <w:pPr>
        <w:pStyle w:val="Style14"/>
        <w:shd w:val="clear" w:color="auto" w:fill="auto"/>
        <w:spacing w:before="0"/>
        <w:ind w:left="340" w:hanging="340"/>
      </w:pPr>
      <w:r>
        <w:t>2/ Za správnost a závaznost údajů v dodavatelsko-odběratelských vztazích rozhodných pro bezchybnou fakturaci (rozúčtování plateb), tj. údajů o vytápěných plochách a za případné škody, které z nesprávně nahlášených vytápěných podlahových ploch vzniknou, odpovídá odběratel.</w:t>
      </w:r>
    </w:p>
    <w:p w:rsidR="00BF7BC1" w:rsidRDefault="008D44F2">
      <w:pPr>
        <w:pStyle w:val="Style14"/>
        <w:shd w:val="clear" w:color="auto" w:fill="auto"/>
        <w:spacing w:before="0"/>
        <w:ind w:left="340" w:hanging="340"/>
      </w:pPr>
      <w:r>
        <w:t>3/ Vznikne-li u odběratele potřeba dodávek tepla na vytápění a dodávky TUV do dalších nenahlášených vytápěných objektů, resp. změnou charakteru využívání vytápěné místnosti nutnost změny přepočítávacího koeficientu, je odběratel povinen předložit dodavateli návrh nových podkladů nejpozději do 10 dnů před požadovanou změnou (úpravou). Dodavatel předložený návrh buď potvrdí nebo se k němu vyjádří do 10-ti dnů po jeho obdržení. Potvrzený návrh se stává součástí smlouvy o dodávce tepla.</w:t>
      </w:r>
    </w:p>
    <w:p w:rsidR="00BF7BC1" w:rsidRDefault="008D44F2">
      <w:pPr>
        <w:pStyle w:val="Style14"/>
        <w:shd w:val="clear" w:color="auto" w:fill="auto"/>
        <w:spacing w:before="0"/>
        <w:ind w:left="340" w:hanging="340"/>
      </w:pPr>
      <w:r>
        <w:t>4/ V případech, kdy odběratel dodatečně opraví původní nahlášení a rozsah otápěných ploch změní udáním jiné výměry, protože se zmýlil a prokáže, že opravené nahlášení je správné, potom dodavatel provede nové rozúčtování plateb za dodávky tepla podle nové výměry, avšak odběratel je povinen nést náklady na zpracování nového rozúčtování, přeúčtování jiným odběratelům v daném objektu, náklady na vymožení případných pohledávek za jinými subjekty v důsledku nového rozúčtování a také za tyto pohledávky ručí.</w:t>
      </w:r>
    </w:p>
    <w:p w:rsidR="00BF7BC1" w:rsidRDefault="008D44F2">
      <w:pPr>
        <w:pStyle w:val="Style14"/>
        <w:shd w:val="clear" w:color="auto" w:fill="auto"/>
        <w:spacing w:before="0" w:after="123"/>
        <w:ind w:left="340" w:hanging="180"/>
      </w:pPr>
      <w:r>
        <w:t>5/ Dodavatel si vyhrazuje právo ověřit údaje uvedené v přihláškách k odběru (plochy, koeficienty, apod.) ověřit přímo v objektu odběratele.</w:t>
      </w:r>
    </w:p>
    <w:p w:rsidR="00BF7BC1" w:rsidRDefault="008D44F2">
      <w:pPr>
        <w:pStyle w:val="Style14"/>
        <w:shd w:val="clear" w:color="auto" w:fill="auto"/>
        <w:spacing w:before="0" w:after="129" w:line="256" w:lineRule="exact"/>
        <w:ind w:left="340" w:hanging="180"/>
      </w:pPr>
      <w:r>
        <w:t>6/ Jsou-li všechny napójovací uzly jednotlivých objektů zásobovaných teplem z jedné výměníkové stanice osazeny měřením tepla pro vytápění, účtuje dodavatel dodané teplo pro vytápění dle tohoto měření včetně technicky zdůvodnitelných ztrát v sekundární síti (dle vyjádření SEI Ostrava cca 10 %).</w:t>
      </w:r>
    </w:p>
    <w:p w:rsidR="00BF7BC1" w:rsidRDefault="008D44F2">
      <w:pPr>
        <w:pStyle w:val="Style14"/>
        <w:shd w:val="clear" w:color="auto" w:fill="auto"/>
        <w:spacing w:before="0" w:after="10" w:line="244" w:lineRule="exact"/>
        <w:ind w:left="340" w:hanging="180"/>
      </w:pPr>
      <w:r>
        <w:t>7/ Teplo dodané v TUV rozúčtuje dodavatel podle vyhl.MPO č. 224 /2001 Sb.</w:t>
      </w:r>
    </w:p>
    <w:p w:rsidR="00BF7BC1" w:rsidRDefault="008D44F2">
      <w:pPr>
        <w:pStyle w:val="Style14"/>
        <w:shd w:val="clear" w:color="auto" w:fill="auto"/>
        <w:spacing w:before="0" w:after="0" w:line="382" w:lineRule="exact"/>
        <w:ind w:right="220" w:firstLine="0"/>
        <w:jc w:val="center"/>
      </w:pPr>
      <w:r>
        <w:t>§15</w:t>
      </w:r>
    </w:p>
    <w:p w:rsidR="00BF7BC1" w:rsidRDefault="008D44F2">
      <w:pPr>
        <w:pStyle w:val="Style10"/>
        <w:shd w:val="clear" w:color="auto" w:fill="auto"/>
        <w:spacing w:after="0" w:line="382" w:lineRule="exact"/>
        <w:ind w:right="220" w:firstLine="0"/>
      </w:pPr>
      <w:r>
        <w:t>Sankce</w:t>
      </w:r>
    </w:p>
    <w:p w:rsidR="00BF7BC1" w:rsidRDefault="008D44F2">
      <w:pPr>
        <w:pStyle w:val="Style14"/>
        <w:shd w:val="clear" w:color="auto" w:fill="auto"/>
        <w:spacing w:before="0"/>
        <w:ind w:left="160" w:firstLine="0"/>
        <w:jc w:val="left"/>
      </w:pPr>
      <w:r>
        <w:rPr>
          <w:rStyle w:val="CharStyle32"/>
          <w:b w:val="0"/>
          <w:bCs w:val="0"/>
        </w:rPr>
        <w:t>II</w:t>
      </w:r>
      <w:r>
        <w:rPr>
          <w:rStyle w:val="CharStyle18"/>
        </w:rPr>
        <w:t xml:space="preserve"> Topení </w:t>
      </w:r>
      <w:r>
        <w:t>: při prokazatelně nedostatečném vytápění ze strany dodavatele, poskytne dodavatel odběrateli finanční úhradu za nedodané teplo. Výše úhrady bude odpovídat rozdílu ceny tepelné energie potřebné k dosažení požadované teploty a cenou tepla skutečně dodanou dodavatelem. Množství tepla, potřebného k dosažení požadované teploty se vypočítává z tepelných ztrát nedotápěných místností.</w:t>
      </w:r>
    </w:p>
    <w:p w:rsidR="00BF7BC1" w:rsidRDefault="008D44F2">
      <w:pPr>
        <w:pStyle w:val="Style14"/>
        <w:shd w:val="clear" w:color="auto" w:fill="auto"/>
        <w:spacing w:before="0" w:after="0"/>
        <w:ind w:firstLine="0"/>
        <w:jc w:val="right"/>
      </w:pPr>
      <w:r>
        <w:t xml:space="preserve">2/ </w:t>
      </w:r>
      <w:r>
        <w:rPr>
          <w:rStyle w:val="CharStyle18"/>
        </w:rPr>
        <w:t xml:space="preserve">TUV </w:t>
      </w:r>
      <w:r>
        <w:t>: při prokazatelně nedostatečné dodávce TUV poskytne dodavatel odběrateli finanční úhradu ve výši rozdílu ceny tepelné energie potřebné k ohřevu TUV z naměřené</w:t>
      </w:r>
    </w:p>
    <w:p w:rsidR="00BF7BC1" w:rsidRDefault="008D44F2">
      <w:pPr>
        <w:pStyle w:val="Style14"/>
        <w:shd w:val="clear" w:color="auto" w:fill="auto"/>
        <w:spacing w:before="0" w:after="478" w:line="266" w:lineRule="exact"/>
        <w:ind w:left="300" w:firstLine="0"/>
      </w:pPr>
      <w:r>
        <w:t>průměrné teploty vody a požadované teploty, tj. 45°C, vztažené k množství nedostatečné dodávky TUV.</w:t>
      </w:r>
    </w:p>
    <w:p w:rsidR="00BF7BC1" w:rsidRDefault="008D44F2">
      <w:pPr>
        <w:pStyle w:val="Style33"/>
        <w:shd w:val="clear" w:color="auto" w:fill="auto"/>
        <w:spacing w:before="0" w:after="168"/>
        <w:ind w:left="440"/>
      </w:pPr>
      <w:r>
        <w:t>3/ Sankce za neoprávněný odběr tepla stanoví prováděcí vyhláška.</w:t>
      </w:r>
    </w:p>
    <w:p w:rsidR="00BF7BC1" w:rsidRDefault="008D44F2">
      <w:pPr>
        <w:pStyle w:val="Style14"/>
        <w:shd w:val="clear" w:color="auto" w:fill="auto"/>
        <w:spacing w:before="0" w:after="0"/>
        <w:ind w:left="440"/>
      </w:pPr>
      <w:r>
        <w:t>4/ Za neplnění finančních závazků, dohodnutých mezi smluvními stranami zaplatí dlužná strana úrok z prodlení nebo smluvní pokutu ve výši dohodnuté ve smlouvě nebo jejich přílohách.</w:t>
      </w:r>
    </w:p>
    <w:p w:rsidR="00BF7BC1" w:rsidRDefault="008D44F2">
      <w:pPr>
        <w:pStyle w:val="Style35"/>
        <w:framePr w:w="8381" w:wrap="notBeside" w:vAnchor="text" w:hAnchor="text" w:xAlign="center" w:y="1"/>
        <w:shd w:val="clear" w:color="auto" w:fill="auto"/>
      </w:pPr>
      <w:r>
        <w:lastRenderedPageBreak/>
        <w:t>5/ Vznikne-li porušením povinností, uvedených v těchto OTP, nebo smlouvě některé smluvní straně škoda, je povinen ten, kdo škodu způsobil ji nahradit. Náhradu škody</w:t>
      </w:r>
    </w:p>
    <w:tbl>
      <w:tblPr>
        <w:tblOverlap w:val="never"/>
        <w:tblW w:w="0" w:type="auto"/>
        <w:jc w:val="center"/>
        <w:tblLayout w:type="fixed"/>
        <w:tblCellMar>
          <w:left w:w="10" w:type="dxa"/>
          <w:right w:w="10" w:type="dxa"/>
        </w:tblCellMar>
        <w:tblLook w:val="04A0" w:firstRow="1" w:lastRow="0" w:firstColumn="1" w:lastColumn="0" w:noHBand="0" w:noVBand="1"/>
      </w:tblPr>
      <w:tblGrid>
        <w:gridCol w:w="6714"/>
        <w:gridCol w:w="1667"/>
      </w:tblGrid>
      <w:tr w:rsidR="00BF7BC1">
        <w:trPr>
          <w:trHeight w:hRule="exact" w:val="529"/>
          <w:jc w:val="center"/>
        </w:trPr>
        <w:tc>
          <w:tcPr>
            <w:tcW w:w="6714" w:type="dxa"/>
            <w:shd w:val="clear" w:color="auto" w:fill="FFFFFF"/>
          </w:tcPr>
          <w:p w:rsidR="00BF7BC1" w:rsidRDefault="008D44F2">
            <w:pPr>
              <w:pStyle w:val="Style14"/>
              <w:framePr w:w="8381" w:wrap="notBeside" w:vAnchor="text" w:hAnchor="text" w:xAlign="center" w:y="1"/>
              <w:shd w:val="clear" w:color="auto" w:fill="auto"/>
              <w:spacing w:before="0" w:after="0" w:line="244" w:lineRule="exact"/>
              <w:ind w:left="300" w:firstLine="0"/>
              <w:jc w:val="left"/>
            </w:pPr>
            <w:r>
              <w:rPr>
                <w:rStyle w:val="CharStyle37"/>
              </w:rPr>
              <w:t>upravují obecně platné právní předpisy.</w:t>
            </w:r>
          </w:p>
        </w:tc>
        <w:tc>
          <w:tcPr>
            <w:tcW w:w="1667" w:type="dxa"/>
            <w:shd w:val="clear" w:color="auto" w:fill="FFFFFF"/>
          </w:tcPr>
          <w:p w:rsidR="00BF7BC1" w:rsidRDefault="00BF7BC1">
            <w:pPr>
              <w:framePr w:w="8381" w:wrap="notBeside" w:vAnchor="text" w:hAnchor="text" w:xAlign="center" w:y="1"/>
              <w:rPr>
                <w:sz w:val="10"/>
                <w:szCs w:val="10"/>
              </w:rPr>
            </w:pPr>
          </w:p>
        </w:tc>
      </w:tr>
      <w:tr w:rsidR="00BF7BC1">
        <w:trPr>
          <w:trHeight w:hRule="exact" w:val="918"/>
          <w:jc w:val="center"/>
        </w:trPr>
        <w:tc>
          <w:tcPr>
            <w:tcW w:w="6714" w:type="dxa"/>
            <w:shd w:val="clear" w:color="auto" w:fill="FFFFFF"/>
            <w:vAlign w:val="bottom"/>
          </w:tcPr>
          <w:p w:rsidR="00BF7BC1" w:rsidRDefault="008D44F2">
            <w:pPr>
              <w:pStyle w:val="Style14"/>
              <w:framePr w:w="8381" w:wrap="notBeside" w:vAnchor="text" w:hAnchor="text" w:xAlign="center" w:y="1"/>
              <w:shd w:val="clear" w:color="auto" w:fill="auto"/>
              <w:spacing w:before="0" w:line="244" w:lineRule="exact"/>
              <w:ind w:left="4020" w:firstLine="0"/>
              <w:jc w:val="left"/>
            </w:pPr>
            <w:r>
              <w:rPr>
                <w:rStyle w:val="CharStyle37"/>
              </w:rPr>
              <w:t>§16</w:t>
            </w:r>
          </w:p>
          <w:p w:rsidR="00BF7BC1" w:rsidRDefault="008D44F2">
            <w:pPr>
              <w:pStyle w:val="Style14"/>
              <w:framePr w:w="8381" w:wrap="notBeside" w:vAnchor="text" w:hAnchor="text" w:xAlign="center" w:y="1"/>
              <w:shd w:val="clear" w:color="auto" w:fill="auto"/>
              <w:spacing w:after="0" w:line="244" w:lineRule="exact"/>
              <w:ind w:left="3180" w:firstLine="0"/>
              <w:jc w:val="left"/>
            </w:pPr>
            <w:r>
              <w:rPr>
                <w:rStyle w:val="CharStyle38"/>
              </w:rPr>
              <w:t>Závěrečná ustanovení</w:t>
            </w:r>
          </w:p>
        </w:tc>
        <w:tc>
          <w:tcPr>
            <w:tcW w:w="1667" w:type="dxa"/>
            <w:shd w:val="clear" w:color="auto" w:fill="FFFFFF"/>
          </w:tcPr>
          <w:p w:rsidR="00BF7BC1" w:rsidRDefault="00BF7BC1">
            <w:pPr>
              <w:framePr w:w="8381" w:wrap="notBeside" w:vAnchor="text" w:hAnchor="text" w:xAlign="center" w:y="1"/>
              <w:rPr>
                <w:sz w:val="10"/>
                <w:szCs w:val="10"/>
              </w:rPr>
            </w:pPr>
          </w:p>
        </w:tc>
      </w:tr>
      <w:tr w:rsidR="00BF7BC1">
        <w:trPr>
          <w:trHeight w:hRule="exact" w:val="353"/>
          <w:jc w:val="center"/>
        </w:trPr>
        <w:tc>
          <w:tcPr>
            <w:tcW w:w="6714" w:type="dxa"/>
            <w:shd w:val="clear" w:color="auto" w:fill="FFFFFF"/>
            <w:vAlign w:val="bottom"/>
          </w:tcPr>
          <w:p w:rsidR="00BF7BC1" w:rsidRDefault="008D44F2">
            <w:pPr>
              <w:pStyle w:val="Style14"/>
              <w:framePr w:w="8381" w:wrap="notBeside" w:vAnchor="text" w:hAnchor="text" w:xAlign="center" w:y="1"/>
              <w:shd w:val="clear" w:color="auto" w:fill="auto"/>
              <w:spacing w:before="0" w:after="0" w:line="244" w:lineRule="exact"/>
              <w:ind w:firstLine="0"/>
              <w:jc w:val="left"/>
            </w:pPr>
            <w:r>
              <w:rPr>
                <w:rStyle w:val="CharStyle37"/>
              </w:rPr>
              <w:t xml:space="preserve">1/ Obchodně technické podmínky jsou zpracovány ve smyslu zákona </w:t>
            </w:r>
            <w:r>
              <w:rPr>
                <w:rStyle w:val="CharStyle39"/>
              </w:rPr>
              <w:t>&lt;</w:t>
            </w:r>
          </w:p>
        </w:tc>
        <w:tc>
          <w:tcPr>
            <w:tcW w:w="1667" w:type="dxa"/>
            <w:shd w:val="clear" w:color="auto" w:fill="FFFFFF"/>
            <w:vAlign w:val="bottom"/>
          </w:tcPr>
          <w:p w:rsidR="00BF7BC1" w:rsidRDefault="008D44F2">
            <w:pPr>
              <w:pStyle w:val="Style14"/>
              <w:framePr w:w="8381" w:wrap="notBeside" w:vAnchor="text" w:hAnchor="text" w:xAlign="center" w:y="1"/>
              <w:shd w:val="clear" w:color="auto" w:fill="auto"/>
              <w:spacing w:before="0" w:after="0" w:line="244" w:lineRule="exact"/>
              <w:ind w:firstLine="0"/>
              <w:jc w:val="left"/>
            </w:pPr>
            <w:r>
              <w:rPr>
                <w:rStyle w:val="CharStyle39"/>
              </w:rPr>
              <w:t>i.</w:t>
            </w:r>
            <w:r>
              <w:rPr>
                <w:rStyle w:val="CharStyle37"/>
              </w:rPr>
              <w:t xml:space="preserve"> 458/2000 Sb. -</w:t>
            </w:r>
          </w:p>
        </w:tc>
      </w:tr>
    </w:tbl>
    <w:p w:rsidR="00BF7BC1" w:rsidRDefault="008D44F2">
      <w:pPr>
        <w:pStyle w:val="Style35"/>
        <w:framePr w:w="8381" w:wrap="notBeside" w:vAnchor="text" w:hAnchor="text" w:xAlign="center" w:y="1"/>
        <w:shd w:val="clear" w:color="auto" w:fill="auto"/>
        <w:spacing w:line="244" w:lineRule="exact"/>
        <w:jc w:val="left"/>
      </w:pPr>
      <w:r>
        <w:t>energetický zákon a příslušných předpisů a vyhlášek a jsou platné od 1.1.2008.</w:t>
      </w:r>
    </w:p>
    <w:p w:rsidR="00BF7BC1" w:rsidRDefault="00BF7BC1">
      <w:pPr>
        <w:framePr w:w="8381" w:wrap="notBeside" w:vAnchor="text" w:hAnchor="text" w:xAlign="center" w:y="1"/>
        <w:rPr>
          <w:sz w:val="2"/>
          <w:szCs w:val="2"/>
        </w:rPr>
      </w:pPr>
    </w:p>
    <w:p w:rsidR="00BF7BC1" w:rsidRDefault="00BF7BC1">
      <w:pPr>
        <w:rPr>
          <w:sz w:val="2"/>
          <w:szCs w:val="2"/>
        </w:rPr>
      </w:pPr>
    </w:p>
    <w:p w:rsidR="00BF7BC1" w:rsidRDefault="00BF7BC1">
      <w:pPr>
        <w:rPr>
          <w:sz w:val="2"/>
          <w:szCs w:val="2"/>
        </w:rPr>
      </w:pPr>
    </w:p>
    <w:sectPr w:rsidR="00BF7BC1">
      <w:footerReference w:type="default" r:id="rId9"/>
      <w:footerReference w:type="first" r:id="rId10"/>
      <w:pgSz w:w="11992" w:h="16898"/>
      <w:pgMar w:top="818" w:right="1544" w:bottom="1024" w:left="193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C82" w:rsidRDefault="008D44F2">
      <w:r>
        <w:separator/>
      </w:r>
    </w:p>
  </w:endnote>
  <w:endnote w:type="continuationSeparator" w:id="0">
    <w:p w:rsidR="00262C82" w:rsidRDefault="008D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C1" w:rsidRDefault="008D44F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3932555</wp:posOffset>
              </wp:positionH>
              <wp:positionV relativeFrom="page">
                <wp:posOffset>10313035</wp:posOffset>
              </wp:positionV>
              <wp:extent cx="76835" cy="1460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EB363C" w:rsidRPr="00EB363C">
                            <w:rPr>
                              <w:rStyle w:val="CharStyle7"/>
                              <w:noProof/>
                            </w:rPr>
                            <w:t>4</w:t>
                          </w:r>
                          <w:r>
                            <w:rPr>
                              <w:rStyle w:val="CharStyle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9.65pt;margin-top:812.05pt;width:6.0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Fqw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" filled="f" stroked="f">
              <v:textbox style="mso-fit-shape-to-text:t" inset="0,0,0,0">
                <w:txbxContent>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EB363C" w:rsidRPr="00EB363C">
                      <w:rPr>
                        <w:rStyle w:val="CharStyle7"/>
                        <w:noProof/>
                      </w:rPr>
                      <w:t>4</w:t>
                    </w:r>
                    <w:r>
                      <w:rPr>
                        <w:rStyle w:val="CharStyle7"/>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C1" w:rsidRDefault="008D44F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3932555</wp:posOffset>
              </wp:positionH>
              <wp:positionV relativeFrom="page">
                <wp:posOffset>10313035</wp:posOffset>
              </wp:positionV>
              <wp:extent cx="29845" cy="88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EB363C" w:rsidRPr="00EB363C">
                            <w:rPr>
                              <w:rStyle w:val="CharStyle7"/>
                              <w:noProof/>
                            </w:rPr>
                            <w:t>8</w:t>
                          </w:r>
                          <w:r>
                            <w:rPr>
                              <w:rStyle w:val="CharStyle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09.65pt;margin-top:812.05pt;width:2.35pt;height:7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tErAIAAKs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" filled="f" stroked="f">
              <v:textbox style="mso-fit-shape-to-text:t" inset="0,0,0,0">
                <w:txbxContent>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EB363C" w:rsidRPr="00EB363C">
                      <w:rPr>
                        <w:rStyle w:val="CharStyle7"/>
                        <w:noProof/>
                      </w:rPr>
                      <w:t>8</w:t>
                    </w:r>
                    <w:r>
                      <w:rPr>
                        <w:rStyle w:val="CharStyle7"/>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BC1" w:rsidRDefault="008D44F2">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3945890</wp:posOffset>
              </wp:positionH>
              <wp:positionV relativeFrom="page">
                <wp:posOffset>10230485</wp:posOffset>
              </wp:positionV>
              <wp:extent cx="48260" cy="88900"/>
              <wp:effectExtent l="2540" t="63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C1" w:rsidRDefault="008D44F2">
                          <w:pPr>
                            <w:pStyle w:val="Style5"/>
                            <w:shd w:val="clear" w:color="auto" w:fill="auto"/>
                            <w:spacing w:line="240" w:lineRule="auto"/>
                          </w:pPr>
                          <w:r>
                            <w:rPr>
                              <w:rStyle w:val="CharStyle7"/>
                            </w:rPr>
                            <w:t>&lt;t\ .</w:t>
                          </w:r>
                        </w:p>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EB363C" w:rsidRPr="00EB363C">
                            <w:rPr>
                              <w:rStyle w:val="CharStyle7"/>
                              <w:noProof/>
                            </w:rPr>
                            <w:t>5</w:t>
                          </w:r>
                          <w:r>
                            <w:rPr>
                              <w:rStyle w:val="CharStyle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10.7pt;margin-top:805.55pt;width:3.8pt;height: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" filled="f" stroked="f">
              <v:textbox style="mso-fit-shape-to-text:t" inset="0,0,0,0">
                <w:txbxContent>
                  <w:p w:rsidR="00BF7BC1" w:rsidRDefault="008D44F2">
                    <w:pPr>
                      <w:pStyle w:val="Style5"/>
                      <w:shd w:val="clear" w:color="auto" w:fill="auto"/>
                      <w:spacing w:line="240" w:lineRule="auto"/>
                    </w:pPr>
                    <w:r>
                      <w:rPr>
                        <w:rStyle w:val="CharStyle7"/>
                      </w:rPr>
                      <w:t>&lt;t\ .</w:t>
                    </w:r>
                  </w:p>
                  <w:p w:rsidR="00BF7BC1" w:rsidRDefault="008D44F2">
                    <w:pPr>
                      <w:pStyle w:val="Style5"/>
                      <w:shd w:val="clear" w:color="auto" w:fill="auto"/>
                      <w:spacing w:line="240" w:lineRule="auto"/>
                    </w:pPr>
                    <w:r>
                      <w:fldChar w:fldCharType="begin"/>
                    </w:r>
                    <w:r>
                      <w:instrText xml:space="preserve"> PAGE \* MERGEFORMAT </w:instrText>
                    </w:r>
                    <w:r>
                      <w:fldChar w:fldCharType="separate"/>
                    </w:r>
                    <w:r w:rsidR="00EB363C" w:rsidRPr="00EB363C">
                      <w:rPr>
                        <w:rStyle w:val="CharStyle7"/>
                        <w:noProof/>
                      </w:rPr>
                      <w:t>5</w:t>
                    </w:r>
                    <w:r>
                      <w:rPr>
                        <w:rStyle w:val="CharStyle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BC1" w:rsidRDefault="00BF7BC1"/>
  </w:footnote>
  <w:footnote w:type="continuationSeparator" w:id="0">
    <w:p w:rsidR="00BF7BC1" w:rsidRDefault="00BF7B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A85"/>
    <w:multiLevelType w:val="multilevel"/>
    <w:tmpl w:val="927E64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DB1A97"/>
    <w:multiLevelType w:val="multilevel"/>
    <w:tmpl w:val="B580836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3E2820"/>
    <w:multiLevelType w:val="multilevel"/>
    <w:tmpl w:val="39168A6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6E0ED1"/>
    <w:multiLevelType w:val="multilevel"/>
    <w:tmpl w:val="3C26048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C1"/>
    <w:rsid w:val="00262C82"/>
    <w:rsid w:val="008D44F2"/>
    <w:rsid w:val="00BF7BC1"/>
    <w:rsid w:val="00EB3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22"/>
      <w:szCs w:val="22"/>
      <w:u w:val="none"/>
    </w:rPr>
  </w:style>
  <w:style w:type="character" w:customStyle="1" w:styleId="CharStyle4">
    <w:name w:val="Char Style 4"/>
    <w:basedOn w:val="CharStyle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6">
    <w:name w:val="Char Style 6"/>
    <w:basedOn w:val="Standardnpsmoodstavce"/>
    <w:link w:val="Style5"/>
    <w:rPr>
      <w:b w:val="0"/>
      <w:bCs w:val="0"/>
      <w:i w:val="0"/>
      <w:iCs w:val="0"/>
      <w:smallCaps w:val="0"/>
      <w:strike w:val="0"/>
      <w:spacing w:val="20"/>
      <w:sz w:val="20"/>
      <w:szCs w:val="20"/>
      <w:u w:val="none"/>
    </w:rPr>
  </w:style>
  <w:style w:type="character" w:customStyle="1" w:styleId="CharStyle7">
    <w:name w:val="Char Style 7"/>
    <w:basedOn w:val="CharStyle6"/>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cs-CZ" w:eastAsia="cs-CZ" w:bidi="cs-CZ"/>
    </w:rPr>
  </w:style>
  <w:style w:type="character" w:customStyle="1" w:styleId="CharStyle9">
    <w:name w:val="Char Style 9"/>
    <w:basedOn w:val="Standardnpsmoodstavce"/>
    <w:link w:val="Style8"/>
    <w:rPr>
      <w:b/>
      <w:bCs/>
      <w:i w:val="0"/>
      <w:iCs w:val="0"/>
      <w:smallCaps w:val="0"/>
      <w:strike w:val="0"/>
      <w:sz w:val="28"/>
      <w:szCs w:val="28"/>
      <w:u w:val="none"/>
    </w:rPr>
  </w:style>
  <w:style w:type="character" w:customStyle="1" w:styleId="CharStyle11">
    <w:name w:val="Char Style 11"/>
    <w:basedOn w:val="Standardnpsmoodstavce"/>
    <w:link w:val="Style10"/>
    <w:rPr>
      <w:b/>
      <w:bCs/>
      <w:i w:val="0"/>
      <w:iCs w:val="0"/>
      <w:smallCaps w:val="0"/>
      <w:strike w:val="0"/>
      <w:sz w:val="22"/>
      <w:szCs w:val="22"/>
      <w:u w:val="none"/>
    </w:rPr>
  </w:style>
  <w:style w:type="character" w:customStyle="1" w:styleId="CharStyle13">
    <w:name w:val="Char Style 13"/>
    <w:basedOn w:val="Standardnpsmoodstavce"/>
    <w:link w:val="Style12"/>
    <w:rPr>
      <w:b/>
      <w:bCs/>
      <w:i w:val="0"/>
      <w:iCs w:val="0"/>
      <w:smallCaps w:val="0"/>
      <w:strike w:val="0"/>
      <w:spacing w:val="50"/>
      <w:sz w:val="22"/>
      <w:szCs w:val="22"/>
      <w:u w:val="none"/>
    </w:rPr>
  </w:style>
  <w:style w:type="character" w:customStyle="1" w:styleId="CharStyle15">
    <w:name w:val="Char Style 15"/>
    <w:basedOn w:val="Standardnpsmoodstavce"/>
    <w:link w:val="Style14"/>
    <w:rPr>
      <w:b w:val="0"/>
      <w:bCs w:val="0"/>
      <w:i w:val="0"/>
      <w:iCs w:val="0"/>
      <w:smallCaps w:val="0"/>
      <w:strike w:val="0"/>
      <w:sz w:val="22"/>
      <w:szCs w:val="22"/>
      <w:u w:val="none"/>
    </w:rPr>
  </w:style>
  <w:style w:type="character" w:customStyle="1" w:styleId="CharStyle17">
    <w:name w:val="Char Style 17"/>
    <w:basedOn w:val="Standardnpsmoodstavce"/>
    <w:link w:val="Style16"/>
    <w:rPr>
      <w:b/>
      <w:bCs/>
      <w:i w:val="0"/>
      <w:iCs w:val="0"/>
      <w:smallCaps w:val="0"/>
      <w:strike w:val="0"/>
      <w:spacing w:val="50"/>
      <w:sz w:val="22"/>
      <w:szCs w:val="22"/>
      <w:u w:val="none"/>
    </w:rPr>
  </w:style>
  <w:style w:type="character" w:customStyle="1" w:styleId="CharStyle18">
    <w:name w:val="Char Style 18"/>
    <w:basedOn w:val="CharStyle1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0">
    <w:name w:val="Char Style 20"/>
    <w:basedOn w:val="Standardnpsmoodstavce"/>
    <w:link w:val="Style19"/>
    <w:rPr>
      <w:b/>
      <w:bCs/>
      <w:i w:val="0"/>
      <w:iCs w:val="0"/>
      <w:smallCaps w:val="0"/>
      <w:strike w:val="0"/>
      <w:spacing w:val="50"/>
      <w:sz w:val="22"/>
      <w:szCs w:val="22"/>
      <w:u w:val="none"/>
    </w:rPr>
  </w:style>
  <w:style w:type="character" w:customStyle="1" w:styleId="CharStyle22">
    <w:name w:val="Char Style 22"/>
    <w:basedOn w:val="Standardnpsmoodstavce"/>
    <w:link w:val="Style21"/>
    <w:rPr>
      <w:b/>
      <w:bCs/>
      <w:i w:val="0"/>
      <w:iCs w:val="0"/>
      <w:smallCaps w:val="0"/>
      <w:strike w:val="0"/>
      <w:spacing w:val="50"/>
      <w:sz w:val="22"/>
      <w:szCs w:val="22"/>
      <w:u w:val="none"/>
    </w:rPr>
  </w:style>
  <w:style w:type="character" w:customStyle="1" w:styleId="CharStyle23">
    <w:name w:val="Char Style 23"/>
    <w:basedOn w:val="CharStyle11"/>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5">
    <w:name w:val="Char Style 25"/>
    <w:basedOn w:val="Standardnpsmoodstavce"/>
    <w:link w:val="Style24"/>
    <w:rPr>
      <w:b/>
      <w:bCs/>
      <w:i w:val="0"/>
      <w:iCs w:val="0"/>
      <w:smallCaps w:val="0"/>
      <w:strike w:val="0"/>
      <w:spacing w:val="20"/>
      <w:sz w:val="22"/>
      <w:szCs w:val="22"/>
      <w:u w:val="none"/>
    </w:rPr>
  </w:style>
  <w:style w:type="character" w:customStyle="1" w:styleId="CharStyle26">
    <w:name w:val="Char Style 26"/>
    <w:basedOn w:val="CharStyle1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CharStyle28">
    <w:name w:val="Char Style 28"/>
    <w:basedOn w:val="Standardnpsmoodstavce"/>
    <w:link w:val="Style27"/>
    <w:rPr>
      <w:b w:val="0"/>
      <w:bCs w:val="0"/>
      <w:i w:val="0"/>
      <w:iCs w:val="0"/>
      <w:smallCaps w:val="0"/>
      <w:strike w:val="0"/>
      <w:spacing w:val="50"/>
      <w:sz w:val="26"/>
      <w:szCs w:val="26"/>
      <w:u w:val="none"/>
    </w:rPr>
  </w:style>
  <w:style w:type="character" w:customStyle="1" w:styleId="CharStyle30">
    <w:name w:val="Char Style 30"/>
    <w:basedOn w:val="Standardnpsmoodstavce"/>
    <w:link w:val="Style29"/>
    <w:rPr>
      <w:b/>
      <w:bCs/>
      <w:i w:val="0"/>
      <w:iCs w:val="0"/>
      <w:smallCaps w:val="0"/>
      <w:strike w:val="0"/>
      <w:spacing w:val="20"/>
      <w:sz w:val="22"/>
      <w:szCs w:val="22"/>
      <w:u w:val="none"/>
    </w:rPr>
  </w:style>
  <w:style w:type="character" w:customStyle="1" w:styleId="CharStyle31">
    <w:name w:val="Char Style 31"/>
    <w:basedOn w:val="CharStyle15"/>
    <w:rPr>
      <w:rFonts w:ascii="Times New Roman" w:eastAsia="Times New Roman" w:hAnsi="Times New Roman" w:cs="Times New Roman"/>
      <w:b/>
      <w:bCs/>
      <w:i/>
      <w:iCs/>
      <w:smallCaps w:val="0"/>
      <w:strike w:val="0"/>
      <w:color w:val="000000"/>
      <w:spacing w:val="20"/>
      <w:w w:val="100"/>
      <w:position w:val="0"/>
      <w:sz w:val="22"/>
      <w:szCs w:val="22"/>
      <w:u w:val="none"/>
      <w:lang w:val="cs-CZ" w:eastAsia="cs-CZ" w:bidi="cs-CZ"/>
    </w:rPr>
  </w:style>
  <w:style w:type="character" w:customStyle="1" w:styleId="CharStyle32">
    <w:name w:val="Char Style 32"/>
    <w:basedOn w:val="CharStyle15"/>
    <w:rPr>
      <w:rFonts w:ascii="Times New Roman" w:eastAsia="Times New Roman" w:hAnsi="Times New Roman" w:cs="Times New Roman"/>
      <w:b/>
      <w:bCs/>
      <w:i/>
      <w:iCs/>
      <w:smallCaps w:val="0"/>
      <w:strike w:val="0"/>
      <w:color w:val="000000"/>
      <w:spacing w:val="40"/>
      <w:w w:val="100"/>
      <w:position w:val="0"/>
      <w:sz w:val="23"/>
      <w:szCs w:val="23"/>
      <w:u w:val="none"/>
      <w:lang w:val="cs-CZ" w:eastAsia="cs-CZ" w:bidi="cs-CZ"/>
    </w:rPr>
  </w:style>
  <w:style w:type="character" w:customStyle="1" w:styleId="CharStyle34">
    <w:name w:val="Char Style 34"/>
    <w:basedOn w:val="Standardnpsmoodstavce"/>
    <w:link w:val="Style33"/>
    <w:rPr>
      <w:b w:val="0"/>
      <w:bCs w:val="0"/>
      <w:i w:val="0"/>
      <w:iCs w:val="0"/>
      <w:smallCaps w:val="0"/>
      <w:strike w:val="0"/>
      <w:sz w:val="22"/>
      <w:szCs w:val="22"/>
      <w:u w:val="none"/>
    </w:rPr>
  </w:style>
  <w:style w:type="character" w:customStyle="1" w:styleId="CharStyle36">
    <w:name w:val="Char Style 36"/>
    <w:basedOn w:val="Standardnpsmoodstavce"/>
    <w:link w:val="Style35"/>
    <w:rPr>
      <w:b w:val="0"/>
      <w:bCs w:val="0"/>
      <w:i w:val="0"/>
      <w:iCs w:val="0"/>
      <w:smallCaps w:val="0"/>
      <w:strike w:val="0"/>
      <w:sz w:val="22"/>
      <w:szCs w:val="22"/>
      <w:u w:val="none"/>
    </w:rPr>
  </w:style>
  <w:style w:type="character" w:customStyle="1" w:styleId="CharStyle37">
    <w:name w:val="Char Style 37"/>
    <w:basedOn w:val="CharStyle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CharStyle38">
    <w:name w:val="Char Style 38"/>
    <w:basedOn w:val="CharStyle1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39">
    <w:name w:val="Char Style 39"/>
    <w:basedOn w:val="CharStyle15"/>
    <w:rPr>
      <w:rFonts w:ascii="Times New Roman" w:eastAsia="Times New Roman" w:hAnsi="Times New Roman" w:cs="Times New Roman"/>
      <w:b/>
      <w:bCs/>
      <w:i/>
      <w:iCs/>
      <w:smallCaps w:val="0"/>
      <w:strike w:val="0"/>
      <w:color w:val="000000"/>
      <w:spacing w:val="20"/>
      <w:w w:val="100"/>
      <w:position w:val="0"/>
      <w:sz w:val="22"/>
      <w:szCs w:val="22"/>
      <w:u w:val="none"/>
      <w:lang w:val="cs-CZ" w:eastAsia="cs-CZ" w:bidi="cs-CZ"/>
    </w:rPr>
  </w:style>
  <w:style w:type="paragraph" w:customStyle="1" w:styleId="Style2">
    <w:name w:val="Style 2"/>
    <w:basedOn w:val="Normln"/>
    <w:link w:val="CharStyle3"/>
    <w:pPr>
      <w:shd w:val="clear" w:color="auto" w:fill="FFFFFF"/>
      <w:spacing w:after="380" w:line="244" w:lineRule="exact"/>
      <w:jc w:val="center"/>
    </w:pPr>
    <w:rPr>
      <w:b/>
      <w:bCs/>
      <w:sz w:val="22"/>
      <w:szCs w:val="22"/>
    </w:rPr>
  </w:style>
  <w:style w:type="paragraph" w:customStyle="1" w:styleId="Style5">
    <w:name w:val="Style 5"/>
    <w:basedOn w:val="Normln"/>
    <w:link w:val="CharStyle6"/>
    <w:pPr>
      <w:shd w:val="clear" w:color="auto" w:fill="FFFFFF"/>
      <w:spacing w:line="222" w:lineRule="exact"/>
    </w:pPr>
    <w:rPr>
      <w:spacing w:val="20"/>
      <w:sz w:val="20"/>
      <w:szCs w:val="20"/>
    </w:rPr>
  </w:style>
  <w:style w:type="paragraph" w:customStyle="1" w:styleId="Style8">
    <w:name w:val="Style 8"/>
    <w:basedOn w:val="Normln"/>
    <w:link w:val="CharStyle9"/>
    <w:pPr>
      <w:shd w:val="clear" w:color="auto" w:fill="FFFFFF"/>
      <w:spacing w:before="380" w:line="310" w:lineRule="exact"/>
      <w:jc w:val="center"/>
      <w:outlineLvl w:val="0"/>
    </w:pPr>
    <w:rPr>
      <w:b/>
      <w:bCs/>
      <w:sz w:val="28"/>
      <w:szCs w:val="28"/>
    </w:rPr>
  </w:style>
  <w:style w:type="paragraph" w:customStyle="1" w:styleId="Style10">
    <w:name w:val="Style 10"/>
    <w:basedOn w:val="Normln"/>
    <w:link w:val="CharStyle11"/>
    <w:pPr>
      <w:shd w:val="clear" w:color="auto" w:fill="FFFFFF"/>
      <w:spacing w:after="1140" w:line="244" w:lineRule="exact"/>
      <w:ind w:hanging="300"/>
      <w:jc w:val="center"/>
    </w:pPr>
    <w:rPr>
      <w:b/>
      <w:bCs/>
      <w:sz w:val="22"/>
      <w:szCs w:val="22"/>
    </w:rPr>
  </w:style>
  <w:style w:type="paragraph" w:customStyle="1" w:styleId="Style12">
    <w:name w:val="Style 12"/>
    <w:basedOn w:val="Normln"/>
    <w:link w:val="CharStyle13"/>
    <w:pPr>
      <w:shd w:val="clear" w:color="auto" w:fill="FFFFFF"/>
      <w:spacing w:before="540" w:after="120" w:line="244" w:lineRule="exact"/>
      <w:jc w:val="center"/>
      <w:outlineLvl w:val="1"/>
    </w:pPr>
    <w:rPr>
      <w:b/>
      <w:bCs/>
      <w:spacing w:val="50"/>
      <w:sz w:val="22"/>
      <w:szCs w:val="22"/>
    </w:rPr>
  </w:style>
  <w:style w:type="paragraph" w:customStyle="1" w:styleId="Style14">
    <w:name w:val="Style 14"/>
    <w:basedOn w:val="Normln"/>
    <w:link w:val="CharStyle15"/>
    <w:pPr>
      <w:shd w:val="clear" w:color="auto" w:fill="FFFFFF"/>
      <w:spacing w:before="120" w:after="120" w:line="259" w:lineRule="exact"/>
      <w:ind w:hanging="440"/>
      <w:jc w:val="both"/>
    </w:pPr>
    <w:rPr>
      <w:sz w:val="22"/>
      <w:szCs w:val="22"/>
    </w:rPr>
  </w:style>
  <w:style w:type="paragraph" w:customStyle="1" w:styleId="Style16">
    <w:name w:val="Style 16"/>
    <w:basedOn w:val="Normln"/>
    <w:link w:val="CharStyle17"/>
    <w:pPr>
      <w:shd w:val="clear" w:color="auto" w:fill="FFFFFF"/>
      <w:spacing w:before="120" w:after="380" w:line="244" w:lineRule="exact"/>
      <w:jc w:val="center"/>
      <w:outlineLvl w:val="1"/>
    </w:pPr>
    <w:rPr>
      <w:b/>
      <w:bCs/>
      <w:spacing w:val="50"/>
      <w:sz w:val="22"/>
      <w:szCs w:val="22"/>
    </w:rPr>
  </w:style>
  <w:style w:type="paragraph" w:customStyle="1" w:styleId="Style19">
    <w:name w:val="Style 19"/>
    <w:basedOn w:val="Normln"/>
    <w:link w:val="CharStyle20"/>
    <w:pPr>
      <w:shd w:val="clear" w:color="auto" w:fill="FFFFFF"/>
      <w:spacing w:after="120" w:line="244" w:lineRule="exact"/>
      <w:jc w:val="center"/>
      <w:outlineLvl w:val="1"/>
    </w:pPr>
    <w:rPr>
      <w:b/>
      <w:bCs/>
      <w:spacing w:val="50"/>
      <w:sz w:val="22"/>
      <w:szCs w:val="22"/>
    </w:rPr>
  </w:style>
  <w:style w:type="paragraph" w:customStyle="1" w:styleId="Style21">
    <w:name w:val="Style 21"/>
    <w:basedOn w:val="Normln"/>
    <w:link w:val="CharStyle22"/>
    <w:pPr>
      <w:shd w:val="clear" w:color="auto" w:fill="FFFFFF"/>
      <w:spacing w:before="120" w:after="120" w:line="244" w:lineRule="exact"/>
      <w:jc w:val="center"/>
      <w:outlineLvl w:val="1"/>
    </w:pPr>
    <w:rPr>
      <w:b/>
      <w:bCs/>
      <w:spacing w:val="50"/>
      <w:sz w:val="22"/>
      <w:szCs w:val="22"/>
    </w:rPr>
  </w:style>
  <w:style w:type="paragraph" w:customStyle="1" w:styleId="Style24">
    <w:name w:val="Style 24"/>
    <w:basedOn w:val="Normln"/>
    <w:link w:val="CharStyle25"/>
    <w:pPr>
      <w:shd w:val="clear" w:color="auto" w:fill="FFFFFF"/>
      <w:spacing w:before="540" w:after="140" w:line="244" w:lineRule="exact"/>
      <w:jc w:val="center"/>
      <w:outlineLvl w:val="1"/>
    </w:pPr>
    <w:rPr>
      <w:b/>
      <w:bCs/>
      <w:spacing w:val="20"/>
      <w:sz w:val="22"/>
      <w:szCs w:val="22"/>
    </w:rPr>
  </w:style>
  <w:style w:type="paragraph" w:customStyle="1" w:styleId="Style27">
    <w:name w:val="Style 27"/>
    <w:basedOn w:val="Normln"/>
    <w:link w:val="CharStyle28"/>
    <w:pPr>
      <w:shd w:val="clear" w:color="auto" w:fill="FFFFFF"/>
      <w:spacing w:before="140" w:line="288" w:lineRule="exact"/>
      <w:jc w:val="center"/>
      <w:outlineLvl w:val="1"/>
    </w:pPr>
    <w:rPr>
      <w:spacing w:val="50"/>
      <w:sz w:val="26"/>
      <w:szCs w:val="26"/>
    </w:rPr>
  </w:style>
  <w:style w:type="paragraph" w:customStyle="1" w:styleId="Style29">
    <w:name w:val="Style 29"/>
    <w:basedOn w:val="Normln"/>
    <w:link w:val="CharStyle30"/>
    <w:pPr>
      <w:shd w:val="clear" w:color="auto" w:fill="FFFFFF"/>
      <w:spacing w:before="120" w:after="120" w:line="244" w:lineRule="exact"/>
      <w:jc w:val="center"/>
      <w:outlineLvl w:val="1"/>
    </w:pPr>
    <w:rPr>
      <w:b/>
      <w:bCs/>
      <w:spacing w:val="20"/>
      <w:sz w:val="22"/>
      <w:szCs w:val="22"/>
    </w:rPr>
  </w:style>
  <w:style w:type="paragraph" w:customStyle="1" w:styleId="Style33">
    <w:name w:val="Style 33"/>
    <w:basedOn w:val="Normln"/>
    <w:link w:val="CharStyle34"/>
    <w:pPr>
      <w:shd w:val="clear" w:color="auto" w:fill="FFFFFF"/>
      <w:spacing w:before="460" w:after="180" w:line="244" w:lineRule="exact"/>
      <w:ind w:hanging="440"/>
      <w:jc w:val="both"/>
    </w:pPr>
    <w:rPr>
      <w:sz w:val="22"/>
      <w:szCs w:val="22"/>
    </w:rPr>
  </w:style>
  <w:style w:type="paragraph" w:customStyle="1" w:styleId="Style35">
    <w:name w:val="Style 35"/>
    <w:basedOn w:val="Normln"/>
    <w:link w:val="CharStyle36"/>
    <w:pPr>
      <w:shd w:val="clear" w:color="auto" w:fill="FFFFFF"/>
      <w:spacing w:line="259" w:lineRule="exact"/>
      <w:jc w:val="righ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bCs/>
      <w:i w:val="0"/>
      <w:iCs w:val="0"/>
      <w:smallCaps w:val="0"/>
      <w:strike w:val="0"/>
      <w:sz w:val="22"/>
      <w:szCs w:val="22"/>
      <w:u w:val="none"/>
    </w:rPr>
  </w:style>
  <w:style w:type="character" w:customStyle="1" w:styleId="CharStyle4">
    <w:name w:val="Char Style 4"/>
    <w:basedOn w:val="CharStyle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6">
    <w:name w:val="Char Style 6"/>
    <w:basedOn w:val="Standardnpsmoodstavce"/>
    <w:link w:val="Style5"/>
    <w:rPr>
      <w:b w:val="0"/>
      <w:bCs w:val="0"/>
      <w:i w:val="0"/>
      <w:iCs w:val="0"/>
      <w:smallCaps w:val="0"/>
      <w:strike w:val="0"/>
      <w:spacing w:val="20"/>
      <w:sz w:val="20"/>
      <w:szCs w:val="20"/>
      <w:u w:val="none"/>
    </w:rPr>
  </w:style>
  <w:style w:type="character" w:customStyle="1" w:styleId="CharStyle7">
    <w:name w:val="Char Style 7"/>
    <w:basedOn w:val="CharStyle6"/>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cs-CZ" w:eastAsia="cs-CZ" w:bidi="cs-CZ"/>
    </w:rPr>
  </w:style>
  <w:style w:type="character" w:customStyle="1" w:styleId="CharStyle9">
    <w:name w:val="Char Style 9"/>
    <w:basedOn w:val="Standardnpsmoodstavce"/>
    <w:link w:val="Style8"/>
    <w:rPr>
      <w:b/>
      <w:bCs/>
      <w:i w:val="0"/>
      <w:iCs w:val="0"/>
      <w:smallCaps w:val="0"/>
      <w:strike w:val="0"/>
      <w:sz w:val="28"/>
      <w:szCs w:val="28"/>
      <w:u w:val="none"/>
    </w:rPr>
  </w:style>
  <w:style w:type="character" w:customStyle="1" w:styleId="CharStyle11">
    <w:name w:val="Char Style 11"/>
    <w:basedOn w:val="Standardnpsmoodstavce"/>
    <w:link w:val="Style10"/>
    <w:rPr>
      <w:b/>
      <w:bCs/>
      <w:i w:val="0"/>
      <w:iCs w:val="0"/>
      <w:smallCaps w:val="0"/>
      <w:strike w:val="0"/>
      <w:sz w:val="22"/>
      <w:szCs w:val="22"/>
      <w:u w:val="none"/>
    </w:rPr>
  </w:style>
  <w:style w:type="character" w:customStyle="1" w:styleId="CharStyle13">
    <w:name w:val="Char Style 13"/>
    <w:basedOn w:val="Standardnpsmoodstavce"/>
    <w:link w:val="Style12"/>
    <w:rPr>
      <w:b/>
      <w:bCs/>
      <w:i w:val="0"/>
      <w:iCs w:val="0"/>
      <w:smallCaps w:val="0"/>
      <w:strike w:val="0"/>
      <w:spacing w:val="50"/>
      <w:sz w:val="22"/>
      <w:szCs w:val="22"/>
      <w:u w:val="none"/>
    </w:rPr>
  </w:style>
  <w:style w:type="character" w:customStyle="1" w:styleId="CharStyle15">
    <w:name w:val="Char Style 15"/>
    <w:basedOn w:val="Standardnpsmoodstavce"/>
    <w:link w:val="Style14"/>
    <w:rPr>
      <w:b w:val="0"/>
      <w:bCs w:val="0"/>
      <w:i w:val="0"/>
      <w:iCs w:val="0"/>
      <w:smallCaps w:val="0"/>
      <w:strike w:val="0"/>
      <w:sz w:val="22"/>
      <w:szCs w:val="22"/>
      <w:u w:val="none"/>
    </w:rPr>
  </w:style>
  <w:style w:type="character" w:customStyle="1" w:styleId="CharStyle17">
    <w:name w:val="Char Style 17"/>
    <w:basedOn w:val="Standardnpsmoodstavce"/>
    <w:link w:val="Style16"/>
    <w:rPr>
      <w:b/>
      <w:bCs/>
      <w:i w:val="0"/>
      <w:iCs w:val="0"/>
      <w:smallCaps w:val="0"/>
      <w:strike w:val="0"/>
      <w:spacing w:val="50"/>
      <w:sz w:val="22"/>
      <w:szCs w:val="22"/>
      <w:u w:val="none"/>
    </w:rPr>
  </w:style>
  <w:style w:type="character" w:customStyle="1" w:styleId="CharStyle18">
    <w:name w:val="Char Style 18"/>
    <w:basedOn w:val="CharStyle1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0">
    <w:name w:val="Char Style 20"/>
    <w:basedOn w:val="Standardnpsmoodstavce"/>
    <w:link w:val="Style19"/>
    <w:rPr>
      <w:b/>
      <w:bCs/>
      <w:i w:val="0"/>
      <w:iCs w:val="0"/>
      <w:smallCaps w:val="0"/>
      <w:strike w:val="0"/>
      <w:spacing w:val="50"/>
      <w:sz w:val="22"/>
      <w:szCs w:val="22"/>
      <w:u w:val="none"/>
    </w:rPr>
  </w:style>
  <w:style w:type="character" w:customStyle="1" w:styleId="CharStyle22">
    <w:name w:val="Char Style 22"/>
    <w:basedOn w:val="Standardnpsmoodstavce"/>
    <w:link w:val="Style21"/>
    <w:rPr>
      <w:b/>
      <w:bCs/>
      <w:i w:val="0"/>
      <w:iCs w:val="0"/>
      <w:smallCaps w:val="0"/>
      <w:strike w:val="0"/>
      <w:spacing w:val="50"/>
      <w:sz w:val="22"/>
      <w:szCs w:val="22"/>
      <w:u w:val="none"/>
    </w:rPr>
  </w:style>
  <w:style w:type="character" w:customStyle="1" w:styleId="CharStyle23">
    <w:name w:val="Char Style 23"/>
    <w:basedOn w:val="CharStyle11"/>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25">
    <w:name w:val="Char Style 25"/>
    <w:basedOn w:val="Standardnpsmoodstavce"/>
    <w:link w:val="Style24"/>
    <w:rPr>
      <w:b/>
      <w:bCs/>
      <w:i w:val="0"/>
      <w:iCs w:val="0"/>
      <w:smallCaps w:val="0"/>
      <w:strike w:val="0"/>
      <w:spacing w:val="20"/>
      <w:sz w:val="22"/>
      <w:szCs w:val="22"/>
      <w:u w:val="none"/>
    </w:rPr>
  </w:style>
  <w:style w:type="character" w:customStyle="1" w:styleId="CharStyle26">
    <w:name w:val="Char Style 26"/>
    <w:basedOn w:val="CharStyle1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CharStyle28">
    <w:name w:val="Char Style 28"/>
    <w:basedOn w:val="Standardnpsmoodstavce"/>
    <w:link w:val="Style27"/>
    <w:rPr>
      <w:b w:val="0"/>
      <w:bCs w:val="0"/>
      <w:i w:val="0"/>
      <w:iCs w:val="0"/>
      <w:smallCaps w:val="0"/>
      <w:strike w:val="0"/>
      <w:spacing w:val="50"/>
      <w:sz w:val="26"/>
      <w:szCs w:val="26"/>
      <w:u w:val="none"/>
    </w:rPr>
  </w:style>
  <w:style w:type="character" w:customStyle="1" w:styleId="CharStyle30">
    <w:name w:val="Char Style 30"/>
    <w:basedOn w:val="Standardnpsmoodstavce"/>
    <w:link w:val="Style29"/>
    <w:rPr>
      <w:b/>
      <w:bCs/>
      <w:i w:val="0"/>
      <w:iCs w:val="0"/>
      <w:smallCaps w:val="0"/>
      <w:strike w:val="0"/>
      <w:spacing w:val="20"/>
      <w:sz w:val="22"/>
      <w:szCs w:val="22"/>
      <w:u w:val="none"/>
    </w:rPr>
  </w:style>
  <w:style w:type="character" w:customStyle="1" w:styleId="CharStyle31">
    <w:name w:val="Char Style 31"/>
    <w:basedOn w:val="CharStyle15"/>
    <w:rPr>
      <w:rFonts w:ascii="Times New Roman" w:eastAsia="Times New Roman" w:hAnsi="Times New Roman" w:cs="Times New Roman"/>
      <w:b/>
      <w:bCs/>
      <w:i/>
      <w:iCs/>
      <w:smallCaps w:val="0"/>
      <w:strike w:val="0"/>
      <w:color w:val="000000"/>
      <w:spacing w:val="20"/>
      <w:w w:val="100"/>
      <w:position w:val="0"/>
      <w:sz w:val="22"/>
      <w:szCs w:val="22"/>
      <w:u w:val="none"/>
      <w:lang w:val="cs-CZ" w:eastAsia="cs-CZ" w:bidi="cs-CZ"/>
    </w:rPr>
  </w:style>
  <w:style w:type="character" w:customStyle="1" w:styleId="CharStyle32">
    <w:name w:val="Char Style 32"/>
    <w:basedOn w:val="CharStyle15"/>
    <w:rPr>
      <w:rFonts w:ascii="Times New Roman" w:eastAsia="Times New Roman" w:hAnsi="Times New Roman" w:cs="Times New Roman"/>
      <w:b/>
      <w:bCs/>
      <w:i/>
      <w:iCs/>
      <w:smallCaps w:val="0"/>
      <w:strike w:val="0"/>
      <w:color w:val="000000"/>
      <w:spacing w:val="40"/>
      <w:w w:val="100"/>
      <w:position w:val="0"/>
      <w:sz w:val="23"/>
      <w:szCs w:val="23"/>
      <w:u w:val="none"/>
      <w:lang w:val="cs-CZ" w:eastAsia="cs-CZ" w:bidi="cs-CZ"/>
    </w:rPr>
  </w:style>
  <w:style w:type="character" w:customStyle="1" w:styleId="CharStyle34">
    <w:name w:val="Char Style 34"/>
    <w:basedOn w:val="Standardnpsmoodstavce"/>
    <w:link w:val="Style33"/>
    <w:rPr>
      <w:b w:val="0"/>
      <w:bCs w:val="0"/>
      <w:i w:val="0"/>
      <w:iCs w:val="0"/>
      <w:smallCaps w:val="0"/>
      <w:strike w:val="0"/>
      <w:sz w:val="22"/>
      <w:szCs w:val="22"/>
      <w:u w:val="none"/>
    </w:rPr>
  </w:style>
  <w:style w:type="character" w:customStyle="1" w:styleId="CharStyle36">
    <w:name w:val="Char Style 36"/>
    <w:basedOn w:val="Standardnpsmoodstavce"/>
    <w:link w:val="Style35"/>
    <w:rPr>
      <w:b w:val="0"/>
      <w:bCs w:val="0"/>
      <w:i w:val="0"/>
      <w:iCs w:val="0"/>
      <w:smallCaps w:val="0"/>
      <w:strike w:val="0"/>
      <w:sz w:val="22"/>
      <w:szCs w:val="22"/>
      <w:u w:val="none"/>
    </w:rPr>
  </w:style>
  <w:style w:type="character" w:customStyle="1" w:styleId="CharStyle37">
    <w:name w:val="Char Style 37"/>
    <w:basedOn w:val="CharStyle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CharStyle38">
    <w:name w:val="Char Style 38"/>
    <w:basedOn w:val="CharStyle1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39">
    <w:name w:val="Char Style 39"/>
    <w:basedOn w:val="CharStyle15"/>
    <w:rPr>
      <w:rFonts w:ascii="Times New Roman" w:eastAsia="Times New Roman" w:hAnsi="Times New Roman" w:cs="Times New Roman"/>
      <w:b/>
      <w:bCs/>
      <w:i/>
      <w:iCs/>
      <w:smallCaps w:val="0"/>
      <w:strike w:val="0"/>
      <w:color w:val="000000"/>
      <w:spacing w:val="20"/>
      <w:w w:val="100"/>
      <w:position w:val="0"/>
      <w:sz w:val="22"/>
      <w:szCs w:val="22"/>
      <w:u w:val="none"/>
      <w:lang w:val="cs-CZ" w:eastAsia="cs-CZ" w:bidi="cs-CZ"/>
    </w:rPr>
  </w:style>
  <w:style w:type="paragraph" w:customStyle="1" w:styleId="Style2">
    <w:name w:val="Style 2"/>
    <w:basedOn w:val="Normln"/>
    <w:link w:val="CharStyle3"/>
    <w:pPr>
      <w:shd w:val="clear" w:color="auto" w:fill="FFFFFF"/>
      <w:spacing w:after="380" w:line="244" w:lineRule="exact"/>
      <w:jc w:val="center"/>
    </w:pPr>
    <w:rPr>
      <w:b/>
      <w:bCs/>
      <w:sz w:val="22"/>
      <w:szCs w:val="22"/>
    </w:rPr>
  </w:style>
  <w:style w:type="paragraph" w:customStyle="1" w:styleId="Style5">
    <w:name w:val="Style 5"/>
    <w:basedOn w:val="Normln"/>
    <w:link w:val="CharStyle6"/>
    <w:pPr>
      <w:shd w:val="clear" w:color="auto" w:fill="FFFFFF"/>
      <w:spacing w:line="222" w:lineRule="exact"/>
    </w:pPr>
    <w:rPr>
      <w:spacing w:val="20"/>
      <w:sz w:val="20"/>
      <w:szCs w:val="20"/>
    </w:rPr>
  </w:style>
  <w:style w:type="paragraph" w:customStyle="1" w:styleId="Style8">
    <w:name w:val="Style 8"/>
    <w:basedOn w:val="Normln"/>
    <w:link w:val="CharStyle9"/>
    <w:pPr>
      <w:shd w:val="clear" w:color="auto" w:fill="FFFFFF"/>
      <w:spacing w:before="380" w:line="310" w:lineRule="exact"/>
      <w:jc w:val="center"/>
      <w:outlineLvl w:val="0"/>
    </w:pPr>
    <w:rPr>
      <w:b/>
      <w:bCs/>
      <w:sz w:val="28"/>
      <w:szCs w:val="28"/>
    </w:rPr>
  </w:style>
  <w:style w:type="paragraph" w:customStyle="1" w:styleId="Style10">
    <w:name w:val="Style 10"/>
    <w:basedOn w:val="Normln"/>
    <w:link w:val="CharStyle11"/>
    <w:pPr>
      <w:shd w:val="clear" w:color="auto" w:fill="FFFFFF"/>
      <w:spacing w:after="1140" w:line="244" w:lineRule="exact"/>
      <w:ind w:hanging="300"/>
      <w:jc w:val="center"/>
    </w:pPr>
    <w:rPr>
      <w:b/>
      <w:bCs/>
      <w:sz w:val="22"/>
      <w:szCs w:val="22"/>
    </w:rPr>
  </w:style>
  <w:style w:type="paragraph" w:customStyle="1" w:styleId="Style12">
    <w:name w:val="Style 12"/>
    <w:basedOn w:val="Normln"/>
    <w:link w:val="CharStyle13"/>
    <w:pPr>
      <w:shd w:val="clear" w:color="auto" w:fill="FFFFFF"/>
      <w:spacing w:before="540" w:after="120" w:line="244" w:lineRule="exact"/>
      <w:jc w:val="center"/>
      <w:outlineLvl w:val="1"/>
    </w:pPr>
    <w:rPr>
      <w:b/>
      <w:bCs/>
      <w:spacing w:val="50"/>
      <w:sz w:val="22"/>
      <w:szCs w:val="22"/>
    </w:rPr>
  </w:style>
  <w:style w:type="paragraph" w:customStyle="1" w:styleId="Style14">
    <w:name w:val="Style 14"/>
    <w:basedOn w:val="Normln"/>
    <w:link w:val="CharStyle15"/>
    <w:pPr>
      <w:shd w:val="clear" w:color="auto" w:fill="FFFFFF"/>
      <w:spacing w:before="120" w:after="120" w:line="259" w:lineRule="exact"/>
      <w:ind w:hanging="440"/>
      <w:jc w:val="both"/>
    </w:pPr>
    <w:rPr>
      <w:sz w:val="22"/>
      <w:szCs w:val="22"/>
    </w:rPr>
  </w:style>
  <w:style w:type="paragraph" w:customStyle="1" w:styleId="Style16">
    <w:name w:val="Style 16"/>
    <w:basedOn w:val="Normln"/>
    <w:link w:val="CharStyle17"/>
    <w:pPr>
      <w:shd w:val="clear" w:color="auto" w:fill="FFFFFF"/>
      <w:spacing w:before="120" w:after="380" w:line="244" w:lineRule="exact"/>
      <w:jc w:val="center"/>
      <w:outlineLvl w:val="1"/>
    </w:pPr>
    <w:rPr>
      <w:b/>
      <w:bCs/>
      <w:spacing w:val="50"/>
      <w:sz w:val="22"/>
      <w:szCs w:val="22"/>
    </w:rPr>
  </w:style>
  <w:style w:type="paragraph" w:customStyle="1" w:styleId="Style19">
    <w:name w:val="Style 19"/>
    <w:basedOn w:val="Normln"/>
    <w:link w:val="CharStyle20"/>
    <w:pPr>
      <w:shd w:val="clear" w:color="auto" w:fill="FFFFFF"/>
      <w:spacing w:after="120" w:line="244" w:lineRule="exact"/>
      <w:jc w:val="center"/>
      <w:outlineLvl w:val="1"/>
    </w:pPr>
    <w:rPr>
      <w:b/>
      <w:bCs/>
      <w:spacing w:val="50"/>
      <w:sz w:val="22"/>
      <w:szCs w:val="22"/>
    </w:rPr>
  </w:style>
  <w:style w:type="paragraph" w:customStyle="1" w:styleId="Style21">
    <w:name w:val="Style 21"/>
    <w:basedOn w:val="Normln"/>
    <w:link w:val="CharStyle22"/>
    <w:pPr>
      <w:shd w:val="clear" w:color="auto" w:fill="FFFFFF"/>
      <w:spacing w:before="120" w:after="120" w:line="244" w:lineRule="exact"/>
      <w:jc w:val="center"/>
      <w:outlineLvl w:val="1"/>
    </w:pPr>
    <w:rPr>
      <w:b/>
      <w:bCs/>
      <w:spacing w:val="50"/>
      <w:sz w:val="22"/>
      <w:szCs w:val="22"/>
    </w:rPr>
  </w:style>
  <w:style w:type="paragraph" w:customStyle="1" w:styleId="Style24">
    <w:name w:val="Style 24"/>
    <w:basedOn w:val="Normln"/>
    <w:link w:val="CharStyle25"/>
    <w:pPr>
      <w:shd w:val="clear" w:color="auto" w:fill="FFFFFF"/>
      <w:spacing w:before="540" w:after="140" w:line="244" w:lineRule="exact"/>
      <w:jc w:val="center"/>
      <w:outlineLvl w:val="1"/>
    </w:pPr>
    <w:rPr>
      <w:b/>
      <w:bCs/>
      <w:spacing w:val="20"/>
      <w:sz w:val="22"/>
      <w:szCs w:val="22"/>
    </w:rPr>
  </w:style>
  <w:style w:type="paragraph" w:customStyle="1" w:styleId="Style27">
    <w:name w:val="Style 27"/>
    <w:basedOn w:val="Normln"/>
    <w:link w:val="CharStyle28"/>
    <w:pPr>
      <w:shd w:val="clear" w:color="auto" w:fill="FFFFFF"/>
      <w:spacing w:before="140" w:line="288" w:lineRule="exact"/>
      <w:jc w:val="center"/>
      <w:outlineLvl w:val="1"/>
    </w:pPr>
    <w:rPr>
      <w:spacing w:val="50"/>
      <w:sz w:val="26"/>
      <w:szCs w:val="26"/>
    </w:rPr>
  </w:style>
  <w:style w:type="paragraph" w:customStyle="1" w:styleId="Style29">
    <w:name w:val="Style 29"/>
    <w:basedOn w:val="Normln"/>
    <w:link w:val="CharStyle30"/>
    <w:pPr>
      <w:shd w:val="clear" w:color="auto" w:fill="FFFFFF"/>
      <w:spacing w:before="120" w:after="120" w:line="244" w:lineRule="exact"/>
      <w:jc w:val="center"/>
      <w:outlineLvl w:val="1"/>
    </w:pPr>
    <w:rPr>
      <w:b/>
      <w:bCs/>
      <w:spacing w:val="20"/>
      <w:sz w:val="22"/>
      <w:szCs w:val="22"/>
    </w:rPr>
  </w:style>
  <w:style w:type="paragraph" w:customStyle="1" w:styleId="Style33">
    <w:name w:val="Style 33"/>
    <w:basedOn w:val="Normln"/>
    <w:link w:val="CharStyle34"/>
    <w:pPr>
      <w:shd w:val="clear" w:color="auto" w:fill="FFFFFF"/>
      <w:spacing w:before="460" w:after="180" w:line="244" w:lineRule="exact"/>
      <w:ind w:hanging="440"/>
      <w:jc w:val="both"/>
    </w:pPr>
    <w:rPr>
      <w:sz w:val="22"/>
      <w:szCs w:val="22"/>
    </w:rPr>
  </w:style>
  <w:style w:type="paragraph" w:customStyle="1" w:styleId="Style35">
    <w:name w:val="Style 35"/>
    <w:basedOn w:val="Normln"/>
    <w:link w:val="CharStyle36"/>
    <w:pPr>
      <w:shd w:val="clear" w:color="auto" w:fill="FFFFFF"/>
      <w:spacing w:line="259" w:lineRule="exact"/>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3165</Words>
  <Characters>18680</Characters>
  <Application>Microsoft Office Word</Application>
  <DocSecurity>4</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Snášelová Romana</dc:creator>
  <cp:lastModifiedBy>Ulčíková Marta</cp:lastModifiedBy>
  <cp:revision>2</cp:revision>
  <dcterms:created xsi:type="dcterms:W3CDTF">2018-01-18T07:58:00Z</dcterms:created>
  <dcterms:modified xsi:type="dcterms:W3CDTF">2018-01-18T07:58:00Z</dcterms:modified>
</cp:coreProperties>
</file>