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B25" w:rsidRPr="006368D9" w:rsidRDefault="00820B04" w:rsidP="00F31EB4">
      <w:pP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6" type="#_x0000_t75" alt="5_Kooperativa_RGB" style="position:absolute;left:0;text-align:left;margin-left:-14.45pt;margin-top:.3pt;width:149.25pt;height:96.75pt;z-index:251657728;visibility:visible">
            <v:imagedata r:id="rId9" o:title=""/>
            <w10:wrap type="square"/>
          </v:shape>
        </w:pict>
      </w:r>
    </w:p>
    <w:p w:rsidR="00292B25" w:rsidRPr="006368D9" w:rsidRDefault="00292B25" w:rsidP="00D7357B">
      <w:pPr>
        <w:pStyle w:val="Zkladntext32"/>
        <w:tabs>
          <w:tab w:val="left" w:pos="7740"/>
        </w:tabs>
        <w:spacing w:line="240" w:lineRule="auto"/>
        <w:rPr>
          <w:rFonts w:ascii="Koop Office" w:hAnsi="Koop Office" w:cs="Arial"/>
          <w:b/>
          <w:bCs/>
          <w:i/>
        </w:rPr>
      </w:pPr>
    </w:p>
    <w:p w:rsidR="00292B25" w:rsidRPr="006368D9" w:rsidRDefault="00292B25" w:rsidP="00D7357B">
      <w:pPr>
        <w:pStyle w:val="Zkladntext32"/>
        <w:tabs>
          <w:tab w:val="left" w:pos="7740"/>
        </w:tabs>
        <w:spacing w:line="240" w:lineRule="auto"/>
        <w:rPr>
          <w:rFonts w:ascii="Koop Office" w:hAnsi="Koop Office" w:cs="Arial"/>
          <w:b/>
          <w:bCs/>
          <w:i/>
        </w:rPr>
      </w:pPr>
    </w:p>
    <w:p w:rsidR="00292B25" w:rsidRPr="006368D9" w:rsidRDefault="00292B25" w:rsidP="00D7357B">
      <w:pPr>
        <w:pStyle w:val="Zkladntext32"/>
        <w:tabs>
          <w:tab w:val="left" w:pos="7740"/>
        </w:tabs>
        <w:spacing w:line="240" w:lineRule="auto"/>
        <w:rPr>
          <w:rFonts w:ascii="Koop Office" w:hAnsi="Koop Office" w:cs="Arial"/>
          <w:b/>
          <w:bCs/>
          <w:i/>
        </w:rPr>
      </w:pPr>
    </w:p>
    <w:p w:rsidR="00292B25" w:rsidRPr="006368D9" w:rsidRDefault="00292B25" w:rsidP="00D7357B">
      <w:pPr>
        <w:pStyle w:val="Zkladntext32"/>
        <w:tabs>
          <w:tab w:val="left" w:pos="7740"/>
        </w:tabs>
        <w:spacing w:line="240" w:lineRule="auto"/>
        <w:rPr>
          <w:rFonts w:ascii="Koop Office" w:hAnsi="Koop Office" w:cs="Arial"/>
          <w:b/>
          <w:bCs/>
          <w:i/>
        </w:rPr>
      </w:pPr>
    </w:p>
    <w:p w:rsidR="00292B25" w:rsidRPr="006368D9" w:rsidRDefault="00292B25" w:rsidP="00D7357B">
      <w:pPr>
        <w:pStyle w:val="Zkladntext32"/>
        <w:tabs>
          <w:tab w:val="left" w:pos="7740"/>
        </w:tabs>
        <w:spacing w:line="240" w:lineRule="auto"/>
        <w:rPr>
          <w:rFonts w:ascii="Koop Office" w:hAnsi="Koop Office" w:cs="Arial"/>
          <w:b/>
          <w:bCs/>
          <w:i/>
        </w:rPr>
      </w:pPr>
    </w:p>
    <w:p w:rsidR="00292B25" w:rsidRPr="006368D9" w:rsidRDefault="00292B25" w:rsidP="00D7357B">
      <w:pPr>
        <w:pStyle w:val="Zkladntext32"/>
        <w:tabs>
          <w:tab w:val="left" w:pos="7740"/>
        </w:tabs>
        <w:spacing w:line="240" w:lineRule="auto"/>
        <w:rPr>
          <w:rFonts w:ascii="Koop Office" w:hAnsi="Koop Office" w:cs="Arial"/>
          <w:b/>
          <w:bCs/>
          <w:i/>
        </w:rPr>
      </w:pPr>
    </w:p>
    <w:p w:rsidR="00292B25" w:rsidRDefault="00292B25" w:rsidP="00C04539">
      <w:pPr>
        <w:tabs>
          <w:tab w:val="left" w:pos="-720"/>
          <w:tab w:val="left" w:pos="3600"/>
        </w:tabs>
        <w:jc w:val="right"/>
        <w:rPr>
          <w:rFonts w:cs="Arial"/>
          <w:b/>
          <w:bCs/>
          <w:i/>
        </w:rPr>
      </w:pPr>
      <w:r w:rsidRPr="006368D9">
        <w:rPr>
          <w:rFonts w:cs="Arial"/>
          <w:b/>
          <w:bCs/>
          <w:i/>
        </w:rPr>
        <w:tab/>
      </w:r>
    </w:p>
    <w:p w:rsidR="00292B25" w:rsidRPr="006368D9" w:rsidRDefault="00292B25" w:rsidP="00C04539">
      <w:pPr>
        <w:tabs>
          <w:tab w:val="left" w:pos="-720"/>
          <w:tab w:val="left" w:pos="3600"/>
        </w:tabs>
        <w:jc w:val="right"/>
        <w:rPr>
          <w:rFonts w:cs="Arial"/>
          <w:i/>
          <w:iCs/>
          <w:sz w:val="20"/>
          <w:szCs w:val="20"/>
        </w:rPr>
      </w:pPr>
      <w:r w:rsidRPr="006368D9">
        <w:rPr>
          <w:rFonts w:cs="Arial"/>
          <w:i/>
          <w:iCs/>
          <w:sz w:val="20"/>
          <w:szCs w:val="20"/>
        </w:rPr>
        <w:t xml:space="preserve"> </w:t>
      </w:r>
    </w:p>
    <w:p w:rsidR="00B32E91" w:rsidRPr="006368D9" w:rsidRDefault="00B32E91" w:rsidP="00B32E91">
      <w:pPr>
        <w:rPr>
          <w:rFonts w:cs="Arial"/>
        </w:rPr>
      </w:pPr>
      <w:r>
        <w:rPr>
          <w:rFonts w:cs="Arial"/>
          <w:b/>
        </w:rPr>
        <w:t>Referát</w:t>
      </w:r>
      <w:r w:rsidRPr="006368D9">
        <w:rPr>
          <w:rFonts w:cs="Arial"/>
          <w:b/>
        </w:rPr>
        <w:t xml:space="preserve"> pojištění hospodářských rizik</w:t>
      </w:r>
      <w:r>
        <w:rPr>
          <w:rFonts w:cs="Arial"/>
          <w:b/>
        </w:rPr>
        <w:t xml:space="preserve"> </w:t>
      </w:r>
      <w:r w:rsidR="00B63504">
        <w:rPr>
          <w:b/>
        </w:rPr>
        <w:t>A</w:t>
      </w:r>
      <w:r>
        <w:rPr>
          <w:b/>
        </w:rPr>
        <w:t xml:space="preserve">gentura </w:t>
      </w:r>
      <w:r w:rsidR="00B63504">
        <w:rPr>
          <w:b/>
        </w:rPr>
        <w:t>s</w:t>
      </w:r>
      <w:r>
        <w:rPr>
          <w:b/>
        </w:rPr>
        <w:t>everní Morava</w:t>
      </w:r>
    </w:p>
    <w:p w:rsidR="00292B25" w:rsidRPr="006368D9" w:rsidRDefault="00292B25" w:rsidP="00D7357B">
      <w:pPr>
        <w:pStyle w:val="Zkladntext32"/>
        <w:tabs>
          <w:tab w:val="left" w:pos="7740"/>
        </w:tabs>
        <w:spacing w:line="240" w:lineRule="auto"/>
        <w:rPr>
          <w:rFonts w:ascii="Koop Office" w:hAnsi="Koop Office" w:cs="Arial"/>
          <w:b/>
          <w:bCs/>
          <w:i/>
        </w:rPr>
      </w:pPr>
    </w:p>
    <w:p w:rsidR="00B32E91" w:rsidRPr="00BD02AC" w:rsidRDefault="00B32E91" w:rsidP="00B32E91">
      <w:pPr>
        <w:tabs>
          <w:tab w:val="center" w:pos="4819"/>
        </w:tabs>
        <w:rPr>
          <w:b/>
          <w:sz w:val="32"/>
        </w:rPr>
      </w:pPr>
      <w:r w:rsidRPr="00BD02AC">
        <w:rPr>
          <w:b/>
          <w:sz w:val="32"/>
        </w:rPr>
        <w:t xml:space="preserve">Dodatek č. </w:t>
      </w:r>
      <w:r w:rsidR="00B95557">
        <w:rPr>
          <w:b/>
          <w:sz w:val="32"/>
        </w:rPr>
        <w:t>2</w:t>
      </w:r>
    </w:p>
    <w:p w:rsidR="00292B25" w:rsidRPr="006368D9" w:rsidRDefault="00B32E91" w:rsidP="00B32E91">
      <w:pPr>
        <w:rPr>
          <w:rFonts w:cs="Arial"/>
          <w:color w:val="FF0000"/>
          <w:sz w:val="24"/>
        </w:rPr>
      </w:pPr>
      <w:r w:rsidRPr="00BD02AC">
        <w:rPr>
          <w:b/>
          <w:sz w:val="32"/>
          <w:szCs w:val="32"/>
        </w:rPr>
        <w:t>k pojistné smlouvě</w:t>
      </w:r>
      <w:r w:rsidRPr="00BD02AC">
        <w:rPr>
          <w:sz w:val="32"/>
          <w:szCs w:val="32"/>
        </w:rPr>
        <w:t xml:space="preserve"> </w:t>
      </w:r>
      <w:r w:rsidRPr="00BD02AC">
        <w:rPr>
          <w:b/>
          <w:bCs/>
          <w:sz w:val="32"/>
          <w:szCs w:val="32"/>
        </w:rPr>
        <w:t>č.</w:t>
      </w:r>
      <w:r w:rsidRPr="00BD02AC">
        <w:rPr>
          <w:sz w:val="32"/>
          <w:szCs w:val="32"/>
        </w:rPr>
        <w:t xml:space="preserve"> </w:t>
      </w:r>
      <w:r w:rsidR="009F23F6">
        <w:rPr>
          <w:rFonts w:cs="Arial"/>
          <w:b/>
          <w:sz w:val="32"/>
        </w:rPr>
        <w:t>7720862070</w:t>
      </w:r>
    </w:p>
    <w:p w:rsidR="00292B25" w:rsidRPr="006368D9" w:rsidRDefault="00292B25" w:rsidP="00D7357B">
      <w:pPr>
        <w:rPr>
          <w:rFonts w:cs="Arial"/>
        </w:rPr>
      </w:pPr>
      <w:bookmarkStart w:id="0" w:name="Priloha_1"/>
      <w:bookmarkEnd w:id="0"/>
    </w:p>
    <w:p w:rsidR="00292B25" w:rsidRPr="006368D9" w:rsidRDefault="00292B25" w:rsidP="00D7357B">
      <w:pPr>
        <w:rPr>
          <w:rFonts w:cs="Arial"/>
          <w:b/>
          <w:spacing w:val="20"/>
          <w:sz w:val="32"/>
        </w:rPr>
      </w:pPr>
      <w:r w:rsidRPr="006368D9">
        <w:rPr>
          <w:rFonts w:cs="Arial"/>
          <w:b/>
          <w:spacing w:val="20"/>
          <w:sz w:val="32"/>
        </w:rPr>
        <w:t>Kooperativa pojišťovna, a.s., Vienna Insurance Group</w:t>
      </w:r>
    </w:p>
    <w:p w:rsidR="00292B25" w:rsidRPr="006368D9" w:rsidRDefault="00292B25" w:rsidP="00D7357B">
      <w:pPr>
        <w:rPr>
          <w:rFonts w:cs="Arial"/>
          <w:b/>
        </w:rPr>
      </w:pPr>
      <w:r w:rsidRPr="006368D9">
        <w:rPr>
          <w:rFonts w:cs="Arial"/>
          <w:b/>
        </w:rPr>
        <w:t xml:space="preserve">se sídlem Praha 8, Pobřežní 665/21, PSČ 186 00, Česká republika </w:t>
      </w:r>
    </w:p>
    <w:p w:rsidR="00292B25" w:rsidRPr="006368D9" w:rsidRDefault="00292B25" w:rsidP="00D7357B">
      <w:pPr>
        <w:rPr>
          <w:rFonts w:cs="Arial"/>
          <w:b/>
        </w:rPr>
      </w:pPr>
      <w:r w:rsidRPr="006368D9">
        <w:rPr>
          <w:rFonts w:cs="Arial"/>
          <w:b/>
        </w:rPr>
        <w:t xml:space="preserve">IČO: 47116617 </w:t>
      </w:r>
    </w:p>
    <w:p w:rsidR="00292B25" w:rsidRPr="006368D9" w:rsidRDefault="00292B25" w:rsidP="00D7357B">
      <w:pPr>
        <w:rPr>
          <w:rFonts w:cs="Arial"/>
          <w:sz w:val="20"/>
        </w:rPr>
      </w:pPr>
      <w:r w:rsidRPr="006368D9">
        <w:rPr>
          <w:rFonts w:cs="Arial"/>
          <w:sz w:val="20"/>
        </w:rPr>
        <w:t>zapsaná v obchodním rejstříku u Městského soudu v Praze, sp. zn. B 1897</w:t>
      </w:r>
    </w:p>
    <w:p w:rsidR="00292B25" w:rsidRPr="006368D9" w:rsidRDefault="00292B25" w:rsidP="00D7357B">
      <w:pPr>
        <w:rPr>
          <w:rFonts w:cs="Arial"/>
          <w:sz w:val="20"/>
        </w:rPr>
      </w:pPr>
      <w:r w:rsidRPr="006368D9">
        <w:rPr>
          <w:rFonts w:cs="Arial"/>
          <w:sz w:val="20"/>
        </w:rPr>
        <w:t>(dále jen „</w:t>
      </w:r>
      <w:r w:rsidRPr="006368D9">
        <w:rPr>
          <w:rFonts w:cs="Arial"/>
          <w:b/>
          <w:sz w:val="20"/>
        </w:rPr>
        <w:t>pojistitel</w:t>
      </w:r>
      <w:r w:rsidRPr="00927059">
        <w:rPr>
          <w:rFonts w:cs="Arial"/>
          <w:sz w:val="20"/>
        </w:rPr>
        <w:t>“</w:t>
      </w:r>
      <w:r w:rsidRPr="006368D9">
        <w:rPr>
          <w:rFonts w:cs="Arial"/>
          <w:sz w:val="20"/>
        </w:rPr>
        <w:t>),</w:t>
      </w:r>
    </w:p>
    <w:p w:rsidR="00292B25" w:rsidRDefault="00292B25" w:rsidP="00703A20">
      <w:pPr>
        <w:rPr>
          <w:rFonts w:cs="Arial"/>
          <w:sz w:val="20"/>
        </w:rPr>
      </w:pPr>
      <w:r w:rsidRPr="006368D9">
        <w:rPr>
          <w:rFonts w:cs="Arial"/>
          <w:sz w:val="20"/>
        </w:rPr>
        <w:t>zastoupený na základě zmocnění níže podepsanými osobami</w:t>
      </w:r>
      <w:r>
        <w:rPr>
          <w:rFonts w:cs="Arial"/>
          <w:sz w:val="20"/>
        </w:rPr>
        <w:t>.</w:t>
      </w:r>
    </w:p>
    <w:p w:rsidR="00292B25" w:rsidRDefault="00292B25" w:rsidP="00703A20">
      <w:pPr>
        <w:rPr>
          <w:rFonts w:cs="Arial"/>
          <w:sz w:val="20"/>
        </w:rPr>
      </w:pPr>
    </w:p>
    <w:p w:rsidR="00292B25" w:rsidRPr="001A2433" w:rsidRDefault="00292B25" w:rsidP="00703A20">
      <w:pPr>
        <w:rPr>
          <w:rFonts w:cs="Arial"/>
          <w:sz w:val="20"/>
        </w:rPr>
      </w:pPr>
      <w:r w:rsidRPr="001A2433">
        <w:rPr>
          <w:rFonts w:cs="Arial"/>
          <w:sz w:val="20"/>
        </w:rPr>
        <w:t xml:space="preserve">Pracoviště: </w:t>
      </w:r>
      <w:r w:rsidRPr="001A2433">
        <w:rPr>
          <w:sz w:val="20"/>
          <w:szCs w:val="20"/>
        </w:rPr>
        <w:t>Kooperativa pojišťovna, a.s., Vienna Insurance Group,</w:t>
      </w:r>
      <w:r w:rsidRPr="001A2433">
        <w:rPr>
          <w:rFonts w:cs="Arial"/>
          <w:sz w:val="20"/>
        </w:rPr>
        <w:t xml:space="preserve"> Zámecká 19, Ostrava, PSČ 702 00</w:t>
      </w:r>
    </w:p>
    <w:p w:rsidR="00292B25" w:rsidRDefault="00292B25" w:rsidP="00D7357B">
      <w:pPr>
        <w:rPr>
          <w:rFonts w:cs="Arial"/>
          <w:sz w:val="20"/>
        </w:rPr>
      </w:pPr>
    </w:p>
    <w:p w:rsidR="009F23F6" w:rsidRDefault="009F23F6" w:rsidP="00D7357B">
      <w:pPr>
        <w:rPr>
          <w:rFonts w:cs="Arial"/>
          <w:sz w:val="20"/>
        </w:rPr>
      </w:pPr>
    </w:p>
    <w:p w:rsidR="009F23F6" w:rsidRPr="006368D9" w:rsidRDefault="009F23F6" w:rsidP="00D7357B">
      <w:pPr>
        <w:rPr>
          <w:rFonts w:cs="Arial"/>
          <w:sz w:val="20"/>
        </w:rPr>
      </w:pPr>
    </w:p>
    <w:p w:rsidR="00292B25" w:rsidRPr="006368D9" w:rsidRDefault="00292B25" w:rsidP="00D7357B">
      <w:pPr>
        <w:rPr>
          <w:rFonts w:cs="Arial"/>
          <w:sz w:val="20"/>
        </w:rPr>
      </w:pPr>
    </w:p>
    <w:p w:rsidR="00292B25" w:rsidRPr="006368D9" w:rsidRDefault="00292B25" w:rsidP="00D7357B">
      <w:pPr>
        <w:pStyle w:val="Zkladntext32"/>
        <w:tabs>
          <w:tab w:val="clear" w:pos="-720"/>
        </w:tabs>
        <w:spacing w:line="240" w:lineRule="auto"/>
        <w:rPr>
          <w:rFonts w:ascii="Koop Office" w:hAnsi="Koop Office" w:cs="Arial"/>
        </w:rPr>
      </w:pPr>
      <w:r w:rsidRPr="006368D9">
        <w:rPr>
          <w:rFonts w:ascii="Koop Office" w:hAnsi="Koop Office" w:cs="Arial"/>
        </w:rPr>
        <w:t>a</w:t>
      </w:r>
    </w:p>
    <w:p w:rsidR="00292B25" w:rsidRDefault="00292B25" w:rsidP="00D7357B">
      <w:pPr>
        <w:rPr>
          <w:rFonts w:cs="Arial"/>
          <w:sz w:val="20"/>
        </w:rPr>
      </w:pPr>
    </w:p>
    <w:p w:rsidR="009F23F6" w:rsidRDefault="009F23F6" w:rsidP="00D7357B">
      <w:pPr>
        <w:rPr>
          <w:rFonts w:cs="Arial"/>
          <w:sz w:val="20"/>
        </w:rPr>
      </w:pPr>
    </w:p>
    <w:p w:rsidR="009F23F6" w:rsidRDefault="009F23F6" w:rsidP="00D7357B">
      <w:pPr>
        <w:rPr>
          <w:rFonts w:cs="Arial"/>
          <w:sz w:val="20"/>
        </w:rPr>
      </w:pPr>
    </w:p>
    <w:p w:rsidR="00292B25" w:rsidRPr="006368D9" w:rsidRDefault="00292B25" w:rsidP="00D7357B">
      <w:pPr>
        <w:rPr>
          <w:rFonts w:cs="Arial"/>
          <w:sz w:val="20"/>
        </w:rPr>
      </w:pPr>
    </w:p>
    <w:p w:rsidR="009F23F6" w:rsidRPr="001A2433" w:rsidRDefault="009F23F6" w:rsidP="009F23F6">
      <w:pPr>
        <w:jc w:val="both"/>
        <w:rPr>
          <w:b/>
          <w:sz w:val="32"/>
        </w:rPr>
      </w:pPr>
      <w:r>
        <w:rPr>
          <w:b/>
          <w:sz w:val="32"/>
        </w:rPr>
        <w:t>Technické služby Karviná, a.s.</w:t>
      </w:r>
    </w:p>
    <w:p w:rsidR="009F23F6" w:rsidRPr="001A2433" w:rsidRDefault="009F23F6" w:rsidP="009F23F6">
      <w:pPr>
        <w:jc w:val="both"/>
        <w:rPr>
          <w:b/>
        </w:rPr>
      </w:pPr>
      <w:r w:rsidRPr="001A2433">
        <w:rPr>
          <w:b/>
        </w:rPr>
        <w:t xml:space="preserve">se sídlem </w:t>
      </w:r>
      <w:r>
        <w:rPr>
          <w:b/>
        </w:rPr>
        <w:t>Karviná-Nové Město, Bohumínská 1878, PSČ 735 06</w:t>
      </w:r>
    </w:p>
    <w:p w:rsidR="009F23F6" w:rsidRDefault="009F23F6" w:rsidP="009F23F6">
      <w:pPr>
        <w:jc w:val="both"/>
        <w:rPr>
          <w:b/>
        </w:rPr>
      </w:pPr>
      <w:r w:rsidRPr="009F23F6">
        <w:rPr>
          <w:b/>
        </w:rPr>
        <w:t>IČO: 65138082</w:t>
      </w:r>
    </w:p>
    <w:p w:rsidR="009F23F6" w:rsidRPr="003027A0" w:rsidRDefault="009F23F6" w:rsidP="009F23F6">
      <w:pPr>
        <w:rPr>
          <w:sz w:val="20"/>
          <w:szCs w:val="20"/>
        </w:rPr>
      </w:pPr>
      <w:r w:rsidRPr="003027A0">
        <w:rPr>
          <w:sz w:val="20"/>
          <w:szCs w:val="20"/>
        </w:rPr>
        <w:t xml:space="preserve">zapsaný(á) v obchodním rejstříku vedeném Krajským soudem v Ostravě, sp. zn. </w:t>
      </w:r>
      <w:r>
        <w:rPr>
          <w:sz w:val="20"/>
          <w:szCs w:val="20"/>
        </w:rPr>
        <w:t>B 1215</w:t>
      </w:r>
    </w:p>
    <w:p w:rsidR="00292B25" w:rsidRPr="006368D9" w:rsidRDefault="00292B25" w:rsidP="009F23F6">
      <w:pPr>
        <w:jc w:val="both"/>
        <w:rPr>
          <w:rFonts w:cs="Arial"/>
          <w:bCs/>
          <w:sz w:val="20"/>
        </w:rPr>
      </w:pPr>
      <w:r w:rsidRPr="006368D9">
        <w:rPr>
          <w:rFonts w:cs="Arial"/>
          <w:bCs/>
          <w:sz w:val="20"/>
        </w:rPr>
        <w:t>(dále jen „</w:t>
      </w:r>
      <w:r w:rsidRPr="006368D9">
        <w:rPr>
          <w:rFonts w:cs="Arial"/>
          <w:b/>
          <w:sz w:val="20"/>
        </w:rPr>
        <w:t>pojistník</w:t>
      </w:r>
      <w:r w:rsidRPr="00157976">
        <w:rPr>
          <w:rFonts w:cs="Arial"/>
          <w:sz w:val="20"/>
        </w:rPr>
        <w:t>“</w:t>
      </w:r>
      <w:r w:rsidRPr="006368D9">
        <w:rPr>
          <w:rFonts w:cs="Arial"/>
          <w:bCs/>
          <w:sz w:val="20"/>
        </w:rPr>
        <w:t>)</w:t>
      </w:r>
      <w:r w:rsidR="00043BB6">
        <w:rPr>
          <w:rFonts w:cs="Arial"/>
          <w:bCs/>
          <w:sz w:val="20"/>
        </w:rPr>
        <w:t>,</w:t>
      </w:r>
    </w:p>
    <w:p w:rsidR="00292B25" w:rsidRPr="00E0155D" w:rsidRDefault="00292B25" w:rsidP="00A34B30">
      <w:pPr>
        <w:jc w:val="both"/>
        <w:rPr>
          <w:rFonts w:cs="Arial"/>
          <w:bCs/>
          <w:sz w:val="20"/>
        </w:rPr>
      </w:pPr>
      <w:r w:rsidRPr="00E6785B">
        <w:rPr>
          <w:rFonts w:cs="Arial"/>
          <w:bCs/>
          <w:sz w:val="20"/>
        </w:rPr>
        <w:t>jednající:</w:t>
      </w:r>
      <w:r w:rsidR="00820B04">
        <w:rPr>
          <w:rFonts w:cs="Arial"/>
          <w:bCs/>
          <w:sz w:val="20"/>
        </w:rPr>
        <w:t xml:space="preserve">   xxxxxxxxxxxxxxx</w:t>
      </w:r>
      <w:r w:rsidRPr="00E6785B">
        <w:rPr>
          <w:rFonts w:cs="Arial"/>
          <w:bCs/>
          <w:sz w:val="20"/>
        </w:rPr>
        <w:t>.</w:t>
      </w:r>
    </w:p>
    <w:p w:rsidR="00292B25" w:rsidRPr="006368D9" w:rsidRDefault="00292B25" w:rsidP="00B3199E">
      <w:pPr>
        <w:pStyle w:val="Styl10bZarovnatdobloku"/>
      </w:pPr>
    </w:p>
    <w:p w:rsidR="00292B25" w:rsidRPr="006368D9" w:rsidRDefault="00292B25" w:rsidP="00A34B30">
      <w:pPr>
        <w:jc w:val="both"/>
        <w:rPr>
          <w:rFonts w:cs="Arial"/>
          <w:b/>
          <w:sz w:val="20"/>
        </w:rPr>
      </w:pPr>
      <w:r w:rsidRPr="006368D9">
        <w:rPr>
          <w:rFonts w:cs="Arial"/>
          <w:b/>
          <w:sz w:val="20"/>
        </w:rPr>
        <w:t>Korespondenční adresa:</w:t>
      </w:r>
    </w:p>
    <w:p w:rsidR="009F23F6" w:rsidRPr="001A2433" w:rsidRDefault="00B95557" w:rsidP="009F23F6">
      <w:pPr>
        <w:rPr>
          <w:sz w:val="20"/>
          <w:u w:val="single"/>
        </w:rPr>
      </w:pPr>
      <w:r w:rsidRPr="00B95557">
        <w:rPr>
          <w:rFonts w:cs="Arial"/>
          <w:bCs/>
          <w:sz w:val="20"/>
          <w:szCs w:val="20"/>
        </w:rPr>
        <w:t>Korespondenční adresa pojistníka je totožná s výše uvedenou adresou pojistníka</w:t>
      </w:r>
      <w:r w:rsidR="009F23F6" w:rsidRPr="00B95557">
        <w:rPr>
          <w:bCs/>
          <w:sz w:val="20"/>
        </w:rPr>
        <w:t>,</w:t>
      </w:r>
    </w:p>
    <w:p w:rsidR="00292B25" w:rsidRPr="006368D9" w:rsidRDefault="00292B25" w:rsidP="00D7357B">
      <w:pPr>
        <w:rPr>
          <w:rFonts w:cs="Arial"/>
          <w:b/>
          <w:sz w:val="20"/>
        </w:rPr>
      </w:pPr>
    </w:p>
    <w:p w:rsidR="00292B25" w:rsidRDefault="00292B25" w:rsidP="00D7357B">
      <w:pPr>
        <w:rPr>
          <w:rFonts w:cs="Arial"/>
          <w:b/>
          <w:sz w:val="20"/>
        </w:rPr>
      </w:pPr>
    </w:p>
    <w:p w:rsidR="009F23F6" w:rsidRDefault="009F23F6" w:rsidP="00D7357B">
      <w:pPr>
        <w:rPr>
          <w:rFonts w:cs="Arial"/>
          <w:b/>
          <w:sz w:val="20"/>
        </w:rPr>
      </w:pPr>
    </w:p>
    <w:p w:rsidR="009F23F6" w:rsidRDefault="009F23F6" w:rsidP="00D7357B">
      <w:pPr>
        <w:rPr>
          <w:rFonts w:cs="Arial"/>
          <w:b/>
          <w:sz w:val="20"/>
        </w:rPr>
      </w:pPr>
    </w:p>
    <w:p w:rsidR="00292B25" w:rsidRPr="006368D9" w:rsidRDefault="00292B25" w:rsidP="00D7357B">
      <w:pPr>
        <w:ind w:left="284" w:hanging="284"/>
        <w:rPr>
          <w:rFonts w:cs="Arial"/>
          <w:sz w:val="20"/>
        </w:rPr>
      </w:pPr>
      <w:r w:rsidRPr="006368D9">
        <w:rPr>
          <w:rFonts w:cs="Arial"/>
          <w:sz w:val="20"/>
        </w:rPr>
        <w:t xml:space="preserve">uzavírají </w:t>
      </w:r>
    </w:p>
    <w:p w:rsidR="00292B25" w:rsidRDefault="00292B25" w:rsidP="00D7357B">
      <w:pPr>
        <w:pStyle w:val="Zkladntext32"/>
        <w:spacing w:line="240" w:lineRule="auto"/>
        <w:rPr>
          <w:rFonts w:ascii="Koop Office" w:hAnsi="Koop Office" w:cs="Arial"/>
        </w:rPr>
      </w:pPr>
    </w:p>
    <w:p w:rsidR="009F23F6" w:rsidRDefault="009F23F6" w:rsidP="00D7357B">
      <w:pPr>
        <w:pStyle w:val="Zkladntext32"/>
        <w:spacing w:line="240" w:lineRule="auto"/>
        <w:rPr>
          <w:rFonts w:ascii="Koop Office" w:hAnsi="Koop Office" w:cs="Arial"/>
        </w:rPr>
      </w:pPr>
    </w:p>
    <w:p w:rsidR="009F23F6" w:rsidRDefault="009F23F6" w:rsidP="00D7357B">
      <w:pPr>
        <w:pStyle w:val="Zkladntext32"/>
        <w:spacing w:line="240" w:lineRule="auto"/>
        <w:rPr>
          <w:rFonts w:ascii="Koop Office" w:hAnsi="Koop Office" w:cs="Arial"/>
        </w:rPr>
      </w:pPr>
    </w:p>
    <w:p w:rsidR="003A3192" w:rsidRDefault="003A3192" w:rsidP="003A3192">
      <w:pPr>
        <w:pStyle w:val="Zkladntext32"/>
        <w:spacing w:line="240" w:lineRule="auto"/>
        <w:jc w:val="both"/>
        <w:rPr>
          <w:rFonts w:ascii="Koop Office" w:hAnsi="Koop Office" w:cs="Arial"/>
        </w:rPr>
      </w:pPr>
      <w:r w:rsidRPr="006368D9">
        <w:rPr>
          <w:rFonts w:ascii="Koop Office" w:hAnsi="Koop Office" w:cs="Arial"/>
        </w:rPr>
        <w:t xml:space="preserve">ve smyslu zákona č. 89/2012 Sb., občanského zákoníku, </w:t>
      </w:r>
      <w:r>
        <w:rPr>
          <w:rFonts w:ascii="Koop Office" w:hAnsi="Koop Office" w:cs="Arial"/>
        </w:rPr>
        <w:t xml:space="preserve">tento dodatek, který </w:t>
      </w:r>
      <w:r w:rsidRPr="006368D9">
        <w:rPr>
          <w:rFonts w:ascii="Koop Office" w:hAnsi="Koop Office" w:cs="Arial"/>
        </w:rPr>
        <w:t>spolu s</w:t>
      </w:r>
      <w:r>
        <w:rPr>
          <w:rFonts w:ascii="Koop Office" w:hAnsi="Koop Office" w:cs="Arial"/>
        </w:rPr>
        <w:t xml:space="preserve"> výše uvedenou pojistnou smlouvou, </w:t>
      </w:r>
      <w:r w:rsidRPr="006368D9">
        <w:rPr>
          <w:rFonts w:ascii="Koop Office" w:hAnsi="Koop Office" w:cs="Arial"/>
        </w:rPr>
        <w:t>pojistnými podmínkami pojistitele a přílohami, na které se</w:t>
      </w:r>
      <w:r>
        <w:rPr>
          <w:rFonts w:ascii="Koop Office" w:hAnsi="Koop Office" w:cs="Arial"/>
        </w:rPr>
        <w:t xml:space="preserve"> pojistná smlouva (ve znění tohoto dodatku)</w:t>
      </w:r>
      <w:r w:rsidRPr="006368D9">
        <w:rPr>
          <w:rFonts w:ascii="Koop Office" w:hAnsi="Koop Office" w:cs="Arial"/>
        </w:rPr>
        <w:t xml:space="preserve"> odvolává, tvoří nedílný celek.</w:t>
      </w:r>
    </w:p>
    <w:p w:rsidR="00B32E91" w:rsidRPr="006368D9" w:rsidRDefault="00B32E91" w:rsidP="00B32E91">
      <w:pPr>
        <w:rPr>
          <w:rFonts w:cs="Arial"/>
          <w:sz w:val="20"/>
        </w:rPr>
      </w:pPr>
    </w:p>
    <w:p w:rsidR="00B32E91" w:rsidRDefault="00B32E91" w:rsidP="004D2D44">
      <w:pPr>
        <w:pStyle w:val="Styl10bTunZarovnatdobloku"/>
        <w:numPr>
          <w:ilvl w:val="0"/>
          <w:numId w:val="0"/>
        </w:numPr>
        <w:ind w:left="425"/>
      </w:pPr>
    </w:p>
    <w:p w:rsidR="00185764" w:rsidRDefault="00185764" w:rsidP="004D2D44">
      <w:pPr>
        <w:pStyle w:val="Styl10bTunZarovnatdobloku"/>
        <w:numPr>
          <w:ilvl w:val="0"/>
          <w:numId w:val="0"/>
        </w:numPr>
        <w:ind w:left="425"/>
      </w:pPr>
    </w:p>
    <w:p w:rsidR="00B95557" w:rsidRDefault="00B95557" w:rsidP="004D2D44">
      <w:pPr>
        <w:pStyle w:val="Styl10bTunZarovnatdobloku"/>
        <w:numPr>
          <w:ilvl w:val="0"/>
          <w:numId w:val="0"/>
        </w:numPr>
        <w:ind w:left="425"/>
      </w:pPr>
    </w:p>
    <w:p w:rsidR="00062C7A" w:rsidRDefault="00062C7A" w:rsidP="00062C7A">
      <w:pPr>
        <w:tabs>
          <w:tab w:val="left" w:pos="-720"/>
        </w:tabs>
        <w:jc w:val="both"/>
        <w:rPr>
          <w:rFonts w:cs="Arial"/>
          <w:sz w:val="20"/>
        </w:rPr>
      </w:pPr>
    </w:p>
    <w:p w:rsidR="00B95557" w:rsidRDefault="00B95557" w:rsidP="00062C7A">
      <w:pPr>
        <w:tabs>
          <w:tab w:val="left" w:pos="-720"/>
        </w:tabs>
        <w:jc w:val="both"/>
        <w:rPr>
          <w:rFonts w:cs="Arial"/>
          <w:sz w:val="20"/>
        </w:rPr>
      </w:pPr>
      <w:r w:rsidRPr="00B95557">
        <w:rPr>
          <w:rFonts w:cs="Arial"/>
          <w:sz w:val="20"/>
        </w:rPr>
        <w:t>Výše uvedená pojistná smlouva (včetně výše uvedených údajů o výše uvedených subjektech) nově zní takto</w:t>
      </w:r>
      <w:r w:rsidRPr="00B95557">
        <w:rPr>
          <w:rFonts w:cs="Arial"/>
          <w:sz w:val="20"/>
          <w:vertAlign w:val="superscript"/>
        </w:rPr>
        <w:t>*</w:t>
      </w:r>
      <w:r w:rsidRPr="00B95557">
        <w:rPr>
          <w:rFonts w:cs="Arial"/>
          <w:sz w:val="20"/>
        </w:rPr>
        <w:t>:</w:t>
      </w:r>
      <w:r>
        <w:rPr>
          <w:rFonts w:cs="Arial"/>
          <w:sz w:val="20"/>
        </w:rPr>
        <w:t xml:space="preserve"> </w:t>
      </w:r>
    </w:p>
    <w:p w:rsidR="0018148A" w:rsidRPr="000A7B53" w:rsidRDefault="0018148A" w:rsidP="00062C7A">
      <w:pPr>
        <w:tabs>
          <w:tab w:val="left" w:pos="-720"/>
        </w:tabs>
        <w:spacing w:before="120"/>
        <w:jc w:val="both"/>
        <w:rPr>
          <w:sz w:val="20"/>
          <w:szCs w:val="20"/>
          <w:vertAlign w:val="superscript"/>
        </w:rPr>
      </w:pPr>
      <w:r w:rsidRPr="000A7B53">
        <w:rPr>
          <w:rFonts w:cs="Arial"/>
          <w:sz w:val="20"/>
          <w:vertAlign w:val="superscript"/>
        </w:rPr>
        <w:t>* pokud se v tomto novém znění používá pojem „tento dodatek“, považuje se za něj tento dodatek</w:t>
      </w:r>
    </w:p>
    <w:p w:rsidR="000B48B7" w:rsidRPr="001F4743" w:rsidRDefault="000B48B7" w:rsidP="000B48B7">
      <w:pPr>
        <w:numPr>
          <w:ilvl w:val="0"/>
          <w:numId w:val="30"/>
        </w:numPr>
        <w:tabs>
          <w:tab w:val="clear" w:pos="720"/>
          <w:tab w:val="num" w:pos="360"/>
        </w:tabs>
        <w:spacing w:before="360"/>
        <w:ind w:left="340" w:hanging="340"/>
        <w:jc w:val="both"/>
        <w:rPr>
          <w:b/>
          <w:sz w:val="20"/>
          <w:szCs w:val="20"/>
        </w:rPr>
      </w:pPr>
      <w:r w:rsidRPr="001F4743">
        <w:rPr>
          <w:b/>
          <w:sz w:val="20"/>
          <w:szCs w:val="20"/>
        </w:rPr>
        <w:lastRenderedPageBreak/>
        <w:t>Článek I. (Úvodní ustanovení) nově zní:</w:t>
      </w:r>
    </w:p>
    <w:p w:rsidR="00292B25" w:rsidRPr="006368D9" w:rsidRDefault="00292B25" w:rsidP="000B48B7">
      <w:pPr>
        <w:spacing w:before="240"/>
        <w:jc w:val="center"/>
        <w:rPr>
          <w:rFonts w:cs="Arial"/>
          <w:b/>
          <w:sz w:val="24"/>
        </w:rPr>
      </w:pPr>
      <w:r w:rsidRPr="006368D9">
        <w:rPr>
          <w:rFonts w:cs="Arial"/>
          <w:b/>
          <w:sz w:val="24"/>
        </w:rPr>
        <w:t>Článek I.</w:t>
      </w:r>
    </w:p>
    <w:p w:rsidR="00292B25" w:rsidRDefault="00292B25" w:rsidP="00D7357B">
      <w:pPr>
        <w:jc w:val="center"/>
        <w:rPr>
          <w:rFonts w:cs="Arial"/>
          <w:b/>
          <w:sz w:val="24"/>
        </w:rPr>
      </w:pPr>
      <w:r w:rsidRPr="006368D9">
        <w:rPr>
          <w:rFonts w:cs="Arial"/>
          <w:b/>
          <w:sz w:val="24"/>
        </w:rPr>
        <w:t>Úvodní ustanovení</w:t>
      </w:r>
    </w:p>
    <w:p w:rsidR="003D0AF6" w:rsidRPr="003D0AF6" w:rsidRDefault="003D0AF6" w:rsidP="009D0196">
      <w:pPr>
        <w:numPr>
          <w:ilvl w:val="0"/>
          <w:numId w:val="30"/>
        </w:numPr>
        <w:tabs>
          <w:tab w:val="clear" w:pos="720"/>
          <w:tab w:val="num" w:pos="360"/>
        </w:tabs>
        <w:spacing w:before="100"/>
        <w:ind w:left="340" w:hanging="340"/>
        <w:jc w:val="both"/>
        <w:rPr>
          <w:rFonts w:cs="Arial"/>
          <w:sz w:val="20"/>
          <w:szCs w:val="20"/>
        </w:rPr>
      </w:pPr>
      <w:r w:rsidRPr="003D0AF6">
        <w:rPr>
          <w:b/>
          <w:sz w:val="20"/>
          <w:szCs w:val="20"/>
        </w:rPr>
        <w:t>V Článku I. (Úvodní ustanovení) se ruší ujednání bodu 3. a nahrazuje se následujícím zněním:</w:t>
      </w:r>
    </w:p>
    <w:p w:rsidR="00292B25" w:rsidRPr="006368D9" w:rsidRDefault="00292B25" w:rsidP="00245923">
      <w:pPr>
        <w:keepNext/>
        <w:numPr>
          <w:ilvl w:val="0"/>
          <w:numId w:val="13"/>
        </w:numPr>
        <w:tabs>
          <w:tab w:val="left" w:pos="-1418"/>
        </w:tabs>
        <w:spacing w:before="120"/>
        <w:jc w:val="both"/>
        <w:rPr>
          <w:rFonts w:cs="Arial"/>
          <w:sz w:val="20"/>
        </w:rPr>
      </w:pPr>
      <w:r>
        <w:rPr>
          <w:rFonts w:cs="Arial"/>
          <w:sz w:val="20"/>
        </w:rPr>
        <w:t>Pojištěným</w:t>
      </w:r>
      <w:r w:rsidRPr="006368D9">
        <w:rPr>
          <w:rFonts w:cs="Arial"/>
          <w:sz w:val="20"/>
        </w:rPr>
        <w:t xml:space="preserve"> je</w:t>
      </w:r>
      <w:r w:rsidR="009F23F6">
        <w:rPr>
          <w:rFonts w:cs="Arial"/>
          <w:sz w:val="20"/>
        </w:rPr>
        <w:t xml:space="preserve"> pojistník.</w:t>
      </w:r>
    </w:p>
    <w:p w:rsidR="00292B25" w:rsidRDefault="00292B25" w:rsidP="00877895">
      <w:pPr>
        <w:keepNext/>
        <w:numPr>
          <w:ilvl w:val="0"/>
          <w:numId w:val="13"/>
        </w:numPr>
        <w:tabs>
          <w:tab w:val="left" w:pos="-1418"/>
        </w:tabs>
        <w:spacing w:before="120"/>
        <w:jc w:val="both"/>
        <w:rPr>
          <w:rFonts w:cs="Arial"/>
          <w:sz w:val="20"/>
        </w:rPr>
      </w:pPr>
      <w:r w:rsidRPr="00EC7610">
        <w:rPr>
          <w:rFonts w:cs="Arial"/>
          <w:sz w:val="20"/>
        </w:rPr>
        <w:t>K tomuto pojištění se vztahují: Všeobecné pojistné podmínky (dále jen „VPP“), Zvláštní pojistné podmínky (dále jen „ZPP“) a Dodatkové pojistné podmínky (dále jen „DPP“).</w:t>
      </w:r>
    </w:p>
    <w:p w:rsidR="00292B25" w:rsidRPr="006368D9" w:rsidRDefault="00292B25" w:rsidP="00DC6379">
      <w:pPr>
        <w:pStyle w:val="Styl10bTunZarovnatdobloku"/>
      </w:pPr>
      <w:r w:rsidRPr="006368D9">
        <w:t xml:space="preserve">Všeobecné pojistné podmínky </w:t>
      </w:r>
    </w:p>
    <w:p w:rsidR="00292B25" w:rsidRPr="006368D9" w:rsidRDefault="00292B25" w:rsidP="00B3199E">
      <w:pPr>
        <w:pStyle w:val="Styl10bZarovnatdobloku"/>
      </w:pPr>
      <w:r>
        <w:tab/>
      </w:r>
      <w:r w:rsidRPr="006368D9">
        <w:t>VPP P-100/14 - pro pojištění majetku a odpovědnosti</w:t>
      </w:r>
    </w:p>
    <w:p w:rsidR="00292B25" w:rsidRDefault="00292B25" w:rsidP="00DC6379">
      <w:pPr>
        <w:keepNext/>
        <w:tabs>
          <w:tab w:val="left" w:pos="-720"/>
          <w:tab w:val="left" w:pos="426"/>
        </w:tabs>
        <w:spacing w:before="120"/>
        <w:rPr>
          <w:rFonts w:cs="Arial"/>
          <w:b/>
          <w:bCs/>
          <w:sz w:val="20"/>
        </w:rPr>
      </w:pPr>
      <w:r>
        <w:rPr>
          <w:rFonts w:cs="Arial"/>
          <w:b/>
          <w:bCs/>
          <w:sz w:val="20"/>
        </w:rPr>
        <w:tab/>
      </w:r>
      <w:r w:rsidRPr="006368D9">
        <w:rPr>
          <w:rFonts w:cs="Arial"/>
          <w:b/>
          <w:bCs/>
          <w:sz w:val="20"/>
        </w:rPr>
        <w:t>Zvláštní pojistné podmínky</w:t>
      </w:r>
    </w:p>
    <w:p w:rsidR="00292B25" w:rsidRPr="006368D9" w:rsidRDefault="00292B25" w:rsidP="00877895">
      <w:pPr>
        <w:keepNext/>
        <w:tabs>
          <w:tab w:val="left" w:pos="-720"/>
          <w:tab w:val="left" w:pos="426"/>
        </w:tabs>
        <w:ind w:left="426"/>
        <w:rPr>
          <w:rFonts w:cs="Arial"/>
          <w:b/>
          <w:sz w:val="20"/>
        </w:rPr>
      </w:pPr>
      <w:r w:rsidRPr="006368D9">
        <w:rPr>
          <w:rFonts w:cs="Arial"/>
          <w:bCs/>
          <w:sz w:val="20"/>
        </w:rPr>
        <w:t>ZPP</w:t>
      </w:r>
      <w:r w:rsidRPr="006368D9">
        <w:rPr>
          <w:rFonts w:cs="Arial"/>
          <w:sz w:val="20"/>
        </w:rPr>
        <w:t xml:space="preserve"> P-600/14 - pro pojištění odpovědnosti za újmu</w:t>
      </w:r>
    </w:p>
    <w:p w:rsidR="00292B25" w:rsidRPr="006368D9" w:rsidRDefault="00292B25" w:rsidP="00F94C94">
      <w:pPr>
        <w:keepNext/>
        <w:tabs>
          <w:tab w:val="left" w:pos="426"/>
        </w:tabs>
        <w:spacing w:before="100"/>
        <w:rPr>
          <w:rFonts w:cs="Arial"/>
          <w:b/>
          <w:bCs/>
          <w:sz w:val="20"/>
        </w:rPr>
      </w:pPr>
      <w:r>
        <w:rPr>
          <w:rFonts w:cs="Arial"/>
          <w:b/>
          <w:bCs/>
          <w:sz w:val="20"/>
        </w:rPr>
        <w:tab/>
      </w:r>
      <w:r w:rsidRPr="006368D9">
        <w:rPr>
          <w:rFonts w:cs="Arial"/>
          <w:b/>
          <w:bCs/>
          <w:sz w:val="20"/>
        </w:rPr>
        <w:t>Dodatkové pojistné podmínky</w:t>
      </w:r>
    </w:p>
    <w:p w:rsidR="00292B25" w:rsidRPr="006368D9" w:rsidRDefault="00292B25" w:rsidP="00877895">
      <w:pPr>
        <w:keepNext/>
        <w:tabs>
          <w:tab w:val="left" w:pos="426"/>
        </w:tabs>
        <w:rPr>
          <w:rFonts w:cs="Arial"/>
          <w:sz w:val="20"/>
        </w:rPr>
      </w:pPr>
      <w:r>
        <w:rPr>
          <w:rFonts w:cs="Arial"/>
          <w:sz w:val="20"/>
        </w:rPr>
        <w:tab/>
      </w:r>
      <w:r w:rsidRPr="006368D9">
        <w:rPr>
          <w:rFonts w:cs="Arial"/>
          <w:sz w:val="20"/>
        </w:rPr>
        <w:t>DPP P-520/14 - pro pojištění hospodářských rizik, sestávající se z následujících doložek:</w:t>
      </w:r>
    </w:p>
    <w:p w:rsidR="00292B25" w:rsidRPr="006368D9" w:rsidRDefault="00292B25" w:rsidP="00F94C94">
      <w:pPr>
        <w:keepNext/>
        <w:tabs>
          <w:tab w:val="left" w:pos="426"/>
        </w:tabs>
        <w:spacing w:before="100"/>
        <w:rPr>
          <w:rFonts w:cs="Arial"/>
          <w:b/>
          <w:sz w:val="20"/>
        </w:rPr>
      </w:pPr>
      <w:r>
        <w:rPr>
          <w:rFonts w:cs="Arial"/>
          <w:b/>
          <w:sz w:val="20"/>
        </w:rPr>
        <w:tab/>
      </w:r>
      <w:r w:rsidRPr="006368D9">
        <w:rPr>
          <w:rFonts w:cs="Arial"/>
          <w:b/>
          <w:sz w:val="20"/>
        </w:rPr>
        <w:t>Odpovědnost za újmu</w:t>
      </w:r>
    </w:p>
    <w:p w:rsidR="00292B25" w:rsidRPr="00C5341D" w:rsidRDefault="00292B25" w:rsidP="008E382B">
      <w:pPr>
        <w:tabs>
          <w:tab w:val="left" w:pos="426"/>
          <w:tab w:val="left" w:pos="1304"/>
          <w:tab w:val="left" w:pos="1389"/>
        </w:tabs>
        <w:ind w:left="437" w:hanging="40"/>
        <w:jc w:val="both"/>
        <w:rPr>
          <w:rFonts w:cs="Arial"/>
          <w:b/>
          <w:bCs/>
          <w:sz w:val="20"/>
          <w:szCs w:val="20"/>
        </w:rPr>
      </w:pPr>
      <w:r w:rsidRPr="00C5341D">
        <w:rPr>
          <w:rFonts w:cs="Arial"/>
          <w:b/>
          <w:bCs/>
          <w:color w:val="FF00FF"/>
          <w:sz w:val="20"/>
          <w:szCs w:val="20"/>
        </w:rPr>
        <w:tab/>
      </w:r>
      <w:r w:rsidRPr="00C5341D">
        <w:rPr>
          <w:rFonts w:cs="Arial"/>
          <w:b/>
          <w:bCs/>
          <w:sz w:val="20"/>
          <w:szCs w:val="20"/>
        </w:rPr>
        <w:t>DODP102 - Pojištění obecné odpovědnosti za újmu a pojištění odpovědnosti za újmu způsobenou vadou výrobku a vadou práce po předání - Základní rozsah pojištění (1</w:t>
      </w:r>
      <w:r w:rsidR="00C5341D" w:rsidRPr="00C5341D">
        <w:rPr>
          <w:rFonts w:cs="Arial"/>
          <w:b/>
          <w:bCs/>
          <w:sz w:val="20"/>
          <w:szCs w:val="20"/>
        </w:rPr>
        <w:t>612</w:t>
      </w:r>
      <w:r w:rsidRPr="00C5341D">
        <w:rPr>
          <w:rFonts w:cs="Arial"/>
          <w:b/>
          <w:bCs/>
          <w:sz w:val="20"/>
          <w:szCs w:val="20"/>
        </w:rPr>
        <w:t>)</w:t>
      </w:r>
    </w:p>
    <w:p w:rsidR="008E382B" w:rsidRDefault="008E382B" w:rsidP="008E382B">
      <w:pPr>
        <w:tabs>
          <w:tab w:val="left" w:pos="426"/>
          <w:tab w:val="left" w:pos="1304"/>
          <w:tab w:val="left" w:pos="1389"/>
        </w:tabs>
        <w:ind w:left="482" w:hanging="57"/>
        <w:jc w:val="both"/>
        <w:rPr>
          <w:rFonts w:cs="Arial"/>
          <w:b/>
          <w:sz w:val="20"/>
        </w:rPr>
      </w:pPr>
      <w:r w:rsidRPr="00C5341D">
        <w:rPr>
          <w:rFonts w:cs="Arial"/>
          <w:b/>
          <w:sz w:val="20"/>
        </w:rPr>
        <w:t>DODP103 - Cizí věci převzaté - Rozšíření rozsahu pojištění (1</w:t>
      </w:r>
      <w:r w:rsidR="00C5341D">
        <w:rPr>
          <w:rFonts w:cs="Arial"/>
          <w:b/>
          <w:sz w:val="20"/>
        </w:rPr>
        <w:t>606</w:t>
      </w:r>
      <w:r w:rsidRPr="00C5341D">
        <w:rPr>
          <w:rFonts w:cs="Arial"/>
          <w:b/>
          <w:sz w:val="20"/>
        </w:rPr>
        <w:t>)</w:t>
      </w:r>
    </w:p>
    <w:p w:rsidR="00FD7C17" w:rsidRPr="006368D9" w:rsidRDefault="00FD7C17" w:rsidP="00FD7C17">
      <w:pPr>
        <w:tabs>
          <w:tab w:val="left" w:pos="-1440"/>
          <w:tab w:val="left" w:pos="426"/>
        </w:tabs>
        <w:rPr>
          <w:rFonts w:cs="Arial"/>
          <w:bCs/>
          <w:sz w:val="20"/>
        </w:rPr>
      </w:pPr>
      <w:r>
        <w:rPr>
          <w:rFonts w:cs="Arial"/>
          <w:b/>
          <w:color w:val="FF00FF"/>
          <w:sz w:val="20"/>
        </w:rPr>
        <w:tab/>
      </w:r>
      <w:r w:rsidRPr="006368D9">
        <w:rPr>
          <w:rFonts w:cs="Arial"/>
          <w:bCs/>
          <w:sz w:val="20"/>
        </w:rPr>
        <w:t xml:space="preserve">DODP104 - Cizí věci užívané - Rozšíření rozsahu pojištění </w:t>
      </w:r>
      <w:r w:rsidRPr="006368D9">
        <w:rPr>
          <w:rFonts w:cs="Arial"/>
          <w:sz w:val="20"/>
        </w:rPr>
        <w:t>(1401)</w:t>
      </w:r>
    </w:p>
    <w:p w:rsidR="00292B25" w:rsidRPr="006368D9" w:rsidRDefault="00292B25" w:rsidP="00F344FA">
      <w:pPr>
        <w:tabs>
          <w:tab w:val="left" w:pos="-1440"/>
          <w:tab w:val="left" w:pos="426"/>
        </w:tabs>
        <w:ind w:left="440" w:hanging="440"/>
        <w:jc w:val="both"/>
        <w:rPr>
          <w:rFonts w:cs="Arial"/>
          <w:bCs/>
          <w:sz w:val="20"/>
        </w:rPr>
      </w:pPr>
      <w:r>
        <w:rPr>
          <w:rFonts w:cs="Arial"/>
          <w:b/>
          <w:color w:val="FF00FF"/>
          <w:sz w:val="20"/>
        </w:rPr>
        <w:tab/>
      </w:r>
      <w:r w:rsidRPr="006368D9">
        <w:rPr>
          <w:rFonts w:cs="Arial"/>
          <w:bCs/>
          <w:sz w:val="20"/>
        </w:rPr>
        <w:t xml:space="preserve">DODP105 - Náklady zdravotní pojišťovny </w:t>
      </w:r>
      <w:r>
        <w:rPr>
          <w:rFonts w:cs="Arial"/>
          <w:bCs/>
          <w:sz w:val="20"/>
        </w:rPr>
        <w:t xml:space="preserve">a regresy dávek nemocenského pojištění </w:t>
      </w:r>
      <w:r w:rsidRPr="006368D9">
        <w:rPr>
          <w:rFonts w:cs="Arial"/>
          <w:bCs/>
          <w:sz w:val="20"/>
        </w:rPr>
        <w:t xml:space="preserve">- Rozšíření rozsahu pojištění </w:t>
      </w:r>
      <w:r w:rsidRPr="006368D9">
        <w:rPr>
          <w:rFonts w:cs="Arial"/>
          <w:sz w:val="20"/>
        </w:rPr>
        <w:t>(1401)</w:t>
      </w:r>
    </w:p>
    <w:p w:rsidR="003C6A0E" w:rsidRDefault="003C6A0E" w:rsidP="003C6A0E">
      <w:pPr>
        <w:tabs>
          <w:tab w:val="left" w:pos="426"/>
        </w:tabs>
        <w:rPr>
          <w:rFonts w:cs="Arial"/>
          <w:b/>
          <w:sz w:val="20"/>
        </w:rPr>
      </w:pPr>
      <w:r w:rsidRPr="00C5341D">
        <w:rPr>
          <w:rFonts w:cs="Arial"/>
          <w:b/>
          <w:color w:val="FF00FF"/>
          <w:sz w:val="20"/>
        </w:rPr>
        <w:tab/>
      </w:r>
      <w:r w:rsidRPr="00C5341D">
        <w:rPr>
          <w:b/>
          <w:sz w:val="20"/>
          <w:szCs w:val="20"/>
        </w:rPr>
        <w:t xml:space="preserve">DODP109 </w:t>
      </w:r>
      <w:r w:rsidRPr="00C5341D">
        <w:rPr>
          <w:rFonts w:cs="Arial"/>
          <w:b/>
          <w:bCs/>
          <w:sz w:val="20"/>
          <w:szCs w:val="20"/>
        </w:rPr>
        <w:t xml:space="preserve">- </w:t>
      </w:r>
      <w:r w:rsidRPr="00C5341D">
        <w:rPr>
          <w:b/>
          <w:sz w:val="20"/>
          <w:szCs w:val="20"/>
        </w:rPr>
        <w:t xml:space="preserve">Provoz pracovních strojů - Rozšíření rozsahu pojištění </w:t>
      </w:r>
      <w:r w:rsidRPr="00C5341D">
        <w:rPr>
          <w:rFonts w:cs="Arial"/>
          <w:b/>
          <w:sz w:val="20"/>
        </w:rPr>
        <w:t>(</w:t>
      </w:r>
      <w:r w:rsidR="00C5341D" w:rsidRPr="00C5341D">
        <w:rPr>
          <w:rFonts w:cs="Arial"/>
          <w:b/>
          <w:sz w:val="20"/>
        </w:rPr>
        <w:t>1412</w:t>
      </w:r>
      <w:r w:rsidRPr="00C5341D">
        <w:rPr>
          <w:rFonts w:cs="Arial"/>
          <w:b/>
          <w:sz w:val="20"/>
        </w:rPr>
        <w:t>)</w:t>
      </w:r>
    </w:p>
    <w:p w:rsidR="009F23F6" w:rsidRPr="00C5341D" w:rsidRDefault="009F23F6" w:rsidP="009F23F6">
      <w:pPr>
        <w:keepNext/>
        <w:tabs>
          <w:tab w:val="left" w:pos="-1440"/>
          <w:tab w:val="left" w:pos="426"/>
        </w:tabs>
        <w:ind w:left="426"/>
        <w:rPr>
          <w:rFonts w:cs="Arial"/>
          <w:b/>
          <w:bCs/>
          <w:sz w:val="20"/>
        </w:rPr>
      </w:pPr>
      <w:r w:rsidRPr="00C5341D">
        <w:rPr>
          <w:rFonts w:cs="Arial"/>
          <w:b/>
          <w:bCs/>
          <w:sz w:val="20"/>
        </w:rPr>
        <w:t>DODP111 - Čisté finanční škody - k pojištění obecné odpovědnosti za újmu - Rozšíření rozsahu pojištění (1</w:t>
      </w:r>
      <w:r w:rsidR="00C5341D" w:rsidRPr="00C5341D">
        <w:rPr>
          <w:rFonts w:cs="Arial"/>
          <w:b/>
          <w:bCs/>
          <w:sz w:val="20"/>
        </w:rPr>
        <w:t>704</w:t>
      </w:r>
      <w:r w:rsidRPr="00C5341D">
        <w:rPr>
          <w:rFonts w:cs="Arial"/>
          <w:b/>
          <w:bCs/>
          <w:sz w:val="20"/>
        </w:rPr>
        <w:t>)</w:t>
      </w:r>
    </w:p>
    <w:p w:rsidR="003C6A0E" w:rsidRDefault="003C6A0E" w:rsidP="003C6A0E">
      <w:pPr>
        <w:tabs>
          <w:tab w:val="left" w:pos="426"/>
        </w:tabs>
        <w:ind w:left="425"/>
        <w:jc w:val="both"/>
        <w:rPr>
          <w:rFonts w:cs="Arial"/>
          <w:sz w:val="20"/>
        </w:rPr>
      </w:pPr>
      <w:r w:rsidRPr="00056503">
        <w:rPr>
          <w:rFonts w:cs="Arial"/>
          <w:sz w:val="20"/>
        </w:rPr>
        <w:t>DODP121 - Odpovědnost obchodní korporace za újmu členům svých orgánů v souvislosti s výkonem jejich funkce včetně motorových vozidel - Rozšíření rozsahu pojištění (1412)</w:t>
      </w:r>
    </w:p>
    <w:p w:rsidR="00C5341D" w:rsidRDefault="00C5341D" w:rsidP="00C5341D">
      <w:pPr>
        <w:tabs>
          <w:tab w:val="left" w:pos="426"/>
        </w:tabs>
        <w:ind w:left="426"/>
        <w:rPr>
          <w:rFonts w:cs="Arial"/>
          <w:b/>
          <w:bCs/>
          <w:sz w:val="20"/>
          <w:szCs w:val="20"/>
        </w:rPr>
      </w:pPr>
      <w:r w:rsidRPr="00C5341D">
        <w:rPr>
          <w:rFonts w:cs="Arial"/>
          <w:b/>
          <w:bCs/>
          <w:sz w:val="20"/>
          <w:szCs w:val="20"/>
        </w:rPr>
        <w:t>DODP127 - Věci odložené a vnesené - Rozšíření rozsahu pojištění (1603)</w:t>
      </w:r>
    </w:p>
    <w:p w:rsidR="00C5341D" w:rsidRPr="00C5341D" w:rsidRDefault="00C5341D" w:rsidP="00C5341D">
      <w:pPr>
        <w:tabs>
          <w:tab w:val="left" w:pos="426"/>
        </w:tabs>
        <w:ind w:left="426"/>
        <w:rPr>
          <w:rFonts w:cs="Arial"/>
          <w:b/>
          <w:bCs/>
          <w:sz w:val="20"/>
          <w:szCs w:val="20"/>
        </w:rPr>
      </w:pPr>
      <w:r w:rsidRPr="00C5341D">
        <w:rPr>
          <w:rFonts w:cs="Arial"/>
          <w:b/>
          <w:bCs/>
          <w:sz w:val="20"/>
          <w:szCs w:val="20"/>
        </w:rPr>
        <w:t>DODP130 - Věci zaměstnanců - Rozšíření rozsahu pojištění (1603)</w:t>
      </w:r>
    </w:p>
    <w:p w:rsidR="00292B25" w:rsidRPr="006368D9" w:rsidRDefault="00292B25" w:rsidP="00F94C94">
      <w:pPr>
        <w:keepNext/>
        <w:tabs>
          <w:tab w:val="left" w:pos="426"/>
        </w:tabs>
        <w:spacing w:before="100"/>
        <w:rPr>
          <w:rFonts w:cs="Arial"/>
          <w:b/>
          <w:sz w:val="20"/>
          <w:szCs w:val="20"/>
        </w:rPr>
      </w:pPr>
      <w:r>
        <w:rPr>
          <w:rFonts w:cs="Arial"/>
          <w:b/>
          <w:sz w:val="20"/>
          <w:szCs w:val="20"/>
        </w:rPr>
        <w:tab/>
      </w:r>
      <w:r w:rsidRPr="006368D9">
        <w:rPr>
          <w:rFonts w:cs="Arial"/>
          <w:b/>
          <w:sz w:val="20"/>
          <w:szCs w:val="20"/>
        </w:rPr>
        <w:t>Obecné</w:t>
      </w:r>
    </w:p>
    <w:p w:rsidR="00292B25" w:rsidRPr="006368D9" w:rsidRDefault="00292B25" w:rsidP="00547E3D">
      <w:pPr>
        <w:tabs>
          <w:tab w:val="left" w:pos="426"/>
        </w:tabs>
        <w:rPr>
          <w:rFonts w:cs="Arial"/>
          <w:sz w:val="20"/>
          <w:szCs w:val="20"/>
        </w:rPr>
      </w:pPr>
      <w:r>
        <w:rPr>
          <w:rFonts w:cs="Arial"/>
          <w:b/>
          <w:color w:val="FF00FF"/>
          <w:sz w:val="20"/>
          <w:szCs w:val="20"/>
        </w:rPr>
        <w:tab/>
      </w:r>
      <w:r w:rsidRPr="006368D9">
        <w:rPr>
          <w:rFonts w:cs="Arial"/>
          <w:sz w:val="20"/>
          <w:szCs w:val="20"/>
        </w:rPr>
        <w:t>DOB10</w:t>
      </w:r>
      <w:r>
        <w:rPr>
          <w:rFonts w:cs="Arial"/>
          <w:sz w:val="20"/>
          <w:szCs w:val="20"/>
        </w:rPr>
        <w:t>1</w:t>
      </w:r>
      <w:r w:rsidRPr="006368D9">
        <w:rPr>
          <w:rFonts w:cs="Arial"/>
          <w:sz w:val="20"/>
          <w:szCs w:val="20"/>
        </w:rPr>
        <w:t xml:space="preserve"> </w:t>
      </w:r>
      <w:r>
        <w:rPr>
          <w:rFonts w:cs="Arial"/>
          <w:sz w:val="20"/>
          <w:szCs w:val="20"/>
        </w:rPr>
        <w:t>-</w:t>
      </w:r>
      <w:r w:rsidRPr="006368D9">
        <w:rPr>
          <w:rFonts w:cs="Arial"/>
          <w:sz w:val="20"/>
          <w:szCs w:val="20"/>
        </w:rPr>
        <w:t xml:space="preserve"> </w:t>
      </w:r>
      <w:r>
        <w:rPr>
          <w:rFonts w:cs="Arial"/>
          <w:sz w:val="20"/>
          <w:szCs w:val="20"/>
        </w:rPr>
        <w:t>Elektronická rizika - Výluka</w:t>
      </w:r>
      <w:r w:rsidRPr="006368D9">
        <w:rPr>
          <w:rFonts w:cs="Arial"/>
          <w:sz w:val="20"/>
          <w:szCs w:val="20"/>
        </w:rPr>
        <w:t xml:space="preserve"> (1401)</w:t>
      </w:r>
    </w:p>
    <w:p w:rsidR="00990898" w:rsidRPr="00EF65A7" w:rsidRDefault="00990898" w:rsidP="009D0196">
      <w:pPr>
        <w:numPr>
          <w:ilvl w:val="0"/>
          <w:numId w:val="30"/>
        </w:numPr>
        <w:tabs>
          <w:tab w:val="clear" w:pos="720"/>
          <w:tab w:val="num" w:pos="360"/>
        </w:tabs>
        <w:spacing w:before="240"/>
        <w:ind w:left="340" w:hanging="340"/>
        <w:jc w:val="both"/>
        <w:rPr>
          <w:b/>
          <w:sz w:val="20"/>
          <w:szCs w:val="20"/>
        </w:rPr>
      </w:pPr>
      <w:r w:rsidRPr="00EF65A7">
        <w:rPr>
          <w:b/>
          <w:sz w:val="20"/>
          <w:szCs w:val="20"/>
        </w:rPr>
        <w:t>Článek II. (Druhy a způsoby pojištění, předměty a rozsah pojištění) nově zní:</w:t>
      </w:r>
    </w:p>
    <w:p w:rsidR="00292B25" w:rsidRPr="006368D9" w:rsidRDefault="00292B25" w:rsidP="009655D6">
      <w:pPr>
        <w:spacing w:before="360"/>
        <w:jc w:val="center"/>
        <w:rPr>
          <w:rFonts w:cs="Arial"/>
          <w:b/>
          <w:bCs/>
          <w:sz w:val="24"/>
        </w:rPr>
      </w:pPr>
      <w:r w:rsidRPr="006368D9">
        <w:rPr>
          <w:rFonts w:cs="Arial"/>
          <w:b/>
          <w:bCs/>
          <w:sz w:val="24"/>
        </w:rPr>
        <w:t>Článek II.</w:t>
      </w:r>
    </w:p>
    <w:p w:rsidR="00292B25" w:rsidRDefault="00292B25" w:rsidP="00D7357B">
      <w:pPr>
        <w:jc w:val="center"/>
        <w:rPr>
          <w:b/>
          <w:bCs/>
          <w:sz w:val="24"/>
        </w:rPr>
      </w:pPr>
      <w:r w:rsidRPr="006368D9">
        <w:rPr>
          <w:b/>
          <w:bCs/>
          <w:sz w:val="24"/>
        </w:rPr>
        <w:t>Druhy a způsoby pojištění, předměty a rozsah pojištění</w:t>
      </w:r>
    </w:p>
    <w:p w:rsidR="00C5341D" w:rsidRPr="00C5341D" w:rsidRDefault="00C5341D" w:rsidP="009D0196">
      <w:pPr>
        <w:numPr>
          <w:ilvl w:val="0"/>
          <w:numId w:val="30"/>
        </w:numPr>
        <w:tabs>
          <w:tab w:val="clear" w:pos="720"/>
          <w:tab w:val="num" w:pos="360"/>
        </w:tabs>
        <w:spacing w:before="100"/>
        <w:ind w:left="340" w:hanging="340"/>
        <w:jc w:val="both"/>
        <w:rPr>
          <w:b/>
          <w:bCs/>
          <w:sz w:val="20"/>
          <w:szCs w:val="20"/>
        </w:rPr>
      </w:pPr>
      <w:r w:rsidRPr="003A409F">
        <w:rPr>
          <w:b/>
          <w:sz w:val="20"/>
          <w:szCs w:val="20"/>
        </w:rPr>
        <w:t xml:space="preserve">V Článku II. (Druhy a způsoby pojištění, předměty </w:t>
      </w:r>
      <w:r w:rsidRPr="003A409F">
        <w:rPr>
          <w:b/>
          <w:bCs/>
          <w:sz w:val="20"/>
          <w:szCs w:val="20"/>
        </w:rPr>
        <w:t xml:space="preserve">a rozsah </w:t>
      </w:r>
      <w:r w:rsidRPr="003A409F">
        <w:rPr>
          <w:b/>
          <w:sz w:val="20"/>
          <w:szCs w:val="20"/>
        </w:rPr>
        <w:t xml:space="preserve">pojištění) bodě </w:t>
      </w:r>
      <w:r>
        <w:rPr>
          <w:b/>
          <w:sz w:val="20"/>
          <w:szCs w:val="20"/>
        </w:rPr>
        <w:t>1</w:t>
      </w:r>
      <w:r w:rsidRPr="003A409F">
        <w:rPr>
          <w:b/>
          <w:sz w:val="20"/>
          <w:szCs w:val="20"/>
        </w:rPr>
        <w:t xml:space="preserve">. tabulce </w:t>
      </w:r>
      <w:r>
        <w:rPr>
          <w:b/>
          <w:bCs/>
          <w:sz w:val="20"/>
          <w:szCs w:val="20"/>
        </w:rPr>
        <w:t>1</w:t>
      </w:r>
      <w:r w:rsidRPr="003A409F">
        <w:rPr>
          <w:b/>
          <w:bCs/>
          <w:sz w:val="20"/>
          <w:szCs w:val="20"/>
        </w:rPr>
        <w:t>.1.1.</w:t>
      </w:r>
      <w:r w:rsidRPr="003A409F">
        <w:rPr>
          <w:b/>
          <w:sz w:val="20"/>
          <w:szCs w:val="20"/>
        </w:rPr>
        <w:t xml:space="preserve"> (</w:t>
      </w:r>
      <w:r>
        <w:rPr>
          <w:b/>
          <w:sz w:val="20"/>
          <w:szCs w:val="20"/>
        </w:rPr>
        <w:t>P</w:t>
      </w:r>
      <w:r w:rsidRPr="003A409F">
        <w:rPr>
          <w:b/>
          <w:sz w:val="20"/>
          <w:szCs w:val="20"/>
        </w:rPr>
        <w:t>ojištění</w:t>
      </w:r>
      <w:r>
        <w:rPr>
          <w:b/>
          <w:sz w:val="20"/>
          <w:szCs w:val="20"/>
        </w:rPr>
        <w:t xml:space="preserve"> odpovědnosti za újmu</w:t>
      </w:r>
      <w:r w:rsidRPr="003A409F">
        <w:rPr>
          <w:b/>
          <w:sz w:val="20"/>
          <w:szCs w:val="20"/>
        </w:rPr>
        <w:t xml:space="preserve">) se pod poř. č. 1. </w:t>
      </w:r>
      <w:r>
        <w:rPr>
          <w:b/>
          <w:sz w:val="20"/>
          <w:szCs w:val="20"/>
        </w:rPr>
        <w:t>mění Limit pojistného plnění</w:t>
      </w:r>
      <w:r w:rsidRPr="00C5341D">
        <w:rPr>
          <w:b/>
          <w:sz w:val="20"/>
          <w:szCs w:val="20"/>
          <w:vertAlign w:val="superscript"/>
        </w:rPr>
        <w:t>6)</w:t>
      </w:r>
      <w:r w:rsidRPr="003A409F">
        <w:rPr>
          <w:b/>
          <w:bCs/>
          <w:sz w:val="20"/>
          <w:szCs w:val="20"/>
        </w:rPr>
        <w:t>.</w:t>
      </w:r>
    </w:p>
    <w:p w:rsidR="00990898" w:rsidRPr="00C5341D" w:rsidRDefault="00990898" w:rsidP="009D0196">
      <w:pPr>
        <w:numPr>
          <w:ilvl w:val="0"/>
          <w:numId w:val="30"/>
        </w:numPr>
        <w:tabs>
          <w:tab w:val="clear" w:pos="720"/>
          <w:tab w:val="num" w:pos="360"/>
        </w:tabs>
        <w:spacing w:before="100"/>
        <w:ind w:left="340" w:hanging="340"/>
        <w:jc w:val="both"/>
        <w:rPr>
          <w:b/>
          <w:bCs/>
          <w:sz w:val="20"/>
        </w:rPr>
      </w:pPr>
      <w:r w:rsidRPr="00C5341D">
        <w:rPr>
          <w:b/>
          <w:bCs/>
          <w:sz w:val="20"/>
        </w:rPr>
        <w:t>v </w:t>
      </w:r>
      <w:r w:rsidR="009655D6" w:rsidRPr="00C5341D">
        <w:rPr>
          <w:b/>
          <w:bCs/>
          <w:sz w:val="20"/>
        </w:rPr>
        <w:t>Č</w:t>
      </w:r>
      <w:r w:rsidRPr="00C5341D">
        <w:rPr>
          <w:b/>
          <w:bCs/>
          <w:sz w:val="20"/>
        </w:rPr>
        <w:t xml:space="preserve">lánku II. </w:t>
      </w:r>
      <w:r w:rsidR="009D0196" w:rsidRPr="003A409F">
        <w:rPr>
          <w:b/>
          <w:sz w:val="20"/>
          <w:szCs w:val="20"/>
        </w:rPr>
        <w:t xml:space="preserve">(Druhy a způsoby pojištění, předměty </w:t>
      </w:r>
      <w:r w:rsidR="009D0196" w:rsidRPr="003A409F">
        <w:rPr>
          <w:b/>
          <w:bCs/>
          <w:sz w:val="20"/>
          <w:szCs w:val="20"/>
        </w:rPr>
        <w:t xml:space="preserve">a rozsah </w:t>
      </w:r>
      <w:r w:rsidR="009D0196" w:rsidRPr="003A409F">
        <w:rPr>
          <w:b/>
          <w:sz w:val="20"/>
          <w:szCs w:val="20"/>
        </w:rPr>
        <w:t xml:space="preserve">pojištění) </w:t>
      </w:r>
      <w:r w:rsidRPr="00C5341D">
        <w:rPr>
          <w:b/>
          <w:bCs/>
          <w:sz w:val="20"/>
        </w:rPr>
        <w:t xml:space="preserve">v tabulce č. </w:t>
      </w:r>
      <w:r w:rsidR="009655D6" w:rsidRPr="00C5341D">
        <w:rPr>
          <w:b/>
          <w:bCs/>
          <w:sz w:val="20"/>
        </w:rPr>
        <w:t>1</w:t>
      </w:r>
      <w:r w:rsidRPr="00C5341D">
        <w:rPr>
          <w:b/>
          <w:bCs/>
          <w:sz w:val="20"/>
        </w:rPr>
        <w:t>.1 Pojištění odpovědnosti za újmu</w:t>
      </w:r>
      <w:r w:rsidR="00AF2E4B" w:rsidRPr="00C5341D">
        <w:rPr>
          <w:b/>
          <w:bCs/>
          <w:sz w:val="20"/>
        </w:rPr>
        <w:t xml:space="preserve"> </w:t>
      </w:r>
      <w:r w:rsidR="00C5341D" w:rsidRPr="00C5341D">
        <w:rPr>
          <w:b/>
          <w:bCs/>
          <w:sz w:val="20"/>
        </w:rPr>
        <w:t xml:space="preserve">se </w:t>
      </w:r>
      <w:r w:rsidR="009D0196">
        <w:rPr>
          <w:b/>
          <w:bCs/>
          <w:sz w:val="20"/>
        </w:rPr>
        <w:t>sjednává nový rozsah pojištění</w:t>
      </w:r>
      <w:r w:rsidR="00F94C94">
        <w:rPr>
          <w:b/>
          <w:bCs/>
          <w:sz w:val="20"/>
        </w:rPr>
        <w:t xml:space="preserve"> - doložky</w:t>
      </w:r>
      <w:r w:rsidR="009D0196">
        <w:rPr>
          <w:b/>
          <w:bCs/>
          <w:sz w:val="20"/>
        </w:rPr>
        <w:t xml:space="preserve"> DODP127, DODP130</w:t>
      </w:r>
      <w:r w:rsidR="009655D6" w:rsidRPr="00C5341D">
        <w:rPr>
          <w:rFonts w:cs="Arial"/>
          <w:b/>
          <w:sz w:val="20"/>
        </w:rPr>
        <w:t>.</w:t>
      </w:r>
    </w:p>
    <w:p w:rsidR="00292B25" w:rsidRPr="006368D9" w:rsidRDefault="00292B25" w:rsidP="00391DB6">
      <w:pPr>
        <w:keepNext/>
        <w:numPr>
          <w:ilvl w:val="0"/>
          <w:numId w:val="9"/>
        </w:numPr>
        <w:spacing w:before="120"/>
        <w:ind w:left="425" w:hanging="425"/>
        <w:rPr>
          <w:rFonts w:cs="Arial"/>
          <w:b/>
          <w:sz w:val="20"/>
        </w:rPr>
      </w:pPr>
      <w:r w:rsidRPr="006368D9">
        <w:rPr>
          <w:rFonts w:cs="Arial"/>
          <w:b/>
          <w:sz w:val="20"/>
        </w:rPr>
        <w:t>Přehled sjednaných pojištění</w:t>
      </w:r>
    </w:p>
    <w:p w:rsidR="001A60A6" w:rsidRPr="006902BD" w:rsidRDefault="001A60A6" w:rsidP="001A60A6">
      <w:pPr>
        <w:pStyle w:val="slovn-rove2"/>
        <w:numPr>
          <w:ilvl w:val="1"/>
          <w:numId w:val="39"/>
        </w:numPr>
        <w:tabs>
          <w:tab w:val="left" w:pos="397"/>
          <w:tab w:val="left" w:pos="426"/>
        </w:tabs>
        <w:spacing w:after="0"/>
        <w:ind w:hanging="1080"/>
        <w:rPr>
          <w:szCs w:val="20"/>
        </w:rPr>
      </w:pPr>
      <w:r w:rsidRPr="006902BD">
        <w:rPr>
          <w:szCs w:val="20"/>
        </w:rPr>
        <w:t>Pojištění odpovědnosti za újmu</w:t>
      </w:r>
    </w:p>
    <w:p w:rsidR="001A60A6" w:rsidRPr="006902BD" w:rsidRDefault="001A60A6" w:rsidP="001A60A6">
      <w:pPr>
        <w:keepLines/>
        <w:jc w:val="both"/>
        <w:rPr>
          <w:sz w:val="20"/>
          <w:szCs w:val="20"/>
        </w:rPr>
      </w:pPr>
      <w:r w:rsidRPr="006902BD">
        <w:rPr>
          <w:sz w:val="20"/>
          <w:szCs w:val="20"/>
        </w:rPr>
        <w:t xml:space="preserve">Pojištění se sjednává v rozsahu a za podmínek </w:t>
      </w:r>
      <w:r>
        <w:rPr>
          <w:sz w:val="20"/>
          <w:szCs w:val="20"/>
        </w:rPr>
        <w:t>uvedených v následující tabulce</w:t>
      </w:r>
      <w:r w:rsidRPr="006902BD">
        <w:rPr>
          <w:sz w:val="20"/>
          <w:szCs w:val="20"/>
        </w:rPr>
        <w:t>:</w:t>
      </w:r>
    </w:p>
    <w:p w:rsidR="00292B25" w:rsidRPr="006368D9" w:rsidRDefault="009F23F6" w:rsidP="009655D6">
      <w:pPr>
        <w:keepNext/>
        <w:spacing w:before="120"/>
        <w:rPr>
          <w:b/>
          <w:sz w:val="20"/>
          <w:szCs w:val="20"/>
        </w:rPr>
      </w:pPr>
      <w:r>
        <w:rPr>
          <w:b/>
          <w:sz w:val="20"/>
          <w:szCs w:val="20"/>
        </w:rPr>
        <w:t>1</w:t>
      </w:r>
      <w:r w:rsidR="00292B25" w:rsidRPr="006368D9">
        <w:rPr>
          <w:b/>
          <w:sz w:val="20"/>
          <w:szCs w:val="20"/>
        </w:rPr>
        <w:t>.1</w:t>
      </w:r>
      <w:r w:rsidR="001A60A6">
        <w:rPr>
          <w:b/>
          <w:sz w:val="20"/>
          <w:szCs w:val="20"/>
        </w:rPr>
        <w:t>.1</w:t>
      </w:r>
      <w:r w:rsidR="00292B25" w:rsidRPr="006368D9">
        <w:rPr>
          <w:b/>
          <w:sz w:val="20"/>
          <w:szCs w:val="20"/>
        </w:rPr>
        <w:t xml:space="preserve"> Pojištění odpovědnosti za újmu</w:t>
      </w:r>
      <w:r w:rsidR="00C5341D">
        <w:rPr>
          <w:b/>
          <w:sz w:val="20"/>
          <w:szCs w:val="20"/>
        </w:rPr>
        <w:t xml:space="preserve"> – obrat firmy 115 000 000 Kč</w:t>
      </w:r>
    </w:p>
    <w:tbl>
      <w:tblPr>
        <w:tblW w:w="10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402"/>
        <w:gridCol w:w="1650"/>
        <w:gridCol w:w="1468"/>
        <w:gridCol w:w="1409"/>
        <w:gridCol w:w="1701"/>
      </w:tblGrid>
      <w:tr w:rsidR="00292B25" w:rsidRPr="006368D9" w:rsidTr="009655D6">
        <w:tc>
          <w:tcPr>
            <w:tcW w:w="10339" w:type="dxa"/>
            <w:gridSpan w:val="6"/>
          </w:tcPr>
          <w:p w:rsidR="00292B25" w:rsidRPr="00BA0A86" w:rsidRDefault="00292B25" w:rsidP="00F94C94">
            <w:pPr>
              <w:jc w:val="both"/>
              <w:rPr>
                <w:sz w:val="20"/>
                <w:szCs w:val="20"/>
              </w:rPr>
            </w:pPr>
            <w:r w:rsidRPr="00BD31CC">
              <w:rPr>
                <w:b/>
                <w:sz w:val="20"/>
                <w:szCs w:val="20"/>
              </w:rPr>
              <w:t xml:space="preserve">Pojištění se řídí: </w:t>
            </w:r>
            <w:r w:rsidRPr="00BD31CC">
              <w:rPr>
                <w:sz w:val="20"/>
                <w:szCs w:val="20"/>
              </w:rPr>
              <w:t xml:space="preserve">VPP P-100/14, ZPP P-600/14 a doložkami </w:t>
            </w:r>
            <w:r w:rsidR="00FD7C17" w:rsidRPr="00FD7C17">
              <w:rPr>
                <w:sz w:val="20"/>
                <w:szCs w:val="20"/>
              </w:rPr>
              <w:t xml:space="preserve">DOB101, DODP102, DODP103, DODP104, DODP105, DODP109, </w:t>
            </w:r>
            <w:r w:rsidR="00856FAF">
              <w:rPr>
                <w:sz w:val="20"/>
                <w:szCs w:val="20"/>
              </w:rPr>
              <w:t xml:space="preserve">DODP110, </w:t>
            </w:r>
            <w:r w:rsidR="00FD7C17" w:rsidRPr="00FD7C17">
              <w:rPr>
                <w:sz w:val="20"/>
                <w:szCs w:val="20"/>
              </w:rPr>
              <w:t>DODP111, DODP121, DODP127, DODP130</w:t>
            </w:r>
          </w:p>
        </w:tc>
      </w:tr>
      <w:tr w:rsidR="00292B25" w:rsidRPr="006368D9" w:rsidTr="009655D6">
        <w:tc>
          <w:tcPr>
            <w:tcW w:w="709" w:type="dxa"/>
            <w:vAlign w:val="center"/>
          </w:tcPr>
          <w:p w:rsidR="00292B25" w:rsidRPr="00BD31CC" w:rsidRDefault="00292B25" w:rsidP="00BD31CC">
            <w:pPr>
              <w:jc w:val="center"/>
              <w:rPr>
                <w:b/>
                <w:sz w:val="20"/>
                <w:szCs w:val="20"/>
              </w:rPr>
            </w:pPr>
            <w:r w:rsidRPr="00BD31CC">
              <w:rPr>
                <w:b/>
                <w:sz w:val="20"/>
                <w:szCs w:val="20"/>
              </w:rPr>
              <w:t>Poř. číslo</w:t>
            </w:r>
          </w:p>
        </w:tc>
        <w:tc>
          <w:tcPr>
            <w:tcW w:w="3402" w:type="dxa"/>
            <w:vAlign w:val="center"/>
          </w:tcPr>
          <w:p w:rsidR="00292B25" w:rsidRPr="00BD31CC" w:rsidRDefault="00292B25" w:rsidP="00BD31CC">
            <w:pPr>
              <w:jc w:val="center"/>
              <w:rPr>
                <w:b/>
                <w:sz w:val="20"/>
                <w:szCs w:val="20"/>
              </w:rPr>
            </w:pPr>
            <w:r w:rsidRPr="00BD31CC">
              <w:rPr>
                <w:b/>
                <w:sz w:val="20"/>
                <w:szCs w:val="20"/>
              </w:rPr>
              <w:t>Rozsah pojištění</w:t>
            </w:r>
          </w:p>
        </w:tc>
        <w:tc>
          <w:tcPr>
            <w:tcW w:w="1650" w:type="dxa"/>
            <w:vAlign w:val="center"/>
          </w:tcPr>
          <w:p w:rsidR="00292B25" w:rsidRPr="00BD31CC" w:rsidRDefault="00292B25" w:rsidP="00BD31CC">
            <w:pPr>
              <w:jc w:val="center"/>
              <w:rPr>
                <w:b/>
                <w:sz w:val="20"/>
                <w:szCs w:val="20"/>
              </w:rPr>
            </w:pPr>
            <w:r w:rsidRPr="00BD31CC">
              <w:rPr>
                <w:b/>
                <w:sz w:val="20"/>
                <w:szCs w:val="20"/>
              </w:rPr>
              <w:t>Limit pojistného plnění</w:t>
            </w:r>
            <w:r w:rsidRPr="00BD31CC">
              <w:rPr>
                <w:b/>
                <w:sz w:val="20"/>
                <w:szCs w:val="20"/>
                <w:vertAlign w:val="superscript"/>
              </w:rPr>
              <w:t>6)</w:t>
            </w:r>
          </w:p>
        </w:tc>
        <w:tc>
          <w:tcPr>
            <w:tcW w:w="1468" w:type="dxa"/>
            <w:vAlign w:val="center"/>
          </w:tcPr>
          <w:p w:rsidR="00292B25" w:rsidRPr="00BD31CC" w:rsidRDefault="00292B25" w:rsidP="00BD31CC">
            <w:pPr>
              <w:jc w:val="center"/>
              <w:rPr>
                <w:b/>
                <w:sz w:val="20"/>
                <w:szCs w:val="20"/>
              </w:rPr>
            </w:pPr>
            <w:r w:rsidRPr="00BD31CC">
              <w:rPr>
                <w:b/>
                <w:sz w:val="20"/>
                <w:szCs w:val="20"/>
              </w:rPr>
              <w:t>Sublimit pojistného plnění</w:t>
            </w:r>
            <w:r w:rsidRPr="00BD31CC">
              <w:rPr>
                <w:b/>
                <w:sz w:val="20"/>
                <w:szCs w:val="20"/>
                <w:vertAlign w:val="superscript"/>
              </w:rPr>
              <w:t>7)</w:t>
            </w:r>
          </w:p>
        </w:tc>
        <w:tc>
          <w:tcPr>
            <w:tcW w:w="1409" w:type="dxa"/>
            <w:vAlign w:val="center"/>
          </w:tcPr>
          <w:p w:rsidR="00292B25" w:rsidRPr="00BD31CC" w:rsidRDefault="00292B25" w:rsidP="00BD31CC">
            <w:pPr>
              <w:jc w:val="center"/>
              <w:rPr>
                <w:b/>
                <w:sz w:val="20"/>
                <w:szCs w:val="20"/>
              </w:rPr>
            </w:pPr>
            <w:r w:rsidRPr="00BD31CC">
              <w:rPr>
                <w:b/>
                <w:sz w:val="20"/>
                <w:szCs w:val="20"/>
              </w:rPr>
              <w:t>Spoluúčast</w:t>
            </w:r>
            <w:r w:rsidRPr="00BD31CC">
              <w:rPr>
                <w:b/>
                <w:sz w:val="20"/>
                <w:szCs w:val="20"/>
                <w:vertAlign w:val="superscript"/>
              </w:rPr>
              <w:t>5)</w:t>
            </w:r>
          </w:p>
        </w:tc>
        <w:tc>
          <w:tcPr>
            <w:tcW w:w="1701" w:type="dxa"/>
            <w:vAlign w:val="center"/>
          </w:tcPr>
          <w:p w:rsidR="00292B25" w:rsidRPr="00BD31CC" w:rsidRDefault="00292B25" w:rsidP="00BD31CC">
            <w:pPr>
              <w:jc w:val="center"/>
              <w:rPr>
                <w:b/>
                <w:sz w:val="20"/>
                <w:szCs w:val="20"/>
              </w:rPr>
            </w:pPr>
            <w:r w:rsidRPr="00BD31CC">
              <w:rPr>
                <w:b/>
                <w:sz w:val="20"/>
                <w:szCs w:val="20"/>
              </w:rPr>
              <w:t>Územní platnost pojištění</w:t>
            </w:r>
          </w:p>
        </w:tc>
      </w:tr>
      <w:tr w:rsidR="00292B25" w:rsidRPr="00B1642D" w:rsidTr="009655D6">
        <w:tc>
          <w:tcPr>
            <w:tcW w:w="709" w:type="dxa"/>
          </w:tcPr>
          <w:p w:rsidR="00292B25" w:rsidRPr="00B1642D" w:rsidRDefault="00292B25" w:rsidP="008548F4">
            <w:pPr>
              <w:spacing w:before="420" w:line="360" w:lineRule="auto"/>
              <w:jc w:val="center"/>
              <w:rPr>
                <w:sz w:val="20"/>
                <w:szCs w:val="20"/>
              </w:rPr>
            </w:pPr>
            <w:r w:rsidRPr="00B1642D">
              <w:rPr>
                <w:sz w:val="20"/>
                <w:szCs w:val="20"/>
              </w:rPr>
              <w:t>1.</w:t>
            </w:r>
          </w:p>
        </w:tc>
        <w:tc>
          <w:tcPr>
            <w:tcW w:w="3402" w:type="dxa"/>
          </w:tcPr>
          <w:p w:rsidR="00292B25" w:rsidRPr="00B1642D" w:rsidRDefault="00292B25" w:rsidP="0050088C">
            <w:pPr>
              <w:rPr>
                <w:sz w:val="20"/>
                <w:szCs w:val="20"/>
              </w:rPr>
            </w:pPr>
            <w:r w:rsidRPr="00B1642D">
              <w:rPr>
                <w:sz w:val="20"/>
                <w:szCs w:val="20"/>
              </w:rPr>
              <w:t>DODP102 - Pojištění obecné odpovědnosti za újmu a pojištění odpovědnosti za újmu způsobenou vadou výrobku a vadou práce po předání - Základní rozsah pojištění</w:t>
            </w:r>
          </w:p>
        </w:tc>
        <w:tc>
          <w:tcPr>
            <w:tcW w:w="1650" w:type="dxa"/>
          </w:tcPr>
          <w:p w:rsidR="00292B25" w:rsidRPr="00B1642D" w:rsidRDefault="00FD7C17" w:rsidP="008548F4">
            <w:pPr>
              <w:spacing w:before="420" w:line="360" w:lineRule="auto"/>
              <w:rPr>
                <w:b/>
                <w:sz w:val="20"/>
                <w:szCs w:val="20"/>
              </w:rPr>
            </w:pPr>
            <w:r w:rsidRPr="00B1642D">
              <w:rPr>
                <w:b/>
                <w:sz w:val="20"/>
                <w:szCs w:val="20"/>
              </w:rPr>
              <w:t>5</w:t>
            </w:r>
            <w:r w:rsidR="00292B25" w:rsidRPr="00B1642D">
              <w:rPr>
                <w:b/>
                <w:sz w:val="20"/>
                <w:szCs w:val="20"/>
              </w:rPr>
              <w:t> 000 000 Kč</w:t>
            </w:r>
          </w:p>
        </w:tc>
        <w:tc>
          <w:tcPr>
            <w:tcW w:w="1468" w:type="dxa"/>
          </w:tcPr>
          <w:p w:rsidR="00292B25" w:rsidRPr="00B1642D" w:rsidRDefault="00292B25" w:rsidP="008548F4">
            <w:pPr>
              <w:spacing w:before="420" w:line="360" w:lineRule="auto"/>
              <w:rPr>
                <w:sz w:val="20"/>
                <w:szCs w:val="20"/>
              </w:rPr>
            </w:pPr>
            <w:r w:rsidRPr="00B1642D">
              <w:rPr>
                <w:sz w:val="20"/>
                <w:szCs w:val="20"/>
              </w:rPr>
              <w:t>nesjednává se</w:t>
            </w:r>
          </w:p>
        </w:tc>
        <w:tc>
          <w:tcPr>
            <w:tcW w:w="1409" w:type="dxa"/>
          </w:tcPr>
          <w:p w:rsidR="00292B25" w:rsidRPr="00B1642D" w:rsidRDefault="009655D6" w:rsidP="008548F4">
            <w:pPr>
              <w:spacing w:before="420" w:line="360" w:lineRule="auto"/>
              <w:rPr>
                <w:sz w:val="20"/>
                <w:szCs w:val="20"/>
              </w:rPr>
            </w:pPr>
            <w:r w:rsidRPr="00B1642D">
              <w:rPr>
                <w:sz w:val="20"/>
                <w:szCs w:val="20"/>
              </w:rPr>
              <w:t>1</w:t>
            </w:r>
            <w:r w:rsidR="00292B25" w:rsidRPr="00B1642D">
              <w:rPr>
                <w:sz w:val="20"/>
                <w:szCs w:val="20"/>
              </w:rPr>
              <w:t xml:space="preserve"> </w:t>
            </w:r>
            <w:r w:rsidRPr="00B1642D">
              <w:rPr>
                <w:sz w:val="20"/>
                <w:szCs w:val="20"/>
              </w:rPr>
              <w:t>0</w:t>
            </w:r>
            <w:r w:rsidR="00292B25" w:rsidRPr="00B1642D">
              <w:rPr>
                <w:sz w:val="20"/>
                <w:szCs w:val="20"/>
              </w:rPr>
              <w:t>00 Kč</w:t>
            </w:r>
          </w:p>
        </w:tc>
        <w:tc>
          <w:tcPr>
            <w:tcW w:w="1701" w:type="dxa"/>
          </w:tcPr>
          <w:p w:rsidR="00292B25" w:rsidRPr="00B1642D" w:rsidRDefault="00292B25" w:rsidP="008548F4">
            <w:pPr>
              <w:spacing w:before="420" w:line="360" w:lineRule="auto"/>
              <w:rPr>
                <w:sz w:val="20"/>
                <w:szCs w:val="20"/>
              </w:rPr>
            </w:pPr>
            <w:r w:rsidRPr="00B1642D">
              <w:rPr>
                <w:sz w:val="20"/>
                <w:szCs w:val="20"/>
              </w:rPr>
              <w:t>Česká republika</w:t>
            </w:r>
          </w:p>
        </w:tc>
      </w:tr>
      <w:tr w:rsidR="009655D6" w:rsidRPr="00B1642D" w:rsidTr="009655D6">
        <w:tc>
          <w:tcPr>
            <w:tcW w:w="709" w:type="dxa"/>
          </w:tcPr>
          <w:p w:rsidR="009655D6" w:rsidRPr="00B1642D" w:rsidRDefault="009655D6" w:rsidP="009655D6">
            <w:pPr>
              <w:spacing w:before="300"/>
              <w:jc w:val="center"/>
              <w:rPr>
                <w:sz w:val="20"/>
                <w:szCs w:val="20"/>
              </w:rPr>
            </w:pPr>
            <w:r w:rsidRPr="00B1642D">
              <w:rPr>
                <w:sz w:val="20"/>
                <w:szCs w:val="20"/>
              </w:rPr>
              <w:t>2.</w:t>
            </w:r>
          </w:p>
        </w:tc>
        <w:tc>
          <w:tcPr>
            <w:tcW w:w="3402" w:type="dxa"/>
            <w:vAlign w:val="center"/>
          </w:tcPr>
          <w:p w:rsidR="009655D6" w:rsidRPr="00B1642D" w:rsidRDefault="009655D6" w:rsidP="005E0C4A">
            <w:pPr>
              <w:rPr>
                <w:sz w:val="20"/>
                <w:szCs w:val="20"/>
              </w:rPr>
            </w:pPr>
            <w:r w:rsidRPr="00B1642D">
              <w:rPr>
                <w:sz w:val="20"/>
                <w:szCs w:val="20"/>
              </w:rPr>
              <w:t>DODP103 - Cizí věci převzaté - Rozšíření rozsahu pojištění; DODP104 - Cizí věci užívané - Rozšíření rozsahu pojištění</w:t>
            </w:r>
          </w:p>
        </w:tc>
        <w:tc>
          <w:tcPr>
            <w:tcW w:w="1650" w:type="dxa"/>
          </w:tcPr>
          <w:p w:rsidR="009655D6" w:rsidRPr="00B1642D" w:rsidRDefault="009655D6" w:rsidP="009655D6">
            <w:pPr>
              <w:spacing w:before="300"/>
              <w:rPr>
                <w:sz w:val="20"/>
                <w:szCs w:val="20"/>
              </w:rPr>
            </w:pPr>
            <w:r w:rsidRPr="00B1642D">
              <w:rPr>
                <w:sz w:val="20"/>
                <w:szCs w:val="20"/>
              </w:rPr>
              <w:t>nesjednává se</w:t>
            </w:r>
          </w:p>
        </w:tc>
        <w:tc>
          <w:tcPr>
            <w:tcW w:w="1468" w:type="dxa"/>
          </w:tcPr>
          <w:p w:rsidR="009655D6" w:rsidRPr="00B1642D" w:rsidRDefault="009655D6" w:rsidP="009655D6">
            <w:pPr>
              <w:spacing w:before="300"/>
              <w:rPr>
                <w:sz w:val="20"/>
                <w:szCs w:val="20"/>
              </w:rPr>
            </w:pPr>
            <w:r w:rsidRPr="00B1642D">
              <w:rPr>
                <w:sz w:val="20"/>
                <w:szCs w:val="20"/>
              </w:rPr>
              <w:t>300 000 Kč</w:t>
            </w:r>
          </w:p>
        </w:tc>
        <w:tc>
          <w:tcPr>
            <w:tcW w:w="1409" w:type="dxa"/>
          </w:tcPr>
          <w:p w:rsidR="009655D6" w:rsidRPr="00B1642D" w:rsidRDefault="009655D6" w:rsidP="009655D6">
            <w:pPr>
              <w:spacing w:before="300"/>
              <w:rPr>
                <w:sz w:val="20"/>
                <w:szCs w:val="20"/>
              </w:rPr>
            </w:pPr>
            <w:r w:rsidRPr="00B1642D">
              <w:rPr>
                <w:sz w:val="20"/>
                <w:szCs w:val="20"/>
              </w:rPr>
              <w:t>1 000 Kč</w:t>
            </w:r>
          </w:p>
        </w:tc>
        <w:tc>
          <w:tcPr>
            <w:tcW w:w="1701" w:type="dxa"/>
          </w:tcPr>
          <w:p w:rsidR="009655D6" w:rsidRPr="00B1642D" w:rsidRDefault="009655D6" w:rsidP="009655D6">
            <w:pPr>
              <w:spacing w:before="300"/>
              <w:rPr>
                <w:sz w:val="20"/>
                <w:szCs w:val="20"/>
              </w:rPr>
            </w:pPr>
            <w:r w:rsidRPr="00B1642D">
              <w:rPr>
                <w:sz w:val="20"/>
                <w:szCs w:val="20"/>
              </w:rPr>
              <w:t>Česká republika</w:t>
            </w:r>
          </w:p>
        </w:tc>
      </w:tr>
      <w:tr w:rsidR="00746C2F" w:rsidRPr="00B1642D" w:rsidTr="00AE620F">
        <w:tc>
          <w:tcPr>
            <w:tcW w:w="709" w:type="dxa"/>
            <w:vAlign w:val="center"/>
          </w:tcPr>
          <w:p w:rsidR="00746C2F" w:rsidRPr="002E7552" w:rsidRDefault="00746C2F" w:rsidP="00B16588">
            <w:pPr>
              <w:jc w:val="center"/>
              <w:rPr>
                <w:sz w:val="20"/>
                <w:szCs w:val="18"/>
              </w:rPr>
            </w:pPr>
            <w:r>
              <w:rPr>
                <w:sz w:val="20"/>
                <w:szCs w:val="18"/>
              </w:rPr>
              <w:lastRenderedPageBreak/>
              <w:t>3.</w:t>
            </w:r>
          </w:p>
        </w:tc>
        <w:tc>
          <w:tcPr>
            <w:tcW w:w="3402" w:type="dxa"/>
            <w:vAlign w:val="center"/>
          </w:tcPr>
          <w:p w:rsidR="00746C2F" w:rsidRPr="00187694" w:rsidRDefault="00746C2F" w:rsidP="00B16588">
            <w:pPr>
              <w:rPr>
                <w:sz w:val="20"/>
                <w:szCs w:val="18"/>
              </w:rPr>
            </w:pPr>
            <w:r w:rsidRPr="00187694">
              <w:rPr>
                <w:sz w:val="20"/>
                <w:szCs w:val="20"/>
              </w:rPr>
              <w:t>DODP105 - Náklady zdravotní pojišťovny a regresy dávek nemocenského pojištění - Rozšíření rozsahu pojištění</w:t>
            </w:r>
          </w:p>
        </w:tc>
        <w:tc>
          <w:tcPr>
            <w:tcW w:w="1650" w:type="dxa"/>
            <w:vAlign w:val="center"/>
          </w:tcPr>
          <w:p w:rsidR="00746C2F" w:rsidRPr="00187694" w:rsidRDefault="00746C2F" w:rsidP="00746C2F">
            <w:pPr>
              <w:rPr>
                <w:sz w:val="20"/>
                <w:szCs w:val="20"/>
              </w:rPr>
            </w:pPr>
            <w:r>
              <w:rPr>
                <w:sz w:val="20"/>
                <w:szCs w:val="20"/>
              </w:rPr>
              <w:t>nesjednává se</w:t>
            </w:r>
          </w:p>
        </w:tc>
        <w:tc>
          <w:tcPr>
            <w:tcW w:w="1468" w:type="dxa"/>
            <w:vAlign w:val="center"/>
          </w:tcPr>
          <w:p w:rsidR="00746C2F" w:rsidRPr="00187694" w:rsidRDefault="00746C2F" w:rsidP="00746C2F">
            <w:pPr>
              <w:rPr>
                <w:sz w:val="20"/>
                <w:szCs w:val="20"/>
              </w:rPr>
            </w:pPr>
            <w:r>
              <w:rPr>
                <w:sz w:val="20"/>
                <w:szCs w:val="20"/>
              </w:rPr>
              <w:t>3 0</w:t>
            </w:r>
            <w:r w:rsidRPr="00187694">
              <w:rPr>
                <w:sz w:val="20"/>
                <w:szCs w:val="20"/>
              </w:rPr>
              <w:t>00</w:t>
            </w:r>
            <w:r>
              <w:rPr>
                <w:sz w:val="20"/>
                <w:szCs w:val="20"/>
              </w:rPr>
              <w:t> </w:t>
            </w:r>
            <w:r w:rsidRPr="00187694">
              <w:rPr>
                <w:sz w:val="20"/>
                <w:szCs w:val="20"/>
              </w:rPr>
              <w:t>000</w:t>
            </w:r>
            <w:r>
              <w:rPr>
                <w:sz w:val="20"/>
                <w:szCs w:val="20"/>
              </w:rPr>
              <w:t xml:space="preserve"> Kč</w:t>
            </w:r>
          </w:p>
        </w:tc>
        <w:tc>
          <w:tcPr>
            <w:tcW w:w="1409" w:type="dxa"/>
            <w:vAlign w:val="center"/>
          </w:tcPr>
          <w:p w:rsidR="00746C2F" w:rsidRPr="00187694" w:rsidRDefault="00746C2F" w:rsidP="00B16588">
            <w:pPr>
              <w:rPr>
                <w:sz w:val="20"/>
                <w:szCs w:val="20"/>
              </w:rPr>
            </w:pPr>
            <w:r w:rsidRPr="00187694">
              <w:rPr>
                <w:sz w:val="20"/>
                <w:szCs w:val="20"/>
              </w:rPr>
              <w:t>1 000 Kč</w:t>
            </w:r>
          </w:p>
        </w:tc>
        <w:tc>
          <w:tcPr>
            <w:tcW w:w="1701" w:type="dxa"/>
            <w:vAlign w:val="center"/>
          </w:tcPr>
          <w:p w:rsidR="00746C2F" w:rsidRPr="00187694" w:rsidRDefault="00746C2F" w:rsidP="00B16588">
            <w:pPr>
              <w:jc w:val="center"/>
              <w:rPr>
                <w:sz w:val="20"/>
                <w:szCs w:val="20"/>
              </w:rPr>
            </w:pPr>
            <w:r w:rsidRPr="00187694">
              <w:rPr>
                <w:sz w:val="20"/>
                <w:szCs w:val="20"/>
              </w:rPr>
              <w:t>Česká republika</w:t>
            </w:r>
          </w:p>
        </w:tc>
      </w:tr>
      <w:tr w:rsidR="003A3192" w:rsidRPr="00B1642D" w:rsidTr="001F1C59">
        <w:tc>
          <w:tcPr>
            <w:tcW w:w="709" w:type="dxa"/>
            <w:vAlign w:val="center"/>
          </w:tcPr>
          <w:p w:rsidR="003A3192" w:rsidRPr="00B1642D" w:rsidRDefault="003A3192" w:rsidP="009745B9">
            <w:pPr>
              <w:jc w:val="center"/>
              <w:rPr>
                <w:sz w:val="20"/>
                <w:szCs w:val="20"/>
              </w:rPr>
            </w:pPr>
            <w:r w:rsidRPr="00B1642D">
              <w:rPr>
                <w:sz w:val="20"/>
                <w:szCs w:val="20"/>
              </w:rPr>
              <w:t>4.</w:t>
            </w:r>
          </w:p>
        </w:tc>
        <w:tc>
          <w:tcPr>
            <w:tcW w:w="3402" w:type="dxa"/>
            <w:vAlign w:val="center"/>
          </w:tcPr>
          <w:p w:rsidR="003A3192" w:rsidRPr="00B1642D" w:rsidRDefault="003A3192" w:rsidP="009745B9">
            <w:pPr>
              <w:rPr>
                <w:sz w:val="20"/>
                <w:szCs w:val="20"/>
              </w:rPr>
            </w:pPr>
            <w:r w:rsidRPr="00B1642D">
              <w:rPr>
                <w:sz w:val="20"/>
                <w:szCs w:val="20"/>
              </w:rPr>
              <w:t>DODP109 - Provoz pracovních strojů - Rozšíření rozsahu pojištění</w:t>
            </w:r>
          </w:p>
        </w:tc>
        <w:tc>
          <w:tcPr>
            <w:tcW w:w="1650" w:type="dxa"/>
            <w:vAlign w:val="center"/>
          </w:tcPr>
          <w:p w:rsidR="003A3192" w:rsidRPr="00B1642D" w:rsidRDefault="003A3192" w:rsidP="00856FAF">
            <w:pPr>
              <w:rPr>
                <w:sz w:val="20"/>
                <w:szCs w:val="20"/>
              </w:rPr>
            </w:pPr>
            <w:r w:rsidRPr="00B1642D">
              <w:rPr>
                <w:sz w:val="20"/>
                <w:szCs w:val="20"/>
              </w:rPr>
              <w:t>nesjednává se</w:t>
            </w:r>
          </w:p>
        </w:tc>
        <w:tc>
          <w:tcPr>
            <w:tcW w:w="1468" w:type="dxa"/>
            <w:vAlign w:val="center"/>
          </w:tcPr>
          <w:p w:rsidR="003A3192" w:rsidRPr="00B1642D" w:rsidRDefault="003A3192" w:rsidP="00856FAF">
            <w:pPr>
              <w:rPr>
                <w:sz w:val="20"/>
                <w:szCs w:val="20"/>
              </w:rPr>
            </w:pPr>
            <w:r w:rsidRPr="00B1642D">
              <w:rPr>
                <w:sz w:val="20"/>
                <w:szCs w:val="20"/>
              </w:rPr>
              <w:t>500 000 Kč</w:t>
            </w:r>
          </w:p>
        </w:tc>
        <w:tc>
          <w:tcPr>
            <w:tcW w:w="1409" w:type="dxa"/>
            <w:vAlign w:val="center"/>
          </w:tcPr>
          <w:p w:rsidR="003A3192" w:rsidRPr="00B1642D" w:rsidRDefault="003A3192" w:rsidP="009745B9">
            <w:pPr>
              <w:rPr>
                <w:sz w:val="20"/>
                <w:szCs w:val="20"/>
              </w:rPr>
            </w:pPr>
            <w:r w:rsidRPr="00B1642D">
              <w:rPr>
                <w:sz w:val="20"/>
                <w:szCs w:val="20"/>
              </w:rPr>
              <w:t>1 000 Kč</w:t>
            </w:r>
          </w:p>
        </w:tc>
        <w:tc>
          <w:tcPr>
            <w:tcW w:w="1701" w:type="dxa"/>
            <w:vAlign w:val="center"/>
          </w:tcPr>
          <w:p w:rsidR="003A3192" w:rsidRPr="00B1642D" w:rsidRDefault="003A3192" w:rsidP="009745B9">
            <w:pPr>
              <w:jc w:val="center"/>
              <w:rPr>
                <w:sz w:val="20"/>
                <w:szCs w:val="20"/>
              </w:rPr>
            </w:pPr>
            <w:r w:rsidRPr="00B1642D">
              <w:rPr>
                <w:sz w:val="20"/>
                <w:szCs w:val="20"/>
              </w:rPr>
              <w:t>Česká republika</w:t>
            </w:r>
          </w:p>
        </w:tc>
      </w:tr>
      <w:tr w:rsidR="005824A9" w:rsidRPr="00B1642D" w:rsidTr="00BF14BC">
        <w:tc>
          <w:tcPr>
            <w:tcW w:w="709" w:type="dxa"/>
          </w:tcPr>
          <w:p w:rsidR="005824A9" w:rsidRPr="00B1642D" w:rsidRDefault="00B1642D" w:rsidP="00CF3A35">
            <w:pPr>
              <w:spacing w:before="240"/>
              <w:jc w:val="center"/>
              <w:rPr>
                <w:sz w:val="20"/>
                <w:szCs w:val="20"/>
              </w:rPr>
            </w:pPr>
            <w:r w:rsidRPr="00B1642D">
              <w:rPr>
                <w:sz w:val="20"/>
                <w:szCs w:val="20"/>
              </w:rPr>
              <w:t>5</w:t>
            </w:r>
            <w:r w:rsidR="005824A9" w:rsidRPr="00B1642D">
              <w:rPr>
                <w:sz w:val="20"/>
                <w:szCs w:val="20"/>
              </w:rPr>
              <w:t>.</w:t>
            </w:r>
          </w:p>
        </w:tc>
        <w:tc>
          <w:tcPr>
            <w:tcW w:w="3402" w:type="dxa"/>
            <w:vAlign w:val="center"/>
          </w:tcPr>
          <w:p w:rsidR="005824A9" w:rsidRPr="00B1642D" w:rsidRDefault="005824A9" w:rsidP="005E0C4A">
            <w:pPr>
              <w:rPr>
                <w:sz w:val="20"/>
                <w:szCs w:val="20"/>
              </w:rPr>
            </w:pPr>
            <w:r w:rsidRPr="00B1642D">
              <w:rPr>
                <w:sz w:val="20"/>
                <w:szCs w:val="20"/>
              </w:rPr>
              <w:t>DODP111 - Čisté finanční škody - k pojištění obecné odpovědnosti za újmu - Rozšíření rozsahu pojištění</w:t>
            </w:r>
          </w:p>
        </w:tc>
        <w:tc>
          <w:tcPr>
            <w:tcW w:w="1650" w:type="dxa"/>
          </w:tcPr>
          <w:p w:rsidR="005824A9" w:rsidRPr="00B1642D" w:rsidRDefault="005824A9" w:rsidP="00CF3A35">
            <w:pPr>
              <w:spacing w:before="240"/>
              <w:rPr>
                <w:sz w:val="20"/>
                <w:szCs w:val="20"/>
              </w:rPr>
            </w:pPr>
            <w:r w:rsidRPr="00B1642D">
              <w:rPr>
                <w:sz w:val="20"/>
                <w:szCs w:val="20"/>
              </w:rPr>
              <w:t>nesjednává se</w:t>
            </w:r>
          </w:p>
        </w:tc>
        <w:tc>
          <w:tcPr>
            <w:tcW w:w="1468" w:type="dxa"/>
          </w:tcPr>
          <w:p w:rsidR="005824A9" w:rsidRPr="00B1642D" w:rsidRDefault="005824A9" w:rsidP="00CF3A35">
            <w:pPr>
              <w:spacing w:before="240"/>
              <w:rPr>
                <w:sz w:val="20"/>
                <w:szCs w:val="20"/>
              </w:rPr>
            </w:pPr>
            <w:r w:rsidRPr="00B1642D">
              <w:rPr>
                <w:sz w:val="20"/>
                <w:szCs w:val="20"/>
              </w:rPr>
              <w:t>300 000 Kč</w:t>
            </w:r>
          </w:p>
        </w:tc>
        <w:tc>
          <w:tcPr>
            <w:tcW w:w="1409" w:type="dxa"/>
          </w:tcPr>
          <w:p w:rsidR="005824A9" w:rsidRPr="00B1642D" w:rsidRDefault="005824A9" w:rsidP="005824A9">
            <w:pPr>
              <w:spacing w:before="120"/>
              <w:rPr>
                <w:sz w:val="20"/>
                <w:szCs w:val="20"/>
              </w:rPr>
            </w:pPr>
            <w:r w:rsidRPr="00B1642D">
              <w:rPr>
                <w:sz w:val="20"/>
                <w:szCs w:val="20"/>
              </w:rPr>
              <w:t>10%, min:        1 000 Kč</w:t>
            </w:r>
          </w:p>
        </w:tc>
        <w:tc>
          <w:tcPr>
            <w:tcW w:w="1701" w:type="dxa"/>
          </w:tcPr>
          <w:p w:rsidR="005824A9" w:rsidRPr="00B1642D" w:rsidRDefault="005824A9" w:rsidP="00CF3A35">
            <w:pPr>
              <w:spacing w:before="240"/>
              <w:rPr>
                <w:sz w:val="20"/>
                <w:szCs w:val="20"/>
              </w:rPr>
            </w:pPr>
            <w:r w:rsidRPr="00B1642D">
              <w:rPr>
                <w:sz w:val="20"/>
                <w:szCs w:val="20"/>
              </w:rPr>
              <w:t>Česká republika</w:t>
            </w:r>
          </w:p>
        </w:tc>
      </w:tr>
      <w:tr w:rsidR="002738AB" w:rsidRPr="00B1642D" w:rsidTr="009655D6">
        <w:tc>
          <w:tcPr>
            <w:tcW w:w="709" w:type="dxa"/>
          </w:tcPr>
          <w:p w:rsidR="002738AB" w:rsidRPr="00B1642D" w:rsidRDefault="00B1642D" w:rsidP="00EB240C">
            <w:pPr>
              <w:spacing w:before="420"/>
              <w:jc w:val="center"/>
              <w:rPr>
                <w:sz w:val="20"/>
                <w:szCs w:val="20"/>
              </w:rPr>
            </w:pPr>
            <w:r w:rsidRPr="00B1642D">
              <w:rPr>
                <w:sz w:val="20"/>
                <w:szCs w:val="20"/>
              </w:rPr>
              <w:t>6</w:t>
            </w:r>
            <w:r w:rsidR="002738AB" w:rsidRPr="00B1642D">
              <w:rPr>
                <w:sz w:val="20"/>
                <w:szCs w:val="20"/>
              </w:rPr>
              <w:t>.</w:t>
            </w:r>
          </w:p>
        </w:tc>
        <w:tc>
          <w:tcPr>
            <w:tcW w:w="3402" w:type="dxa"/>
          </w:tcPr>
          <w:p w:rsidR="002738AB" w:rsidRPr="00B1642D" w:rsidRDefault="002738AB" w:rsidP="00AF2E4B">
            <w:pPr>
              <w:rPr>
                <w:sz w:val="20"/>
                <w:szCs w:val="20"/>
              </w:rPr>
            </w:pPr>
            <w:r w:rsidRPr="00B1642D">
              <w:rPr>
                <w:rFonts w:cs="Arial"/>
                <w:sz w:val="20"/>
                <w:szCs w:val="20"/>
              </w:rPr>
              <w:t>DODP121 - Odpovědnost obchodní korporace za újmu členům svých orgánů v souvislosti s výkonem jejich funkce včetně motorových vozidel - Rozšíření rozsahu pojištění</w:t>
            </w:r>
          </w:p>
        </w:tc>
        <w:tc>
          <w:tcPr>
            <w:tcW w:w="1650" w:type="dxa"/>
          </w:tcPr>
          <w:p w:rsidR="002738AB" w:rsidRPr="00B1642D" w:rsidRDefault="002738AB" w:rsidP="00EB240C">
            <w:pPr>
              <w:spacing w:before="420"/>
              <w:rPr>
                <w:sz w:val="20"/>
                <w:szCs w:val="20"/>
              </w:rPr>
            </w:pPr>
            <w:r w:rsidRPr="00B1642D">
              <w:rPr>
                <w:sz w:val="20"/>
                <w:szCs w:val="20"/>
              </w:rPr>
              <w:t>nesjednává se</w:t>
            </w:r>
          </w:p>
        </w:tc>
        <w:tc>
          <w:tcPr>
            <w:tcW w:w="1468" w:type="dxa"/>
          </w:tcPr>
          <w:p w:rsidR="002738AB" w:rsidRPr="00B1642D" w:rsidRDefault="005824A9" w:rsidP="00EB240C">
            <w:pPr>
              <w:spacing w:before="420"/>
              <w:rPr>
                <w:sz w:val="20"/>
                <w:szCs w:val="20"/>
              </w:rPr>
            </w:pPr>
            <w:r w:rsidRPr="00B1642D">
              <w:rPr>
                <w:sz w:val="20"/>
                <w:szCs w:val="20"/>
              </w:rPr>
              <w:t>3</w:t>
            </w:r>
            <w:r w:rsidR="002738AB" w:rsidRPr="00B1642D">
              <w:rPr>
                <w:sz w:val="20"/>
                <w:szCs w:val="20"/>
              </w:rPr>
              <w:t xml:space="preserve"> 000 000 Kč</w:t>
            </w:r>
          </w:p>
        </w:tc>
        <w:tc>
          <w:tcPr>
            <w:tcW w:w="1409" w:type="dxa"/>
          </w:tcPr>
          <w:p w:rsidR="002738AB" w:rsidRPr="00B1642D" w:rsidRDefault="005824A9" w:rsidP="00EB240C">
            <w:pPr>
              <w:spacing w:before="420"/>
              <w:rPr>
                <w:sz w:val="20"/>
                <w:szCs w:val="20"/>
              </w:rPr>
            </w:pPr>
            <w:r w:rsidRPr="00B1642D">
              <w:rPr>
                <w:sz w:val="20"/>
                <w:szCs w:val="20"/>
              </w:rPr>
              <w:t>1 0</w:t>
            </w:r>
            <w:r w:rsidR="002738AB" w:rsidRPr="00B1642D">
              <w:rPr>
                <w:sz w:val="20"/>
                <w:szCs w:val="20"/>
              </w:rPr>
              <w:t>00 Kč</w:t>
            </w:r>
          </w:p>
        </w:tc>
        <w:tc>
          <w:tcPr>
            <w:tcW w:w="1701" w:type="dxa"/>
          </w:tcPr>
          <w:p w:rsidR="002738AB" w:rsidRPr="00B1642D" w:rsidRDefault="002738AB" w:rsidP="00EB240C">
            <w:pPr>
              <w:spacing w:before="420"/>
              <w:rPr>
                <w:sz w:val="20"/>
                <w:szCs w:val="20"/>
              </w:rPr>
            </w:pPr>
            <w:r w:rsidRPr="00B1642D">
              <w:rPr>
                <w:sz w:val="20"/>
                <w:szCs w:val="20"/>
              </w:rPr>
              <w:t>Česká republika</w:t>
            </w:r>
          </w:p>
        </w:tc>
      </w:tr>
      <w:tr w:rsidR="00FD7C17" w:rsidRPr="00B1642D" w:rsidTr="00B00A8A">
        <w:tc>
          <w:tcPr>
            <w:tcW w:w="709" w:type="dxa"/>
            <w:vAlign w:val="center"/>
          </w:tcPr>
          <w:p w:rsidR="00FD7C17" w:rsidRPr="00B1642D" w:rsidRDefault="00B1642D" w:rsidP="009745B9">
            <w:pPr>
              <w:jc w:val="center"/>
              <w:rPr>
                <w:sz w:val="20"/>
                <w:szCs w:val="20"/>
              </w:rPr>
            </w:pPr>
            <w:r w:rsidRPr="00B1642D">
              <w:rPr>
                <w:sz w:val="20"/>
                <w:szCs w:val="20"/>
              </w:rPr>
              <w:t>7</w:t>
            </w:r>
            <w:r w:rsidR="00FD7C17" w:rsidRPr="00B1642D">
              <w:rPr>
                <w:sz w:val="20"/>
                <w:szCs w:val="20"/>
              </w:rPr>
              <w:t>.</w:t>
            </w:r>
          </w:p>
        </w:tc>
        <w:tc>
          <w:tcPr>
            <w:tcW w:w="3402" w:type="dxa"/>
            <w:vAlign w:val="center"/>
          </w:tcPr>
          <w:p w:rsidR="00FD7C17" w:rsidRPr="00B1642D" w:rsidRDefault="00FD7C17" w:rsidP="009745B9">
            <w:pPr>
              <w:rPr>
                <w:sz w:val="20"/>
                <w:szCs w:val="20"/>
              </w:rPr>
            </w:pPr>
            <w:r w:rsidRPr="00B1642D">
              <w:rPr>
                <w:sz w:val="20"/>
                <w:szCs w:val="20"/>
              </w:rPr>
              <w:t>DODP127 - Věci odložené a vnesené - Rozšíření rozsahu pojištění</w:t>
            </w:r>
          </w:p>
        </w:tc>
        <w:tc>
          <w:tcPr>
            <w:tcW w:w="1650" w:type="dxa"/>
            <w:vAlign w:val="center"/>
          </w:tcPr>
          <w:p w:rsidR="00FD7C17" w:rsidRPr="00B1642D" w:rsidRDefault="00FD7C17" w:rsidP="003A3192">
            <w:pPr>
              <w:rPr>
                <w:sz w:val="20"/>
                <w:szCs w:val="20"/>
              </w:rPr>
            </w:pPr>
            <w:r w:rsidRPr="00B1642D">
              <w:rPr>
                <w:sz w:val="20"/>
                <w:szCs w:val="20"/>
              </w:rPr>
              <w:t>nesjednává se</w:t>
            </w:r>
          </w:p>
        </w:tc>
        <w:tc>
          <w:tcPr>
            <w:tcW w:w="1468" w:type="dxa"/>
            <w:vAlign w:val="center"/>
          </w:tcPr>
          <w:p w:rsidR="00FD7C17" w:rsidRPr="00B1642D" w:rsidRDefault="00FD7C17" w:rsidP="00F94C94">
            <w:pPr>
              <w:rPr>
                <w:sz w:val="20"/>
                <w:szCs w:val="20"/>
              </w:rPr>
            </w:pPr>
            <w:r w:rsidRPr="00B1642D">
              <w:rPr>
                <w:sz w:val="20"/>
                <w:szCs w:val="20"/>
              </w:rPr>
              <w:t>20 000 Kč</w:t>
            </w:r>
          </w:p>
        </w:tc>
        <w:tc>
          <w:tcPr>
            <w:tcW w:w="1409" w:type="dxa"/>
            <w:vAlign w:val="center"/>
          </w:tcPr>
          <w:p w:rsidR="00FD7C17" w:rsidRPr="00B1642D" w:rsidRDefault="00FD7C17" w:rsidP="009745B9">
            <w:pPr>
              <w:rPr>
                <w:sz w:val="20"/>
                <w:szCs w:val="20"/>
              </w:rPr>
            </w:pPr>
            <w:r w:rsidRPr="00B1642D">
              <w:rPr>
                <w:sz w:val="20"/>
                <w:szCs w:val="20"/>
              </w:rPr>
              <w:t>1 000 Kč</w:t>
            </w:r>
          </w:p>
        </w:tc>
        <w:tc>
          <w:tcPr>
            <w:tcW w:w="1701" w:type="dxa"/>
            <w:vAlign w:val="center"/>
          </w:tcPr>
          <w:p w:rsidR="00FD7C17" w:rsidRPr="00B1642D" w:rsidRDefault="00FD7C17" w:rsidP="009745B9">
            <w:pPr>
              <w:jc w:val="center"/>
              <w:rPr>
                <w:sz w:val="20"/>
                <w:szCs w:val="20"/>
              </w:rPr>
            </w:pPr>
            <w:r w:rsidRPr="00B1642D">
              <w:rPr>
                <w:sz w:val="20"/>
                <w:szCs w:val="20"/>
              </w:rPr>
              <w:t>Česká republika</w:t>
            </w:r>
          </w:p>
        </w:tc>
      </w:tr>
      <w:tr w:rsidR="00FD7C17" w:rsidRPr="00B1642D" w:rsidTr="00B00A8A">
        <w:tc>
          <w:tcPr>
            <w:tcW w:w="709" w:type="dxa"/>
            <w:vAlign w:val="center"/>
          </w:tcPr>
          <w:p w:rsidR="00FD7C17" w:rsidRPr="00B1642D" w:rsidRDefault="00B1642D" w:rsidP="009745B9">
            <w:pPr>
              <w:jc w:val="center"/>
              <w:rPr>
                <w:sz w:val="20"/>
                <w:szCs w:val="20"/>
              </w:rPr>
            </w:pPr>
            <w:r w:rsidRPr="00B1642D">
              <w:rPr>
                <w:sz w:val="20"/>
                <w:szCs w:val="20"/>
              </w:rPr>
              <w:t>8</w:t>
            </w:r>
            <w:r w:rsidR="00FD7C17" w:rsidRPr="00B1642D">
              <w:rPr>
                <w:sz w:val="20"/>
                <w:szCs w:val="20"/>
              </w:rPr>
              <w:t>.</w:t>
            </w:r>
          </w:p>
        </w:tc>
        <w:tc>
          <w:tcPr>
            <w:tcW w:w="3402" w:type="dxa"/>
            <w:vAlign w:val="center"/>
          </w:tcPr>
          <w:p w:rsidR="00FD7C17" w:rsidRPr="00B1642D" w:rsidRDefault="00FD7C17" w:rsidP="009745B9">
            <w:pPr>
              <w:rPr>
                <w:sz w:val="20"/>
                <w:szCs w:val="20"/>
              </w:rPr>
            </w:pPr>
            <w:r w:rsidRPr="00B1642D">
              <w:rPr>
                <w:sz w:val="20"/>
                <w:szCs w:val="20"/>
              </w:rPr>
              <w:t>DODP130 - Věci zaměstnanců - Rozšíření rozsahu pojištění</w:t>
            </w:r>
          </w:p>
        </w:tc>
        <w:tc>
          <w:tcPr>
            <w:tcW w:w="1650" w:type="dxa"/>
            <w:vAlign w:val="center"/>
          </w:tcPr>
          <w:p w:rsidR="00FD7C17" w:rsidRPr="00B1642D" w:rsidRDefault="00FD7C17" w:rsidP="003A3192">
            <w:pPr>
              <w:rPr>
                <w:sz w:val="20"/>
                <w:szCs w:val="20"/>
              </w:rPr>
            </w:pPr>
            <w:r w:rsidRPr="00B1642D">
              <w:rPr>
                <w:sz w:val="20"/>
                <w:szCs w:val="20"/>
              </w:rPr>
              <w:t>nesjednává se</w:t>
            </w:r>
          </w:p>
        </w:tc>
        <w:tc>
          <w:tcPr>
            <w:tcW w:w="1468" w:type="dxa"/>
            <w:vAlign w:val="center"/>
          </w:tcPr>
          <w:p w:rsidR="00FD7C17" w:rsidRPr="00B1642D" w:rsidRDefault="00FD7C17" w:rsidP="00F94C94">
            <w:pPr>
              <w:rPr>
                <w:sz w:val="20"/>
                <w:szCs w:val="20"/>
              </w:rPr>
            </w:pPr>
            <w:r w:rsidRPr="00B1642D">
              <w:rPr>
                <w:sz w:val="20"/>
                <w:szCs w:val="20"/>
              </w:rPr>
              <w:t>20 000 Kč</w:t>
            </w:r>
          </w:p>
        </w:tc>
        <w:tc>
          <w:tcPr>
            <w:tcW w:w="1409" w:type="dxa"/>
            <w:vAlign w:val="center"/>
          </w:tcPr>
          <w:p w:rsidR="00FD7C17" w:rsidRPr="00B1642D" w:rsidRDefault="00FD7C17" w:rsidP="009745B9">
            <w:pPr>
              <w:rPr>
                <w:sz w:val="20"/>
                <w:szCs w:val="20"/>
              </w:rPr>
            </w:pPr>
            <w:r w:rsidRPr="00B1642D">
              <w:rPr>
                <w:sz w:val="20"/>
                <w:szCs w:val="20"/>
              </w:rPr>
              <w:t>1 000 Kč</w:t>
            </w:r>
          </w:p>
        </w:tc>
        <w:tc>
          <w:tcPr>
            <w:tcW w:w="1701" w:type="dxa"/>
            <w:vAlign w:val="center"/>
          </w:tcPr>
          <w:p w:rsidR="00FD7C17" w:rsidRPr="00B1642D" w:rsidRDefault="00FD7C17" w:rsidP="009745B9">
            <w:pPr>
              <w:jc w:val="center"/>
              <w:rPr>
                <w:sz w:val="20"/>
                <w:szCs w:val="20"/>
              </w:rPr>
            </w:pPr>
            <w:r w:rsidRPr="00B1642D">
              <w:rPr>
                <w:sz w:val="20"/>
                <w:szCs w:val="20"/>
              </w:rPr>
              <w:t>Česká republika</w:t>
            </w:r>
          </w:p>
        </w:tc>
      </w:tr>
      <w:tr w:rsidR="00890402" w:rsidRPr="00B1642D" w:rsidTr="009655D6">
        <w:tc>
          <w:tcPr>
            <w:tcW w:w="10339" w:type="dxa"/>
            <w:gridSpan w:val="6"/>
          </w:tcPr>
          <w:p w:rsidR="00890402" w:rsidRPr="00B1642D" w:rsidRDefault="00890402" w:rsidP="005E0C4A">
            <w:pPr>
              <w:jc w:val="both"/>
              <w:rPr>
                <w:bCs/>
                <w:sz w:val="18"/>
                <w:szCs w:val="18"/>
              </w:rPr>
            </w:pPr>
            <w:r w:rsidRPr="00B1642D">
              <w:rPr>
                <w:bCs/>
                <w:sz w:val="18"/>
                <w:szCs w:val="18"/>
              </w:rPr>
              <w:t>Poznámky:</w:t>
            </w:r>
          </w:p>
          <w:p w:rsidR="00890402" w:rsidRPr="00B1642D" w:rsidRDefault="00890402" w:rsidP="005E0C4A">
            <w:pPr>
              <w:jc w:val="both"/>
              <w:rPr>
                <w:bCs/>
                <w:sz w:val="18"/>
                <w:szCs w:val="18"/>
              </w:rPr>
            </w:pPr>
            <w:r w:rsidRPr="00B1642D">
              <w:rPr>
                <w:bCs/>
                <w:sz w:val="18"/>
                <w:szCs w:val="18"/>
              </w:rPr>
              <w:t>Pojištění obecné odpovědnosti za újmu a pojištění odpovědnosti za újmu způsobenou vadou výrobku a vadou práce po předání se nevztahuje na tyto živnosti pojištěného:</w:t>
            </w:r>
          </w:p>
          <w:p w:rsidR="00890402" w:rsidRPr="00B1642D" w:rsidRDefault="00890402" w:rsidP="00890402">
            <w:pPr>
              <w:numPr>
                <w:ilvl w:val="0"/>
                <w:numId w:val="33"/>
              </w:numPr>
              <w:ind w:left="227" w:hanging="227"/>
              <w:jc w:val="both"/>
              <w:rPr>
                <w:bCs/>
                <w:sz w:val="18"/>
                <w:szCs w:val="18"/>
              </w:rPr>
            </w:pPr>
            <w:r w:rsidRPr="00B1642D">
              <w:rPr>
                <w:bCs/>
                <w:sz w:val="18"/>
                <w:szCs w:val="18"/>
              </w:rPr>
              <w:t>Silniční motorová doprava - nákladní provozovaná vozidly nebo jízdními soupravami o největší povolené hmotnosti přesahující 3,5 tuny, jsou-li určeny k přepravě zvířat nebo věcí</w:t>
            </w:r>
          </w:p>
          <w:p w:rsidR="00890402" w:rsidRPr="00B1642D" w:rsidRDefault="00890402" w:rsidP="00890402">
            <w:pPr>
              <w:numPr>
                <w:ilvl w:val="0"/>
                <w:numId w:val="33"/>
              </w:numPr>
              <w:ind w:left="227" w:hanging="227"/>
              <w:jc w:val="both"/>
              <w:rPr>
                <w:bCs/>
                <w:sz w:val="18"/>
                <w:szCs w:val="18"/>
              </w:rPr>
            </w:pPr>
            <w:r w:rsidRPr="00B1642D">
              <w:rPr>
                <w:bCs/>
                <w:sz w:val="18"/>
                <w:szCs w:val="18"/>
              </w:rPr>
              <w:t>Skladování, balení zboží, manipulace s nákladem a technické činnosti v dopravě</w:t>
            </w:r>
          </w:p>
        </w:tc>
      </w:tr>
      <w:tr w:rsidR="008548F4" w:rsidRPr="00B1642D" w:rsidTr="009655D6">
        <w:tc>
          <w:tcPr>
            <w:tcW w:w="10339" w:type="dxa"/>
            <w:gridSpan w:val="6"/>
          </w:tcPr>
          <w:p w:rsidR="008548F4" w:rsidRPr="00B1642D" w:rsidRDefault="008548F4" w:rsidP="005E0C4A">
            <w:pPr>
              <w:jc w:val="both"/>
              <w:rPr>
                <w:sz w:val="18"/>
                <w:szCs w:val="18"/>
              </w:rPr>
            </w:pPr>
            <w:r w:rsidRPr="00B1642D">
              <w:rPr>
                <w:sz w:val="18"/>
                <w:szCs w:val="18"/>
              </w:rPr>
              <w:t>Pojištění odpovědnosti za újmu způsobenou vadou výrobku a vadou práce po předání se nevztahuje na tuto živnost pojištěného:</w:t>
            </w:r>
          </w:p>
          <w:p w:rsidR="008548F4" w:rsidRPr="00B1642D" w:rsidRDefault="008548F4" w:rsidP="008548F4">
            <w:pPr>
              <w:numPr>
                <w:ilvl w:val="0"/>
                <w:numId w:val="33"/>
              </w:numPr>
              <w:ind w:left="227" w:hanging="227"/>
              <w:jc w:val="both"/>
              <w:rPr>
                <w:sz w:val="18"/>
                <w:szCs w:val="18"/>
              </w:rPr>
            </w:pPr>
            <w:r w:rsidRPr="00B1642D">
              <w:rPr>
                <w:sz w:val="18"/>
                <w:szCs w:val="18"/>
              </w:rPr>
              <w:t>Podnikání v oblasti nakládání s nebezpečnými odpady</w:t>
            </w:r>
          </w:p>
          <w:p w:rsidR="008548F4" w:rsidRPr="00B1642D" w:rsidRDefault="008548F4" w:rsidP="008548F4">
            <w:pPr>
              <w:numPr>
                <w:ilvl w:val="0"/>
                <w:numId w:val="33"/>
              </w:numPr>
              <w:ind w:left="227" w:hanging="227"/>
              <w:jc w:val="both"/>
              <w:rPr>
                <w:sz w:val="18"/>
                <w:szCs w:val="18"/>
              </w:rPr>
            </w:pPr>
            <w:r w:rsidRPr="00B1642D">
              <w:rPr>
                <w:sz w:val="18"/>
                <w:szCs w:val="18"/>
              </w:rPr>
              <w:t>Chov zvířat a jejich výcvik (s výjimkou živočišné výroby)</w:t>
            </w:r>
          </w:p>
          <w:p w:rsidR="008548F4" w:rsidRPr="00B1642D" w:rsidRDefault="008548F4" w:rsidP="008548F4">
            <w:pPr>
              <w:numPr>
                <w:ilvl w:val="0"/>
                <w:numId w:val="33"/>
              </w:numPr>
              <w:ind w:left="227" w:hanging="227"/>
              <w:jc w:val="both"/>
              <w:rPr>
                <w:sz w:val="18"/>
                <w:szCs w:val="18"/>
              </w:rPr>
            </w:pPr>
            <w:r w:rsidRPr="00B1642D">
              <w:rPr>
                <w:sz w:val="18"/>
                <w:szCs w:val="18"/>
              </w:rPr>
              <w:t>Nakládání s odpady (vyjma nebezpečných)</w:t>
            </w:r>
          </w:p>
          <w:p w:rsidR="008548F4" w:rsidRPr="00B1642D" w:rsidRDefault="008548F4" w:rsidP="008548F4">
            <w:pPr>
              <w:numPr>
                <w:ilvl w:val="0"/>
                <w:numId w:val="33"/>
              </w:numPr>
              <w:ind w:left="227" w:hanging="227"/>
              <w:jc w:val="both"/>
              <w:rPr>
                <w:sz w:val="18"/>
                <w:szCs w:val="18"/>
              </w:rPr>
            </w:pPr>
            <w:r w:rsidRPr="00B1642D">
              <w:rPr>
                <w:sz w:val="18"/>
                <w:szCs w:val="18"/>
              </w:rPr>
              <w:t>Realitní činnost, správa a údržba nemovitostí</w:t>
            </w:r>
          </w:p>
          <w:p w:rsidR="008548F4" w:rsidRPr="00B1642D" w:rsidRDefault="008548F4" w:rsidP="008548F4">
            <w:pPr>
              <w:numPr>
                <w:ilvl w:val="0"/>
                <w:numId w:val="33"/>
              </w:numPr>
              <w:ind w:left="227" w:hanging="227"/>
              <w:jc w:val="both"/>
              <w:rPr>
                <w:sz w:val="18"/>
                <w:szCs w:val="18"/>
              </w:rPr>
            </w:pPr>
            <w:r w:rsidRPr="00B1642D">
              <w:rPr>
                <w:sz w:val="18"/>
                <w:szCs w:val="18"/>
              </w:rPr>
              <w:t>Poradenská a konzultační činnost, zpracování odborných studií a posudků</w:t>
            </w:r>
          </w:p>
          <w:p w:rsidR="008548F4" w:rsidRPr="00B1642D" w:rsidRDefault="008548F4" w:rsidP="008548F4">
            <w:pPr>
              <w:numPr>
                <w:ilvl w:val="0"/>
                <w:numId w:val="33"/>
              </w:numPr>
              <w:ind w:left="227" w:hanging="227"/>
              <w:jc w:val="both"/>
              <w:rPr>
                <w:sz w:val="18"/>
                <w:szCs w:val="18"/>
              </w:rPr>
            </w:pPr>
            <w:r w:rsidRPr="00B1642D">
              <w:rPr>
                <w:sz w:val="18"/>
                <w:szCs w:val="18"/>
              </w:rPr>
              <w:t>Reklamní činnost, marketing, mediální zastoupení</w:t>
            </w:r>
          </w:p>
          <w:p w:rsidR="008548F4" w:rsidRPr="00B1642D" w:rsidRDefault="008548F4" w:rsidP="008548F4">
            <w:pPr>
              <w:numPr>
                <w:ilvl w:val="0"/>
                <w:numId w:val="33"/>
              </w:numPr>
              <w:ind w:left="227" w:hanging="227"/>
              <w:jc w:val="both"/>
              <w:rPr>
                <w:sz w:val="18"/>
                <w:szCs w:val="18"/>
              </w:rPr>
            </w:pPr>
            <w:r w:rsidRPr="00B1642D">
              <w:rPr>
                <w:sz w:val="18"/>
                <w:szCs w:val="18"/>
              </w:rPr>
              <w:t>Služby v oblasti administrativní správy a služby organizačně hospodářské povahy</w:t>
            </w:r>
          </w:p>
          <w:p w:rsidR="008548F4" w:rsidRPr="00B1642D" w:rsidRDefault="008548F4" w:rsidP="008548F4">
            <w:pPr>
              <w:numPr>
                <w:ilvl w:val="0"/>
                <w:numId w:val="33"/>
              </w:numPr>
              <w:ind w:left="227" w:hanging="227"/>
              <w:jc w:val="both"/>
              <w:rPr>
                <w:sz w:val="18"/>
                <w:szCs w:val="18"/>
              </w:rPr>
            </w:pPr>
            <w:r w:rsidRPr="00B1642D">
              <w:rPr>
                <w:sz w:val="18"/>
                <w:szCs w:val="18"/>
              </w:rPr>
              <w:t>Provozování kulturních, kulturně-vzdělávacích a zábavních zařízení, pořádání kulturních produkcí, zábav, výstav, veletrhů, přehlídek, prodejních a obdobných akcí</w:t>
            </w:r>
          </w:p>
          <w:p w:rsidR="008548F4" w:rsidRPr="00B1642D" w:rsidRDefault="008548F4" w:rsidP="008548F4">
            <w:pPr>
              <w:numPr>
                <w:ilvl w:val="0"/>
                <w:numId w:val="33"/>
              </w:numPr>
              <w:ind w:left="227" w:hanging="227"/>
              <w:jc w:val="both"/>
              <w:rPr>
                <w:sz w:val="18"/>
                <w:szCs w:val="18"/>
              </w:rPr>
            </w:pPr>
            <w:r w:rsidRPr="00B1642D">
              <w:rPr>
                <w:sz w:val="18"/>
                <w:szCs w:val="18"/>
              </w:rPr>
              <w:t>Poskytování technických služeb</w:t>
            </w:r>
          </w:p>
          <w:p w:rsidR="008548F4" w:rsidRPr="00B1642D" w:rsidRDefault="008548F4" w:rsidP="008548F4">
            <w:pPr>
              <w:numPr>
                <w:ilvl w:val="0"/>
                <w:numId w:val="33"/>
              </w:numPr>
              <w:ind w:left="227" w:hanging="227"/>
              <w:jc w:val="both"/>
              <w:rPr>
                <w:sz w:val="18"/>
                <w:szCs w:val="18"/>
              </w:rPr>
            </w:pPr>
            <w:r w:rsidRPr="00B1642D">
              <w:rPr>
                <w:sz w:val="18"/>
                <w:szCs w:val="18"/>
              </w:rPr>
              <w:t>Poskytování služeb osobního charakteru a pro osobní hygienu</w:t>
            </w:r>
          </w:p>
          <w:p w:rsidR="008548F4" w:rsidRPr="00B1642D" w:rsidRDefault="008548F4" w:rsidP="008548F4">
            <w:pPr>
              <w:numPr>
                <w:ilvl w:val="0"/>
                <w:numId w:val="33"/>
              </w:numPr>
              <w:ind w:left="227" w:hanging="227"/>
              <w:jc w:val="both"/>
              <w:rPr>
                <w:sz w:val="18"/>
                <w:szCs w:val="18"/>
              </w:rPr>
            </w:pPr>
            <w:r w:rsidRPr="00B1642D">
              <w:rPr>
                <w:sz w:val="18"/>
                <w:szCs w:val="18"/>
              </w:rPr>
              <w:t>Výroba, obchod a služby jinde nezařazené</w:t>
            </w:r>
          </w:p>
        </w:tc>
      </w:tr>
      <w:tr w:rsidR="003A3192" w:rsidRPr="00B1642D" w:rsidTr="009655D6">
        <w:tc>
          <w:tcPr>
            <w:tcW w:w="10339" w:type="dxa"/>
            <w:gridSpan w:val="6"/>
          </w:tcPr>
          <w:p w:rsidR="003A3192" w:rsidRPr="00B1642D" w:rsidRDefault="003A3192" w:rsidP="009745B9">
            <w:pPr>
              <w:tabs>
                <w:tab w:val="left" w:pos="-1440"/>
                <w:tab w:val="left" w:pos="-720"/>
              </w:tabs>
              <w:jc w:val="both"/>
              <w:rPr>
                <w:spacing w:val="-2"/>
                <w:sz w:val="18"/>
                <w:szCs w:val="18"/>
              </w:rPr>
            </w:pPr>
            <w:r w:rsidRPr="00B1642D">
              <w:rPr>
                <w:spacing w:val="-2"/>
                <w:sz w:val="18"/>
                <w:szCs w:val="18"/>
              </w:rPr>
              <w:t>Při zachování ustanovení, podmínek a ujednání této pojistné smlouvy se ujednává, že pojistitel poskytne pojistné plnění za škodu na stávajících podzemních kabelech nebo potrubí nebo jiných podzemních zařízeních jedině tehdy, jestliže se pojištěný před začátkem prací informoval u příslušných úřadů na přesnou polohu těchto kabelů, potrubí nebo jiných podzemních zařízení, a jestliže podnikl veškeré nezbytné kroky, aby se vyhnul jejich poškození.</w:t>
            </w:r>
          </w:p>
          <w:p w:rsidR="003A3192" w:rsidRPr="00B1642D" w:rsidRDefault="003A3192" w:rsidP="009745B9">
            <w:pPr>
              <w:tabs>
                <w:tab w:val="left" w:pos="-1440"/>
                <w:tab w:val="left" w:pos="-720"/>
              </w:tabs>
              <w:jc w:val="both"/>
              <w:rPr>
                <w:spacing w:val="-2"/>
                <w:sz w:val="18"/>
                <w:szCs w:val="18"/>
              </w:rPr>
            </w:pPr>
            <w:r w:rsidRPr="00B1642D">
              <w:rPr>
                <w:spacing w:val="-2"/>
                <w:sz w:val="18"/>
                <w:szCs w:val="18"/>
              </w:rPr>
              <w:t>Pojistné plnění za škody na podzemních kabelech nebo potrubí nebo jiných podzemních zařízeních, jejichž poloha odpovídá dokumentaci (nákresy znázorňující polohu podzemních zařízení), bude vyplaceno po odečtení spoluúčasti ve výši 20 % pojistného plnění nebo spoluúčasti uvedené níže pod bodem a), podle toho, která z nich je vyšší.</w:t>
            </w:r>
          </w:p>
          <w:p w:rsidR="003A3192" w:rsidRPr="00B1642D" w:rsidRDefault="003A3192" w:rsidP="009745B9">
            <w:pPr>
              <w:tabs>
                <w:tab w:val="left" w:pos="-1440"/>
                <w:tab w:val="left" w:pos="-720"/>
              </w:tabs>
              <w:jc w:val="both"/>
              <w:rPr>
                <w:spacing w:val="-2"/>
                <w:sz w:val="18"/>
                <w:szCs w:val="18"/>
              </w:rPr>
            </w:pPr>
            <w:r w:rsidRPr="00B1642D">
              <w:rPr>
                <w:spacing w:val="-2"/>
                <w:sz w:val="18"/>
                <w:szCs w:val="18"/>
              </w:rPr>
              <w:t>Pojistné plnění za škody na podzemních zařízeních, která jsou v dokumentaci zachycena nesprávně, bude vyplaceno po odečtení spoluúčasti uvedené níže pod bodem b).</w:t>
            </w:r>
          </w:p>
          <w:p w:rsidR="003A3192" w:rsidRPr="00B1642D" w:rsidRDefault="003A3192" w:rsidP="009745B9">
            <w:pPr>
              <w:tabs>
                <w:tab w:val="left" w:pos="-1440"/>
                <w:tab w:val="left" w:pos="-720"/>
                <w:tab w:val="left" w:pos="993"/>
              </w:tabs>
              <w:jc w:val="both"/>
              <w:rPr>
                <w:spacing w:val="-2"/>
                <w:sz w:val="18"/>
                <w:szCs w:val="18"/>
              </w:rPr>
            </w:pPr>
            <w:r w:rsidRPr="00B1642D">
              <w:rPr>
                <w:b/>
                <w:spacing w:val="-2"/>
                <w:sz w:val="18"/>
                <w:szCs w:val="18"/>
              </w:rPr>
              <w:t>Spoluúčast:</w:t>
            </w:r>
            <w:r w:rsidRPr="00B1642D">
              <w:rPr>
                <w:b/>
                <w:spacing w:val="-2"/>
                <w:sz w:val="18"/>
                <w:szCs w:val="18"/>
              </w:rPr>
              <w:tab/>
            </w:r>
            <w:r w:rsidRPr="00B1642D">
              <w:rPr>
                <w:spacing w:val="-2"/>
                <w:sz w:val="18"/>
                <w:szCs w:val="18"/>
              </w:rPr>
              <w:t>a) 20% výše škody, minimálně 20 000 Kč při každé pojistné události</w:t>
            </w:r>
          </w:p>
          <w:p w:rsidR="003A3192" w:rsidRPr="00B1642D" w:rsidRDefault="003A3192" w:rsidP="009745B9">
            <w:pPr>
              <w:tabs>
                <w:tab w:val="left" w:pos="-1440"/>
                <w:tab w:val="left" w:pos="-720"/>
                <w:tab w:val="left" w:pos="993"/>
              </w:tabs>
              <w:jc w:val="both"/>
              <w:rPr>
                <w:spacing w:val="-2"/>
                <w:sz w:val="18"/>
                <w:szCs w:val="18"/>
              </w:rPr>
            </w:pPr>
            <w:r w:rsidRPr="00B1642D">
              <w:rPr>
                <w:spacing w:val="-2"/>
                <w:sz w:val="18"/>
                <w:szCs w:val="18"/>
              </w:rPr>
              <w:tab/>
              <w:t>b) 20 000 Kč</w:t>
            </w:r>
          </w:p>
        </w:tc>
      </w:tr>
      <w:tr w:rsidR="008548F4" w:rsidRPr="00B1642D" w:rsidTr="009655D6">
        <w:tc>
          <w:tcPr>
            <w:tcW w:w="10339" w:type="dxa"/>
            <w:gridSpan w:val="6"/>
          </w:tcPr>
          <w:p w:rsidR="008548F4" w:rsidRPr="00B1642D" w:rsidRDefault="008548F4" w:rsidP="005E0C4A">
            <w:pPr>
              <w:jc w:val="both"/>
              <w:rPr>
                <w:sz w:val="18"/>
                <w:szCs w:val="18"/>
              </w:rPr>
            </w:pPr>
            <w:r w:rsidRPr="00B1642D">
              <w:rPr>
                <w:sz w:val="18"/>
                <w:szCs w:val="18"/>
              </w:rPr>
              <w:t>Odchylně od čl. 2 odst. 1) písm. s) ZPP P-600/14 se pojištění vztahuje i na odpovědnost za újmu způsobenou v souvislosti s nakládáním se stlačenými nebo zkapalněnými plyny (ne však v souvislosti s nakládáním se střelivem, pyrotechnikou, výbušninami, nebezpečnými chemickými látkami nebo přípravky nebo nebezpečnými odpady). Sublimit pojistného plnění (horní hranice pojistného plnění z jedné pojistné události a ze všech pojistných událostí vzniklých během jednoho pojistného roku), který se sjednává v rámci limitu pojistného plnění, činí 1 000 000 Kč.</w:t>
            </w:r>
          </w:p>
          <w:p w:rsidR="008548F4" w:rsidRPr="00B1642D" w:rsidRDefault="008548F4" w:rsidP="005E0C4A">
            <w:pPr>
              <w:jc w:val="both"/>
              <w:rPr>
                <w:sz w:val="18"/>
                <w:szCs w:val="18"/>
              </w:rPr>
            </w:pPr>
            <w:r w:rsidRPr="00B1642D">
              <w:rPr>
                <w:sz w:val="18"/>
                <w:szCs w:val="18"/>
              </w:rPr>
              <w:t>Spoluúčast pojištěného na plnění z každé pojistné události činí 20 000 Kč.</w:t>
            </w:r>
          </w:p>
        </w:tc>
      </w:tr>
      <w:tr w:rsidR="008548F4" w:rsidRPr="00B1642D" w:rsidTr="009655D6">
        <w:tc>
          <w:tcPr>
            <w:tcW w:w="10339" w:type="dxa"/>
            <w:gridSpan w:val="6"/>
          </w:tcPr>
          <w:p w:rsidR="008548F4" w:rsidRPr="00B1642D" w:rsidRDefault="008548F4" w:rsidP="005E0C4A">
            <w:pPr>
              <w:rPr>
                <w:sz w:val="18"/>
                <w:szCs w:val="18"/>
              </w:rPr>
            </w:pPr>
            <w:r w:rsidRPr="00B1642D">
              <w:rPr>
                <w:sz w:val="18"/>
                <w:szCs w:val="18"/>
              </w:rPr>
              <w:t>Výluky z pojištění</w:t>
            </w:r>
          </w:p>
          <w:p w:rsidR="008548F4" w:rsidRPr="00B1642D" w:rsidRDefault="008548F4" w:rsidP="008548F4">
            <w:pPr>
              <w:numPr>
                <w:ilvl w:val="0"/>
                <w:numId w:val="33"/>
              </w:numPr>
              <w:ind w:left="227" w:hanging="227"/>
              <w:jc w:val="both"/>
              <w:rPr>
                <w:sz w:val="18"/>
                <w:szCs w:val="18"/>
              </w:rPr>
            </w:pPr>
            <w:r w:rsidRPr="00B1642D">
              <w:rPr>
                <w:sz w:val="18"/>
                <w:szCs w:val="18"/>
              </w:rPr>
              <w:t>pojištění se nevztahuje na odpovědnost za škodu vzniklou v souvislosti s výstavbou a údržbou přehrad</w:t>
            </w:r>
          </w:p>
          <w:p w:rsidR="008548F4" w:rsidRPr="00B1642D" w:rsidRDefault="008548F4" w:rsidP="008548F4">
            <w:pPr>
              <w:numPr>
                <w:ilvl w:val="0"/>
                <w:numId w:val="33"/>
              </w:numPr>
              <w:ind w:left="227" w:hanging="227"/>
              <w:jc w:val="both"/>
              <w:rPr>
                <w:sz w:val="18"/>
                <w:szCs w:val="18"/>
              </w:rPr>
            </w:pPr>
            <w:r w:rsidRPr="00B1642D">
              <w:rPr>
                <w:sz w:val="18"/>
                <w:szCs w:val="18"/>
              </w:rPr>
              <w:t>výroba betonových směsí a prefabrikovaných prvků pro stavební účely</w:t>
            </w:r>
          </w:p>
          <w:p w:rsidR="008548F4" w:rsidRPr="00B1642D" w:rsidRDefault="008548F4" w:rsidP="008548F4">
            <w:pPr>
              <w:numPr>
                <w:ilvl w:val="0"/>
                <w:numId w:val="33"/>
              </w:numPr>
              <w:ind w:left="227" w:hanging="227"/>
              <w:jc w:val="both"/>
              <w:rPr>
                <w:sz w:val="18"/>
                <w:szCs w:val="18"/>
              </w:rPr>
            </w:pPr>
            <w:r w:rsidRPr="00B1642D">
              <w:rPr>
                <w:sz w:val="18"/>
                <w:szCs w:val="18"/>
              </w:rPr>
              <w:t>podzemní a podvodní doly a všechny podzemní práce s nimi spojené</w:t>
            </w:r>
          </w:p>
          <w:p w:rsidR="008548F4" w:rsidRPr="00B1642D" w:rsidRDefault="008548F4" w:rsidP="008548F4">
            <w:pPr>
              <w:numPr>
                <w:ilvl w:val="0"/>
                <w:numId w:val="33"/>
              </w:numPr>
              <w:ind w:left="227" w:hanging="227"/>
              <w:jc w:val="both"/>
              <w:rPr>
                <w:sz w:val="18"/>
                <w:szCs w:val="18"/>
              </w:rPr>
            </w:pPr>
            <w:r w:rsidRPr="00B1642D">
              <w:rPr>
                <w:sz w:val="18"/>
                <w:szCs w:val="18"/>
              </w:rPr>
              <w:t>v souvislosti s výstavbou a údržbou přehrad</w:t>
            </w:r>
          </w:p>
          <w:p w:rsidR="008548F4" w:rsidRPr="00B1642D" w:rsidRDefault="008548F4" w:rsidP="008548F4">
            <w:pPr>
              <w:numPr>
                <w:ilvl w:val="0"/>
                <w:numId w:val="33"/>
              </w:numPr>
              <w:ind w:left="227" w:hanging="227"/>
              <w:jc w:val="both"/>
              <w:rPr>
                <w:sz w:val="18"/>
                <w:szCs w:val="18"/>
              </w:rPr>
            </w:pPr>
            <w:r w:rsidRPr="00B1642D">
              <w:rPr>
                <w:sz w:val="18"/>
                <w:szCs w:val="18"/>
              </w:rPr>
              <w:t>ražba tunelů vč. s ní souvisejících výkopových prací (nevztahuje se na tunely/výkopy s průměrem/šířkou 3 metry a méně)</w:t>
            </w:r>
          </w:p>
          <w:p w:rsidR="008548F4" w:rsidRPr="00B1642D" w:rsidRDefault="008548F4" w:rsidP="008548F4">
            <w:pPr>
              <w:numPr>
                <w:ilvl w:val="0"/>
                <w:numId w:val="33"/>
              </w:numPr>
              <w:ind w:left="227" w:hanging="227"/>
              <w:jc w:val="both"/>
              <w:rPr>
                <w:sz w:val="18"/>
                <w:szCs w:val="18"/>
              </w:rPr>
            </w:pPr>
            <w:r w:rsidRPr="00B1642D">
              <w:rPr>
                <w:sz w:val="18"/>
                <w:szCs w:val="18"/>
              </w:rPr>
              <w:t>zabývající se výlučně bouráním a demolicemi</w:t>
            </w:r>
          </w:p>
          <w:p w:rsidR="008548F4" w:rsidRPr="00B1642D" w:rsidRDefault="008548F4" w:rsidP="008548F4">
            <w:pPr>
              <w:numPr>
                <w:ilvl w:val="0"/>
                <w:numId w:val="33"/>
              </w:numPr>
              <w:ind w:left="227" w:hanging="227"/>
              <w:jc w:val="both"/>
              <w:rPr>
                <w:sz w:val="18"/>
                <w:szCs w:val="18"/>
              </w:rPr>
            </w:pPr>
            <w:r w:rsidRPr="00B1642D">
              <w:rPr>
                <w:sz w:val="18"/>
                <w:szCs w:val="18"/>
              </w:rPr>
              <w:t>v souvislosti s pracemi pod vodou</w:t>
            </w:r>
          </w:p>
        </w:tc>
      </w:tr>
      <w:tr w:rsidR="003A3192" w:rsidRPr="00B1642D" w:rsidTr="009655D6">
        <w:tc>
          <w:tcPr>
            <w:tcW w:w="10339" w:type="dxa"/>
            <w:gridSpan w:val="6"/>
          </w:tcPr>
          <w:p w:rsidR="003A3192" w:rsidRPr="00B1642D" w:rsidRDefault="003A3192" w:rsidP="003A3192">
            <w:pPr>
              <w:jc w:val="both"/>
              <w:rPr>
                <w:sz w:val="18"/>
                <w:szCs w:val="18"/>
              </w:rPr>
            </w:pPr>
            <w:r w:rsidRPr="00B1642D">
              <w:rPr>
                <w:sz w:val="18"/>
                <w:szCs w:val="18"/>
              </w:rPr>
              <w:t>V případě, že příčina vzniku újmy nastala v době od 10. 11. 2014 do 09. 11. 2017, poskytne pojistitel pojistné plnění z pojištění obecné odpovědnosti za újmu a pojištění odpovědnosti za újmu způsobenou vadou výrobku a vadou práce po předání</w:t>
            </w:r>
            <w:r w:rsidRPr="00B1642D">
              <w:rPr>
                <w:b/>
                <w:color w:val="FF00FF"/>
                <w:sz w:val="18"/>
                <w:szCs w:val="18"/>
              </w:rPr>
              <w:t xml:space="preserve"> </w:t>
            </w:r>
            <w:r w:rsidRPr="00B1642D">
              <w:rPr>
                <w:sz w:val="18"/>
                <w:szCs w:val="18"/>
              </w:rPr>
              <w:t>maximálně do výše sublimitu pojistného plnění</w:t>
            </w:r>
            <w:r w:rsidRPr="00B1642D">
              <w:rPr>
                <w:sz w:val="18"/>
                <w:szCs w:val="18"/>
                <w:vertAlign w:val="superscript"/>
              </w:rPr>
              <w:t>7)</w:t>
            </w:r>
            <w:r w:rsidRPr="00B1642D">
              <w:rPr>
                <w:sz w:val="18"/>
                <w:szCs w:val="18"/>
              </w:rPr>
              <w:t>, který činí 3 000 000 Kč.</w:t>
            </w:r>
          </w:p>
        </w:tc>
      </w:tr>
    </w:tbl>
    <w:p w:rsidR="00292B25" w:rsidRDefault="00292B25" w:rsidP="007A2187">
      <w:pPr>
        <w:rPr>
          <w:b/>
          <w:sz w:val="20"/>
          <w:szCs w:val="20"/>
        </w:rPr>
      </w:pPr>
    </w:p>
    <w:p w:rsidR="00B1642D" w:rsidRDefault="00B1642D" w:rsidP="007A2187">
      <w:pPr>
        <w:rPr>
          <w:b/>
          <w:sz w:val="20"/>
          <w:szCs w:val="20"/>
        </w:rPr>
      </w:pPr>
    </w:p>
    <w:p w:rsidR="00B1642D" w:rsidRPr="006368D9" w:rsidRDefault="00B1642D" w:rsidP="007A2187">
      <w:pPr>
        <w:rPr>
          <w:b/>
          <w:sz w:val="20"/>
          <w:szCs w:val="20"/>
        </w:rPr>
      </w:pPr>
    </w:p>
    <w:p w:rsidR="00292B25" w:rsidRPr="006368D9" w:rsidRDefault="00292B25" w:rsidP="00107F95">
      <w:pPr>
        <w:tabs>
          <w:tab w:val="left" w:pos="284"/>
        </w:tabs>
        <w:ind w:left="284" w:hanging="284"/>
        <w:jc w:val="both"/>
        <w:rPr>
          <w:rFonts w:cs="Arial"/>
          <w:sz w:val="18"/>
        </w:rPr>
      </w:pPr>
      <w:r w:rsidRPr="006368D9">
        <w:rPr>
          <w:b/>
          <w:sz w:val="20"/>
          <w:szCs w:val="20"/>
          <w:vertAlign w:val="superscript"/>
        </w:rPr>
        <w:t>5)</w:t>
      </w:r>
      <w:r w:rsidRPr="006368D9">
        <w:rPr>
          <w:rFonts w:cs="Arial"/>
          <w:sz w:val="18"/>
        </w:rPr>
        <w:tab/>
        <w:t>spoluúčast může být vyjádřena pevnou částkou, procentem, časovým úsekem nebo jejich kombinací ve smyslu čl.</w:t>
      </w:r>
      <w:r>
        <w:rPr>
          <w:rFonts w:cs="Arial"/>
          <w:sz w:val="18"/>
        </w:rPr>
        <w:t> </w:t>
      </w:r>
      <w:r w:rsidRPr="006368D9">
        <w:rPr>
          <w:rFonts w:cs="Arial"/>
          <w:sz w:val="18"/>
        </w:rPr>
        <w:t>11</w:t>
      </w:r>
      <w:r>
        <w:rPr>
          <w:rFonts w:cs="Arial"/>
          <w:sz w:val="18"/>
        </w:rPr>
        <w:t> </w:t>
      </w:r>
      <w:r w:rsidRPr="006368D9">
        <w:rPr>
          <w:rFonts w:cs="Arial"/>
          <w:sz w:val="18"/>
        </w:rPr>
        <w:t>odst. 4) VPP P-100/14</w:t>
      </w:r>
    </w:p>
    <w:p w:rsidR="00292B25" w:rsidRPr="006368D9" w:rsidRDefault="00292B25" w:rsidP="00107F95">
      <w:pPr>
        <w:tabs>
          <w:tab w:val="left" w:pos="284"/>
        </w:tabs>
        <w:ind w:left="284" w:hanging="284"/>
        <w:jc w:val="both"/>
        <w:rPr>
          <w:rFonts w:cs="Arial"/>
          <w:sz w:val="18"/>
        </w:rPr>
      </w:pPr>
      <w:r w:rsidRPr="006368D9">
        <w:rPr>
          <w:b/>
          <w:sz w:val="20"/>
          <w:szCs w:val="20"/>
          <w:vertAlign w:val="superscript"/>
        </w:rPr>
        <w:t>6)</w:t>
      </w:r>
      <w:r w:rsidRPr="006368D9">
        <w:rPr>
          <w:rFonts w:cs="Arial"/>
          <w:sz w:val="18"/>
        </w:rPr>
        <w:tab/>
      </w:r>
      <w:r w:rsidRPr="006368D9">
        <w:rPr>
          <w:rFonts w:cs="Arial"/>
          <w:bCs/>
          <w:sz w:val="18"/>
        </w:rPr>
        <w:t>odchylně od čl. 8 odst. 1) věta druhá ZPP P-600/14 poskytne pojistitel na úhradu všech pojistných událostí nastalých během jednoho</w:t>
      </w:r>
      <w:r w:rsidRPr="006368D9">
        <w:rPr>
          <w:rFonts w:cs="Arial"/>
          <w:sz w:val="18"/>
        </w:rPr>
        <w:t xml:space="preserve"> pojistného roku pojistné plnění v souhrnu maximálně do výše limitu pojistného plnění</w:t>
      </w:r>
    </w:p>
    <w:p w:rsidR="00292B25" w:rsidRDefault="00292B25" w:rsidP="00107F95">
      <w:pPr>
        <w:tabs>
          <w:tab w:val="left" w:pos="284"/>
        </w:tabs>
        <w:ind w:left="284" w:hanging="284"/>
        <w:jc w:val="both"/>
        <w:rPr>
          <w:rFonts w:cs="Arial"/>
          <w:sz w:val="18"/>
        </w:rPr>
      </w:pPr>
      <w:r w:rsidRPr="006368D9">
        <w:rPr>
          <w:b/>
          <w:sz w:val="20"/>
          <w:szCs w:val="20"/>
          <w:vertAlign w:val="superscript"/>
        </w:rPr>
        <w:t>7)</w:t>
      </w:r>
      <w:r w:rsidRPr="006368D9">
        <w:rPr>
          <w:rFonts w:cs="Arial"/>
          <w:sz w:val="18"/>
        </w:rPr>
        <w:tab/>
      </w:r>
      <w:r w:rsidRPr="006368D9">
        <w:rPr>
          <w:rFonts w:cs="Arial"/>
          <w:bCs/>
          <w:sz w:val="18"/>
        </w:rPr>
        <w:t>odchylně od čl. 8 odst. 2) věta třetí ZPP P-600/14 poskytne pojistitel na úhradu všech pojistných událostí nastalých během jednoho</w:t>
      </w:r>
      <w:r w:rsidRPr="006368D9">
        <w:rPr>
          <w:rFonts w:cs="Arial"/>
          <w:sz w:val="18"/>
        </w:rPr>
        <w:t xml:space="preserve"> pojistného roku pojistné plnění v souhrnu maximálně do výše sublimitu pojistného plnění</w:t>
      </w:r>
    </w:p>
    <w:p w:rsidR="00AF2E4B" w:rsidRPr="00EF65A7" w:rsidRDefault="00AF2E4B" w:rsidP="00DF498C">
      <w:pPr>
        <w:numPr>
          <w:ilvl w:val="0"/>
          <w:numId w:val="30"/>
        </w:numPr>
        <w:tabs>
          <w:tab w:val="clear" w:pos="720"/>
          <w:tab w:val="num" w:pos="360"/>
        </w:tabs>
        <w:spacing w:before="240"/>
        <w:ind w:left="340" w:hanging="340"/>
        <w:jc w:val="both"/>
        <w:rPr>
          <w:b/>
          <w:sz w:val="20"/>
          <w:szCs w:val="20"/>
        </w:rPr>
      </w:pPr>
      <w:bookmarkStart w:id="1" w:name="_Toc367839357"/>
      <w:r w:rsidRPr="00EF65A7">
        <w:rPr>
          <w:b/>
          <w:sz w:val="20"/>
          <w:szCs w:val="20"/>
        </w:rPr>
        <w:t>Článek I</w:t>
      </w:r>
      <w:r>
        <w:rPr>
          <w:b/>
          <w:sz w:val="20"/>
          <w:szCs w:val="20"/>
        </w:rPr>
        <w:t>I</w:t>
      </w:r>
      <w:r w:rsidRPr="00EF65A7">
        <w:rPr>
          <w:b/>
          <w:sz w:val="20"/>
          <w:szCs w:val="20"/>
        </w:rPr>
        <w:t>I. (</w:t>
      </w:r>
      <w:r>
        <w:rPr>
          <w:b/>
          <w:sz w:val="20"/>
          <w:szCs w:val="20"/>
        </w:rPr>
        <w:t>Výše a způsob placení pojistného</w:t>
      </w:r>
      <w:r w:rsidRPr="00EF65A7">
        <w:rPr>
          <w:b/>
          <w:sz w:val="20"/>
          <w:szCs w:val="20"/>
        </w:rPr>
        <w:t>) nově zní:</w:t>
      </w:r>
    </w:p>
    <w:p w:rsidR="00292B25" w:rsidRPr="006368D9" w:rsidRDefault="00292B25" w:rsidP="00DF498C">
      <w:pPr>
        <w:tabs>
          <w:tab w:val="left" w:pos="-720"/>
        </w:tabs>
        <w:spacing w:before="360"/>
        <w:jc w:val="center"/>
        <w:rPr>
          <w:rFonts w:cs="Arial"/>
          <w:b/>
          <w:sz w:val="24"/>
        </w:rPr>
      </w:pPr>
      <w:r w:rsidRPr="006368D9">
        <w:rPr>
          <w:rFonts w:cs="Arial"/>
          <w:b/>
          <w:sz w:val="24"/>
        </w:rPr>
        <w:t>Článek III.</w:t>
      </w:r>
    </w:p>
    <w:p w:rsidR="00292B25" w:rsidRDefault="00292B25" w:rsidP="009244AC">
      <w:pPr>
        <w:tabs>
          <w:tab w:val="left" w:pos="-720"/>
        </w:tabs>
        <w:jc w:val="center"/>
        <w:rPr>
          <w:rFonts w:cs="Arial"/>
          <w:b/>
          <w:sz w:val="24"/>
        </w:rPr>
      </w:pPr>
      <w:r w:rsidRPr="006368D9">
        <w:rPr>
          <w:rFonts w:cs="Arial"/>
          <w:b/>
          <w:sz w:val="24"/>
        </w:rPr>
        <w:t>Výše a způsob placení pojistného</w:t>
      </w:r>
    </w:p>
    <w:p w:rsidR="00292B25" w:rsidRPr="00B06267" w:rsidRDefault="00292B25" w:rsidP="002A6781">
      <w:pPr>
        <w:numPr>
          <w:ilvl w:val="0"/>
          <w:numId w:val="24"/>
        </w:numPr>
        <w:tabs>
          <w:tab w:val="clear" w:pos="390"/>
          <w:tab w:val="num" w:pos="550"/>
        </w:tabs>
        <w:spacing w:before="120"/>
        <w:ind w:left="391" w:hanging="391"/>
        <w:rPr>
          <w:b/>
          <w:sz w:val="20"/>
          <w:szCs w:val="20"/>
        </w:rPr>
      </w:pPr>
      <w:r w:rsidRPr="00B06267">
        <w:rPr>
          <w:b/>
          <w:sz w:val="20"/>
          <w:szCs w:val="20"/>
        </w:rPr>
        <w:t>Pojistné za jeden pojistný rok činí:</w:t>
      </w:r>
    </w:p>
    <w:p w:rsidR="00292B25" w:rsidRPr="006368D9" w:rsidRDefault="00292B25" w:rsidP="009244AC">
      <w:pPr>
        <w:numPr>
          <w:ilvl w:val="0"/>
          <w:numId w:val="11"/>
        </w:numPr>
        <w:tabs>
          <w:tab w:val="clear" w:pos="425"/>
        </w:tabs>
        <w:ind w:left="567" w:hanging="567"/>
        <w:jc w:val="both"/>
        <w:rPr>
          <w:rFonts w:cs="Arial"/>
          <w:b/>
          <w:sz w:val="20"/>
        </w:rPr>
      </w:pPr>
      <w:r w:rsidRPr="006368D9">
        <w:rPr>
          <w:rFonts w:cs="Arial"/>
          <w:b/>
          <w:sz w:val="20"/>
        </w:rPr>
        <w:t>Pojištění odpovědnosti za újmu</w:t>
      </w:r>
    </w:p>
    <w:p w:rsidR="00292B25" w:rsidRPr="006368D9" w:rsidRDefault="00292B25" w:rsidP="009244AC">
      <w:pPr>
        <w:numPr>
          <w:ilvl w:val="12"/>
          <w:numId w:val="0"/>
        </w:numPr>
        <w:tabs>
          <w:tab w:val="right" w:leader="dot" w:pos="9638"/>
        </w:tabs>
        <w:ind w:left="425" w:firstLine="142"/>
        <w:jc w:val="both"/>
        <w:rPr>
          <w:rFonts w:cs="Arial"/>
          <w:sz w:val="20"/>
        </w:rPr>
      </w:pPr>
      <w:r w:rsidRPr="006368D9">
        <w:rPr>
          <w:rFonts w:cs="Arial"/>
          <w:sz w:val="20"/>
        </w:rPr>
        <w:t xml:space="preserve">Pojistné </w:t>
      </w:r>
      <w:r w:rsidRPr="006368D9">
        <w:rPr>
          <w:rFonts w:cs="Arial"/>
          <w:sz w:val="20"/>
        </w:rPr>
        <w:tab/>
      </w:r>
      <w:r w:rsidR="00F94C94">
        <w:rPr>
          <w:rFonts w:cs="Arial"/>
          <w:sz w:val="20"/>
        </w:rPr>
        <w:t xml:space="preserve"> </w:t>
      </w:r>
      <w:r w:rsidR="00812180">
        <w:rPr>
          <w:rFonts w:cs="Arial"/>
          <w:sz w:val="20"/>
        </w:rPr>
        <w:t>5</w:t>
      </w:r>
      <w:r w:rsidR="00B1642D">
        <w:rPr>
          <w:rFonts w:cs="Arial"/>
          <w:sz w:val="20"/>
        </w:rPr>
        <w:t>2</w:t>
      </w:r>
      <w:r w:rsidR="00812180">
        <w:rPr>
          <w:rFonts w:cs="Arial"/>
          <w:sz w:val="20"/>
        </w:rPr>
        <w:t xml:space="preserve"> </w:t>
      </w:r>
      <w:r w:rsidR="00B1642D">
        <w:rPr>
          <w:rFonts w:cs="Arial"/>
          <w:sz w:val="20"/>
        </w:rPr>
        <w:t>8</w:t>
      </w:r>
      <w:r w:rsidR="00812180">
        <w:rPr>
          <w:rFonts w:cs="Arial"/>
          <w:sz w:val="20"/>
        </w:rPr>
        <w:t>00</w:t>
      </w:r>
      <w:r w:rsidRPr="006368D9">
        <w:rPr>
          <w:rFonts w:cs="Arial"/>
          <w:sz w:val="20"/>
        </w:rPr>
        <w:t>,- Kč</w:t>
      </w:r>
    </w:p>
    <w:p w:rsidR="00292B25" w:rsidRPr="006368D9" w:rsidRDefault="00292B25" w:rsidP="009244AC">
      <w:pPr>
        <w:tabs>
          <w:tab w:val="right" w:leader="dot" w:pos="9639"/>
        </w:tabs>
        <w:spacing w:before="120"/>
        <w:ind w:left="284" w:right="-709" w:hanging="284"/>
        <w:jc w:val="both"/>
        <w:rPr>
          <w:rFonts w:cs="Arial"/>
          <w:sz w:val="20"/>
        </w:rPr>
      </w:pPr>
      <w:r w:rsidRPr="006368D9">
        <w:rPr>
          <w:rFonts w:cs="Arial"/>
          <w:b/>
          <w:sz w:val="20"/>
        </w:rPr>
        <w:t>Souhrn</w:t>
      </w:r>
      <w:r w:rsidRPr="006368D9">
        <w:rPr>
          <w:rFonts w:cs="Arial"/>
          <w:sz w:val="20"/>
        </w:rPr>
        <w:t xml:space="preserve"> </w:t>
      </w:r>
      <w:r w:rsidRPr="006368D9">
        <w:rPr>
          <w:rFonts w:cs="Arial"/>
          <w:b/>
          <w:sz w:val="20"/>
        </w:rPr>
        <w:t xml:space="preserve">pojistného za sjednaná pojištění za jeden pojistný rok činí </w:t>
      </w:r>
      <w:r w:rsidRPr="006368D9">
        <w:rPr>
          <w:rFonts w:cs="Arial"/>
          <w:b/>
          <w:sz w:val="20"/>
        </w:rPr>
        <w:tab/>
      </w:r>
      <w:r w:rsidR="00322BED">
        <w:rPr>
          <w:rFonts w:cs="Arial"/>
          <w:b/>
          <w:sz w:val="20"/>
        </w:rPr>
        <w:t xml:space="preserve"> </w:t>
      </w:r>
      <w:r w:rsidR="00F94C94">
        <w:rPr>
          <w:rFonts w:cs="Arial"/>
          <w:b/>
          <w:sz w:val="20"/>
        </w:rPr>
        <w:t xml:space="preserve"> </w:t>
      </w:r>
      <w:r w:rsidR="00812180">
        <w:rPr>
          <w:rFonts w:cs="Arial"/>
          <w:b/>
          <w:sz w:val="20"/>
        </w:rPr>
        <w:t>5</w:t>
      </w:r>
      <w:r w:rsidR="00B1642D">
        <w:rPr>
          <w:rFonts w:cs="Arial"/>
          <w:b/>
          <w:sz w:val="20"/>
        </w:rPr>
        <w:t>2</w:t>
      </w:r>
      <w:r w:rsidR="00812180">
        <w:rPr>
          <w:rFonts w:cs="Arial"/>
          <w:b/>
          <w:sz w:val="20"/>
        </w:rPr>
        <w:t xml:space="preserve"> </w:t>
      </w:r>
      <w:r w:rsidR="00B1642D">
        <w:rPr>
          <w:rFonts w:cs="Arial"/>
          <w:b/>
          <w:sz w:val="20"/>
        </w:rPr>
        <w:t>8</w:t>
      </w:r>
      <w:r w:rsidR="00812180">
        <w:rPr>
          <w:rFonts w:cs="Arial"/>
          <w:b/>
          <w:sz w:val="20"/>
        </w:rPr>
        <w:t>00</w:t>
      </w:r>
      <w:r w:rsidRPr="006368D9">
        <w:rPr>
          <w:rFonts w:cs="Arial"/>
          <w:b/>
          <w:sz w:val="20"/>
        </w:rPr>
        <w:t>,- Kč</w:t>
      </w:r>
    </w:p>
    <w:p w:rsidR="00292B25" w:rsidRDefault="00292B25" w:rsidP="00824A8D">
      <w:pPr>
        <w:tabs>
          <w:tab w:val="right" w:leader="dot" w:pos="9781"/>
        </w:tabs>
        <w:spacing w:before="120"/>
        <w:jc w:val="both"/>
        <w:rPr>
          <w:rFonts w:cs="Arial"/>
          <w:sz w:val="20"/>
        </w:rPr>
      </w:pPr>
      <w:r w:rsidRPr="006368D9">
        <w:rPr>
          <w:rFonts w:cs="Arial"/>
          <w:sz w:val="20"/>
        </w:rPr>
        <w:t>Sleva z</w:t>
      </w:r>
      <w:r>
        <w:rPr>
          <w:rFonts w:cs="Arial"/>
          <w:sz w:val="20"/>
        </w:rPr>
        <w:t>a dobu trvání pojištění činí 1</w:t>
      </w:r>
      <w:r w:rsidR="002A6781">
        <w:rPr>
          <w:rFonts w:cs="Arial"/>
          <w:sz w:val="20"/>
        </w:rPr>
        <w:t>0</w:t>
      </w:r>
      <w:r>
        <w:rPr>
          <w:rFonts w:cs="Arial"/>
          <w:sz w:val="20"/>
        </w:rPr>
        <w:t>%</w:t>
      </w:r>
    </w:p>
    <w:p w:rsidR="00292B25" w:rsidRPr="006368D9" w:rsidRDefault="00292B25" w:rsidP="009244AC">
      <w:pPr>
        <w:tabs>
          <w:tab w:val="right" w:leader="dot" w:pos="9781"/>
        </w:tabs>
        <w:jc w:val="both"/>
        <w:rPr>
          <w:rFonts w:cs="Arial"/>
          <w:sz w:val="20"/>
        </w:rPr>
      </w:pPr>
      <w:r w:rsidRPr="006368D9">
        <w:rPr>
          <w:rFonts w:cs="Arial"/>
          <w:sz w:val="20"/>
        </w:rPr>
        <w:t>Obchodní sleva činí</w:t>
      </w:r>
      <w:r w:rsidR="002A6781">
        <w:rPr>
          <w:rFonts w:cs="Arial"/>
          <w:sz w:val="20"/>
        </w:rPr>
        <w:t xml:space="preserve"> </w:t>
      </w:r>
      <w:r>
        <w:rPr>
          <w:rFonts w:cs="Arial"/>
          <w:sz w:val="20"/>
        </w:rPr>
        <w:t>5%</w:t>
      </w:r>
    </w:p>
    <w:p w:rsidR="00292B25" w:rsidRPr="006368D9" w:rsidRDefault="00292B25" w:rsidP="003B0653">
      <w:pPr>
        <w:tabs>
          <w:tab w:val="right" w:leader="dot" w:pos="9639"/>
        </w:tabs>
        <w:spacing w:before="120"/>
        <w:jc w:val="both"/>
        <w:rPr>
          <w:rFonts w:cs="Arial"/>
          <w:sz w:val="20"/>
        </w:rPr>
      </w:pPr>
      <w:r w:rsidRPr="006368D9">
        <w:rPr>
          <w:rFonts w:cs="Arial"/>
          <w:b/>
          <w:sz w:val="20"/>
        </w:rPr>
        <w:t>Celkové pojistné za sjednaná pojištění po slevách za jeden pojistný rok činí</w:t>
      </w:r>
      <w:r w:rsidRPr="006368D9">
        <w:rPr>
          <w:rFonts w:cs="Arial"/>
          <w:b/>
          <w:sz w:val="20"/>
        </w:rPr>
        <w:tab/>
      </w:r>
      <w:r w:rsidR="00F94C94">
        <w:rPr>
          <w:rFonts w:cs="Arial"/>
          <w:b/>
          <w:sz w:val="20"/>
        </w:rPr>
        <w:t xml:space="preserve"> </w:t>
      </w:r>
      <w:r w:rsidR="00812180">
        <w:rPr>
          <w:rFonts w:cs="Arial"/>
          <w:b/>
          <w:sz w:val="20"/>
        </w:rPr>
        <w:t>4</w:t>
      </w:r>
      <w:r w:rsidR="00B1642D">
        <w:rPr>
          <w:rFonts w:cs="Arial"/>
          <w:b/>
          <w:sz w:val="20"/>
        </w:rPr>
        <w:t>4</w:t>
      </w:r>
      <w:r w:rsidR="00812180">
        <w:rPr>
          <w:rFonts w:cs="Arial"/>
          <w:b/>
          <w:sz w:val="20"/>
        </w:rPr>
        <w:t xml:space="preserve"> </w:t>
      </w:r>
      <w:r w:rsidR="00B1642D">
        <w:rPr>
          <w:rFonts w:cs="Arial"/>
          <w:b/>
          <w:sz w:val="20"/>
        </w:rPr>
        <w:t>880</w:t>
      </w:r>
      <w:r w:rsidRPr="006368D9">
        <w:rPr>
          <w:rFonts w:cs="Arial"/>
          <w:b/>
          <w:sz w:val="20"/>
        </w:rPr>
        <w:t>,- Kč</w:t>
      </w:r>
      <w:r w:rsidRPr="006368D9">
        <w:rPr>
          <w:rFonts w:cs="Arial"/>
          <w:sz w:val="20"/>
        </w:rPr>
        <w:t>.</w:t>
      </w:r>
    </w:p>
    <w:p w:rsidR="00292B25" w:rsidRPr="002A6781" w:rsidRDefault="00292B25" w:rsidP="002A6781">
      <w:pPr>
        <w:numPr>
          <w:ilvl w:val="0"/>
          <w:numId w:val="24"/>
        </w:numPr>
        <w:tabs>
          <w:tab w:val="left" w:pos="-1418"/>
        </w:tabs>
        <w:spacing w:before="120" w:after="120"/>
        <w:ind w:left="391" w:hanging="391"/>
        <w:jc w:val="both"/>
        <w:rPr>
          <w:rFonts w:cs="Arial"/>
          <w:sz w:val="20"/>
        </w:rPr>
      </w:pPr>
      <w:r w:rsidRPr="006368D9">
        <w:rPr>
          <w:rFonts w:cs="Arial"/>
          <w:sz w:val="20"/>
        </w:rPr>
        <w:t xml:space="preserve">Pojistné je sjednáno jako běžné. </w:t>
      </w:r>
      <w:r w:rsidRPr="00C206F8">
        <w:rPr>
          <w:rFonts w:cs="Arial"/>
          <w:sz w:val="20"/>
        </w:rPr>
        <w:t xml:space="preserve">Pojistné období je dvanáctiměsíční. </w:t>
      </w:r>
      <w:r w:rsidR="002A6781" w:rsidRPr="006368D9">
        <w:rPr>
          <w:rFonts w:cs="Arial"/>
          <w:sz w:val="20"/>
        </w:rPr>
        <w:t>Pojistné je v každém pojistném roce splatné k datům a v částkách takto</w:t>
      </w:r>
      <w:r w:rsidR="00825549" w:rsidRPr="002A6781">
        <w:rPr>
          <w:sz w:val="20"/>
        </w:rPr>
        <w:t>:</w:t>
      </w:r>
    </w:p>
    <w:tbl>
      <w:tblPr>
        <w:tblW w:w="7490" w:type="dxa"/>
        <w:jc w:val="center"/>
        <w:tblInd w:w="3130" w:type="dxa"/>
        <w:tblCellMar>
          <w:left w:w="70" w:type="dxa"/>
          <w:right w:w="70" w:type="dxa"/>
        </w:tblCellMar>
        <w:tblLook w:val="0000" w:firstRow="0" w:lastRow="0" w:firstColumn="0" w:lastColumn="0" w:noHBand="0" w:noVBand="0"/>
      </w:tblPr>
      <w:tblGrid>
        <w:gridCol w:w="2003"/>
        <w:gridCol w:w="1598"/>
        <w:gridCol w:w="2022"/>
        <w:gridCol w:w="1867"/>
      </w:tblGrid>
      <w:tr w:rsidR="00292B25" w:rsidRPr="0094457B" w:rsidTr="008447EB">
        <w:trPr>
          <w:cantSplit/>
          <w:jc w:val="center"/>
        </w:trPr>
        <w:tc>
          <w:tcPr>
            <w:tcW w:w="2003" w:type="dxa"/>
          </w:tcPr>
          <w:p w:rsidR="00292B25" w:rsidRPr="0094457B" w:rsidRDefault="00292B25" w:rsidP="00DB2D4A">
            <w:pPr>
              <w:tabs>
                <w:tab w:val="left" w:pos="-1418"/>
              </w:tabs>
              <w:jc w:val="center"/>
              <w:rPr>
                <w:sz w:val="20"/>
                <w:szCs w:val="20"/>
              </w:rPr>
            </w:pPr>
            <w:r>
              <w:rPr>
                <w:sz w:val="20"/>
                <w:szCs w:val="20"/>
              </w:rPr>
              <w:t>Od</w:t>
            </w:r>
          </w:p>
        </w:tc>
        <w:tc>
          <w:tcPr>
            <w:tcW w:w="1598" w:type="dxa"/>
          </w:tcPr>
          <w:p w:rsidR="00292B25" w:rsidRPr="0094457B" w:rsidRDefault="00292B25" w:rsidP="00DB2D4A">
            <w:pPr>
              <w:tabs>
                <w:tab w:val="left" w:pos="-1418"/>
              </w:tabs>
              <w:jc w:val="center"/>
              <w:rPr>
                <w:sz w:val="20"/>
                <w:szCs w:val="20"/>
              </w:rPr>
            </w:pPr>
            <w:r>
              <w:rPr>
                <w:sz w:val="20"/>
                <w:szCs w:val="20"/>
              </w:rPr>
              <w:t>Do</w:t>
            </w:r>
          </w:p>
        </w:tc>
        <w:tc>
          <w:tcPr>
            <w:tcW w:w="2022" w:type="dxa"/>
            <w:vAlign w:val="center"/>
          </w:tcPr>
          <w:p w:rsidR="00292B25" w:rsidRPr="0094457B" w:rsidRDefault="00292B25" w:rsidP="00DB2D4A">
            <w:pPr>
              <w:tabs>
                <w:tab w:val="left" w:pos="-1418"/>
              </w:tabs>
              <w:jc w:val="center"/>
              <w:rPr>
                <w:sz w:val="20"/>
              </w:rPr>
            </w:pPr>
            <w:r w:rsidRPr="0094457B">
              <w:rPr>
                <w:sz w:val="20"/>
              </w:rPr>
              <w:t>Datum splatnosti:</w:t>
            </w:r>
          </w:p>
        </w:tc>
        <w:tc>
          <w:tcPr>
            <w:tcW w:w="1867" w:type="dxa"/>
            <w:vAlign w:val="center"/>
          </w:tcPr>
          <w:p w:rsidR="00292B25" w:rsidRPr="0094457B" w:rsidRDefault="00292B25" w:rsidP="00DB2D4A">
            <w:pPr>
              <w:tabs>
                <w:tab w:val="left" w:pos="-1418"/>
              </w:tabs>
              <w:jc w:val="center"/>
              <w:rPr>
                <w:sz w:val="20"/>
              </w:rPr>
            </w:pPr>
            <w:r w:rsidRPr="0094457B">
              <w:rPr>
                <w:sz w:val="20"/>
              </w:rPr>
              <w:t>Částka:</w:t>
            </w:r>
          </w:p>
        </w:tc>
      </w:tr>
      <w:tr w:rsidR="00292B25" w:rsidRPr="0094457B" w:rsidTr="008447EB">
        <w:trPr>
          <w:jc w:val="center"/>
        </w:trPr>
        <w:tc>
          <w:tcPr>
            <w:tcW w:w="2003" w:type="dxa"/>
          </w:tcPr>
          <w:p w:rsidR="00292B25" w:rsidRPr="0094457B" w:rsidRDefault="002A6781" w:rsidP="002A6781">
            <w:pPr>
              <w:tabs>
                <w:tab w:val="left" w:pos="-1418"/>
              </w:tabs>
              <w:spacing w:before="60"/>
              <w:jc w:val="center"/>
              <w:rPr>
                <w:sz w:val="20"/>
              </w:rPr>
            </w:pPr>
            <w:r>
              <w:rPr>
                <w:sz w:val="20"/>
              </w:rPr>
              <w:t>10</w:t>
            </w:r>
            <w:r w:rsidR="00292B25">
              <w:rPr>
                <w:sz w:val="20"/>
              </w:rPr>
              <w:t xml:space="preserve">. </w:t>
            </w:r>
            <w:r>
              <w:rPr>
                <w:sz w:val="20"/>
              </w:rPr>
              <w:t>11</w:t>
            </w:r>
            <w:r w:rsidR="00292B25" w:rsidRPr="0094457B">
              <w:rPr>
                <w:sz w:val="20"/>
              </w:rPr>
              <w:t>.</w:t>
            </w:r>
          </w:p>
        </w:tc>
        <w:tc>
          <w:tcPr>
            <w:tcW w:w="1598" w:type="dxa"/>
          </w:tcPr>
          <w:p w:rsidR="00292B25" w:rsidRPr="0094457B" w:rsidRDefault="002A6781" w:rsidP="002A6781">
            <w:pPr>
              <w:tabs>
                <w:tab w:val="left" w:pos="-1418"/>
              </w:tabs>
              <w:spacing w:before="60"/>
              <w:jc w:val="center"/>
              <w:rPr>
                <w:sz w:val="20"/>
              </w:rPr>
            </w:pPr>
            <w:r>
              <w:rPr>
                <w:sz w:val="20"/>
              </w:rPr>
              <w:t>09</w:t>
            </w:r>
            <w:r w:rsidR="00292B25">
              <w:rPr>
                <w:sz w:val="20"/>
              </w:rPr>
              <w:t xml:space="preserve">. </w:t>
            </w:r>
            <w:r>
              <w:rPr>
                <w:sz w:val="20"/>
              </w:rPr>
              <w:t>11</w:t>
            </w:r>
            <w:r w:rsidR="00292B25">
              <w:rPr>
                <w:sz w:val="20"/>
              </w:rPr>
              <w:t>.</w:t>
            </w:r>
          </w:p>
        </w:tc>
        <w:tc>
          <w:tcPr>
            <w:tcW w:w="2022" w:type="dxa"/>
          </w:tcPr>
          <w:p w:rsidR="00292B25" w:rsidRPr="0094457B" w:rsidRDefault="002A6781" w:rsidP="002A6781">
            <w:pPr>
              <w:tabs>
                <w:tab w:val="left" w:pos="-1418"/>
              </w:tabs>
              <w:spacing w:before="60"/>
              <w:jc w:val="center"/>
              <w:rPr>
                <w:sz w:val="20"/>
              </w:rPr>
            </w:pPr>
            <w:r>
              <w:rPr>
                <w:sz w:val="20"/>
              </w:rPr>
              <w:t>10</w:t>
            </w:r>
            <w:r w:rsidR="00292B25" w:rsidRPr="0094457B">
              <w:rPr>
                <w:sz w:val="20"/>
              </w:rPr>
              <w:t>.</w:t>
            </w:r>
            <w:r w:rsidR="00292B25">
              <w:rPr>
                <w:sz w:val="20"/>
              </w:rPr>
              <w:t xml:space="preserve"> </w:t>
            </w:r>
            <w:r>
              <w:rPr>
                <w:sz w:val="20"/>
              </w:rPr>
              <w:t>11</w:t>
            </w:r>
            <w:r w:rsidR="00292B25" w:rsidRPr="0094457B">
              <w:rPr>
                <w:sz w:val="20"/>
              </w:rPr>
              <w:t>.</w:t>
            </w:r>
          </w:p>
        </w:tc>
        <w:tc>
          <w:tcPr>
            <w:tcW w:w="1867" w:type="dxa"/>
          </w:tcPr>
          <w:p w:rsidR="00292B25" w:rsidRPr="0094457B" w:rsidRDefault="00F94C94" w:rsidP="00B1642D">
            <w:pPr>
              <w:tabs>
                <w:tab w:val="left" w:pos="-1418"/>
              </w:tabs>
              <w:spacing w:before="60"/>
              <w:jc w:val="center"/>
              <w:rPr>
                <w:sz w:val="20"/>
              </w:rPr>
            </w:pPr>
            <w:r>
              <w:rPr>
                <w:sz w:val="20"/>
              </w:rPr>
              <w:t xml:space="preserve"> </w:t>
            </w:r>
            <w:r w:rsidR="00812180">
              <w:rPr>
                <w:sz w:val="20"/>
              </w:rPr>
              <w:t>4</w:t>
            </w:r>
            <w:r w:rsidR="00B1642D">
              <w:rPr>
                <w:sz w:val="20"/>
              </w:rPr>
              <w:t>4</w:t>
            </w:r>
            <w:r w:rsidR="00812180">
              <w:rPr>
                <w:sz w:val="20"/>
              </w:rPr>
              <w:t xml:space="preserve"> </w:t>
            </w:r>
            <w:r w:rsidR="00B1642D">
              <w:rPr>
                <w:sz w:val="20"/>
              </w:rPr>
              <w:t>880</w:t>
            </w:r>
            <w:r w:rsidR="00292B25" w:rsidRPr="0094457B">
              <w:rPr>
                <w:sz w:val="20"/>
              </w:rPr>
              <w:t>,- Kč</w:t>
            </w:r>
          </w:p>
        </w:tc>
      </w:tr>
    </w:tbl>
    <w:p w:rsidR="00292B25" w:rsidRDefault="00292B25" w:rsidP="004A5CBB">
      <w:pPr>
        <w:numPr>
          <w:ilvl w:val="0"/>
          <w:numId w:val="24"/>
        </w:numPr>
        <w:tabs>
          <w:tab w:val="left" w:pos="-1560"/>
          <w:tab w:val="num" w:pos="440"/>
        </w:tabs>
        <w:spacing w:before="120"/>
        <w:ind w:left="397" w:hanging="397"/>
        <w:jc w:val="both"/>
        <w:rPr>
          <w:rFonts w:cs="Arial"/>
          <w:sz w:val="20"/>
        </w:rPr>
      </w:pPr>
      <w:r w:rsidRPr="006368D9">
        <w:rPr>
          <w:rFonts w:cs="Arial"/>
          <w:sz w:val="20"/>
        </w:rPr>
        <w:t xml:space="preserve">Pojistník je povinen uhradit pojistné v uvedené výši na účet </w:t>
      </w:r>
      <w:r w:rsidR="002A6781">
        <w:rPr>
          <w:rFonts w:cs="Arial"/>
          <w:sz w:val="20"/>
        </w:rPr>
        <w:t>pojistitele</w:t>
      </w:r>
      <w:r>
        <w:rPr>
          <w:rFonts w:cs="Arial"/>
          <w:sz w:val="20"/>
        </w:rPr>
        <w:t>,</w:t>
      </w:r>
      <w:r w:rsidRPr="00BD02AC">
        <w:rPr>
          <w:rFonts w:cs="Arial"/>
          <w:sz w:val="20"/>
        </w:rPr>
        <w:t xml:space="preserve"> č</w:t>
      </w:r>
      <w:r w:rsidR="008657D7">
        <w:rPr>
          <w:rFonts w:cs="Arial"/>
          <w:sz w:val="20"/>
        </w:rPr>
        <w:t>íslo</w:t>
      </w:r>
      <w:r w:rsidR="00B75F4C">
        <w:rPr>
          <w:rFonts w:cs="Arial"/>
          <w:sz w:val="20"/>
        </w:rPr>
        <w:t xml:space="preserve"> </w:t>
      </w:r>
      <w:r w:rsidRPr="00BD02AC">
        <w:rPr>
          <w:rFonts w:cs="Arial"/>
          <w:sz w:val="20"/>
        </w:rPr>
        <w:t>ú</w:t>
      </w:r>
      <w:r w:rsidR="00B75F4C">
        <w:rPr>
          <w:rFonts w:cs="Arial"/>
          <w:sz w:val="20"/>
        </w:rPr>
        <w:t>čtu</w:t>
      </w:r>
      <w:r>
        <w:rPr>
          <w:rFonts w:cs="Arial"/>
          <w:sz w:val="20"/>
        </w:rPr>
        <w:t xml:space="preserve">: </w:t>
      </w:r>
      <w:r w:rsidR="002A6781">
        <w:rPr>
          <w:rFonts w:cs="Arial"/>
          <w:sz w:val="20"/>
        </w:rPr>
        <w:t>2226222</w:t>
      </w:r>
      <w:r w:rsidRPr="00236403">
        <w:rPr>
          <w:rFonts w:cs="Arial"/>
          <w:sz w:val="20"/>
        </w:rPr>
        <w:t>/0</w:t>
      </w:r>
      <w:r w:rsidR="002A6781">
        <w:rPr>
          <w:rFonts w:cs="Arial"/>
          <w:sz w:val="20"/>
        </w:rPr>
        <w:t>8</w:t>
      </w:r>
      <w:r w:rsidRPr="00236403">
        <w:rPr>
          <w:rFonts w:cs="Arial"/>
          <w:sz w:val="20"/>
        </w:rPr>
        <w:t>00</w:t>
      </w:r>
      <w:r w:rsidR="002A6781">
        <w:rPr>
          <w:rFonts w:cs="Arial"/>
          <w:sz w:val="20"/>
        </w:rPr>
        <w:t>,</w:t>
      </w:r>
      <w:r w:rsidRPr="00D17DA3">
        <w:rPr>
          <w:rFonts w:cs="Arial"/>
          <w:sz w:val="20"/>
        </w:rPr>
        <w:t xml:space="preserve"> </w:t>
      </w:r>
      <w:r w:rsidRPr="006368D9">
        <w:rPr>
          <w:rFonts w:cs="Arial"/>
          <w:sz w:val="20"/>
        </w:rPr>
        <w:t xml:space="preserve">variabilní symbol: </w:t>
      </w:r>
      <w:r>
        <w:rPr>
          <w:rFonts w:cs="Arial"/>
          <w:sz w:val="20"/>
        </w:rPr>
        <w:t>77208</w:t>
      </w:r>
      <w:r w:rsidR="002A6781">
        <w:rPr>
          <w:rFonts w:cs="Arial"/>
          <w:sz w:val="20"/>
        </w:rPr>
        <w:t>62070</w:t>
      </w:r>
      <w:r>
        <w:rPr>
          <w:rFonts w:cs="Arial"/>
          <w:sz w:val="20"/>
        </w:rPr>
        <w:t>.</w:t>
      </w:r>
    </w:p>
    <w:p w:rsidR="003A3192" w:rsidRPr="003A3192" w:rsidRDefault="003A3192" w:rsidP="003A3192">
      <w:pPr>
        <w:pStyle w:val="slovn-rove1-netun"/>
        <w:numPr>
          <w:ilvl w:val="0"/>
          <w:numId w:val="24"/>
        </w:numPr>
      </w:pPr>
      <w:r w:rsidRPr="00123614">
        <w:t>Výše uvedené pojistné je stanoveno bez pojistné či jiné obdobné daně (dále jen „</w:t>
      </w:r>
      <w:r w:rsidRPr="00123614">
        <w:rPr>
          <w:b/>
        </w:rPr>
        <w:t>daň</w:t>
      </w:r>
      <w:r w:rsidRPr="00123614">
        <w:t>“) za rizika umístěná v členském státě Evropské unie nebo Evropského hospodářského prostoru. Smluvní strany se dohodly, že v případě zavedení daně z pojištění sjednaného touto pojistnou smlouvou, kterou bude po nabytí účinnosti příslušných právních předpisů na území tohoto jiného členského státu pojistitel povinen odvést, se pojistník zavazuje uhradit nad rámec pojistného předepsaného v této pojistné smlouvě i náklady odpovídající této povinnosti. Ustanovení tohoto bodu neplatí pro daně, které jsou případně v bodě 1. tohoto článku výslovně uvedeny.</w:t>
      </w:r>
    </w:p>
    <w:p w:rsidR="00292B25" w:rsidRPr="006368D9" w:rsidRDefault="00292B25" w:rsidP="00DF498C">
      <w:pPr>
        <w:spacing w:before="360"/>
        <w:jc w:val="center"/>
        <w:rPr>
          <w:rFonts w:cs="Arial"/>
          <w:b/>
          <w:bCs/>
          <w:sz w:val="24"/>
        </w:rPr>
      </w:pPr>
      <w:r w:rsidRPr="006368D9">
        <w:rPr>
          <w:rFonts w:cs="Arial"/>
          <w:b/>
          <w:bCs/>
          <w:sz w:val="24"/>
        </w:rPr>
        <w:t>Článek IV.</w:t>
      </w:r>
    </w:p>
    <w:p w:rsidR="00292B25" w:rsidRPr="006368D9" w:rsidRDefault="00292B25" w:rsidP="00D7357B">
      <w:pPr>
        <w:jc w:val="center"/>
        <w:rPr>
          <w:b/>
          <w:bCs/>
          <w:sz w:val="24"/>
        </w:rPr>
      </w:pPr>
      <w:r w:rsidRPr="006368D9">
        <w:rPr>
          <w:b/>
          <w:bCs/>
          <w:sz w:val="24"/>
        </w:rPr>
        <w:t>Hlášení škodných událostí</w:t>
      </w:r>
    </w:p>
    <w:bookmarkEnd w:id="1"/>
    <w:p w:rsidR="003A3192" w:rsidRPr="001815A4" w:rsidRDefault="003A3192" w:rsidP="003A3192">
      <w:pPr>
        <w:pStyle w:val="Odstavecseseznamem"/>
        <w:numPr>
          <w:ilvl w:val="0"/>
          <w:numId w:val="40"/>
        </w:numPr>
        <w:tabs>
          <w:tab w:val="left" w:pos="-1560"/>
        </w:tabs>
        <w:spacing w:before="120" w:after="0" w:line="240" w:lineRule="auto"/>
        <w:ind w:left="426" w:hanging="426"/>
        <w:contextualSpacing w:val="0"/>
        <w:jc w:val="both"/>
        <w:rPr>
          <w:rFonts w:ascii="Koop Office" w:hAnsi="Koop Office" w:cs="Arial"/>
          <w:sz w:val="20"/>
        </w:rPr>
      </w:pPr>
      <w:r w:rsidRPr="001815A4">
        <w:rPr>
          <w:rFonts w:ascii="Koop Office" w:hAnsi="Koop Office" w:cs="Arial"/>
          <w:sz w:val="20"/>
        </w:rPr>
        <w:t>Vznik škodné události je pojistník (pojištěný) povinen oznámit přímo bez zbytečného odkladu na jeden z níže uvedených kontaktních údajů:</w:t>
      </w:r>
    </w:p>
    <w:p w:rsidR="003A3192" w:rsidRPr="006368D9" w:rsidRDefault="003A3192" w:rsidP="003A3192">
      <w:pPr>
        <w:numPr>
          <w:ilvl w:val="12"/>
          <w:numId w:val="0"/>
        </w:numPr>
        <w:tabs>
          <w:tab w:val="left" w:pos="-720"/>
          <w:tab w:val="left" w:pos="5954"/>
        </w:tabs>
        <w:spacing w:before="120"/>
        <w:ind w:left="850" w:hanging="425"/>
        <w:rPr>
          <w:sz w:val="20"/>
        </w:rPr>
      </w:pPr>
      <w:r w:rsidRPr="006368D9">
        <w:rPr>
          <w:sz w:val="20"/>
        </w:rPr>
        <w:t>Kooperativa pojišťovna, a.s., Vienna Insurance Group</w:t>
      </w:r>
    </w:p>
    <w:p w:rsidR="003A3192" w:rsidRPr="006368D9" w:rsidRDefault="003A3192" w:rsidP="003A3192">
      <w:pPr>
        <w:numPr>
          <w:ilvl w:val="12"/>
          <w:numId w:val="0"/>
        </w:numPr>
        <w:tabs>
          <w:tab w:val="left" w:pos="-720"/>
          <w:tab w:val="left" w:pos="5954"/>
        </w:tabs>
        <w:ind w:left="850" w:hanging="425"/>
        <w:rPr>
          <w:sz w:val="20"/>
        </w:rPr>
      </w:pPr>
      <w:r w:rsidRPr="006368D9">
        <w:rPr>
          <w:sz w:val="20"/>
        </w:rPr>
        <w:t>CENTRUM ZÁKAZNICKÉ PODPORY</w:t>
      </w:r>
    </w:p>
    <w:p w:rsidR="003A3192" w:rsidRPr="006368D9" w:rsidRDefault="003A3192" w:rsidP="003A3192">
      <w:pPr>
        <w:widowControl w:val="0"/>
        <w:numPr>
          <w:ilvl w:val="12"/>
          <w:numId w:val="0"/>
        </w:numPr>
        <w:tabs>
          <w:tab w:val="left" w:pos="-1560"/>
          <w:tab w:val="left" w:pos="5954"/>
        </w:tabs>
        <w:ind w:left="850" w:hanging="425"/>
        <w:rPr>
          <w:sz w:val="20"/>
        </w:rPr>
      </w:pPr>
      <w:r w:rsidRPr="006368D9">
        <w:rPr>
          <w:sz w:val="20"/>
        </w:rPr>
        <w:t>Centrální podatelna</w:t>
      </w:r>
    </w:p>
    <w:p w:rsidR="003A3192" w:rsidRPr="006368D9" w:rsidRDefault="003A3192" w:rsidP="003A3192">
      <w:pPr>
        <w:widowControl w:val="0"/>
        <w:numPr>
          <w:ilvl w:val="12"/>
          <w:numId w:val="0"/>
        </w:numPr>
        <w:tabs>
          <w:tab w:val="left" w:pos="-1560"/>
          <w:tab w:val="left" w:pos="5954"/>
        </w:tabs>
        <w:ind w:left="850" w:hanging="425"/>
        <w:rPr>
          <w:sz w:val="20"/>
        </w:rPr>
      </w:pPr>
      <w:r w:rsidRPr="006368D9">
        <w:rPr>
          <w:sz w:val="20"/>
        </w:rPr>
        <w:t>Brněnská 634,</w:t>
      </w:r>
    </w:p>
    <w:p w:rsidR="003A3192" w:rsidRPr="006368D9" w:rsidRDefault="003A3192" w:rsidP="003A3192">
      <w:pPr>
        <w:widowControl w:val="0"/>
        <w:numPr>
          <w:ilvl w:val="12"/>
          <w:numId w:val="0"/>
        </w:numPr>
        <w:tabs>
          <w:tab w:val="left" w:pos="-1560"/>
          <w:tab w:val="left" w:pos="5954"/>
        </w:tabs>
        <w:ind w:left="850" w:hanging="425"/>
        <w:rPr>
          <w:sz w:val="20"/>
        </w:rPr>
      </w:pPr>
      <w:r w:rsidRPr="006368D9">
        <w:rPr>
          <w:sz w:val="20"/>
        </w:rPr>
        <w:t>664 42 Modřice</w:t>
      </w:r>
    </w:p>
    <w:p w:rsidR="003A3192" w:rsidRPr="006368D9" w:rsidRDefault="003A3192" w:rsidP="003A3192">
      <w:pPr>
        <w:widowControl w:val="0"/>
        <w:numPr>
          <w:ilvl w:val="12"/>
          <w:numId w:val="0"/>
        </w:numPr>
        <w:tabs>
          <w:tab w:val="left" w:pos="-1560"/>
          <w:tab w:val="left" w:pos="5954"/>
        </w:tabs>
        <w:ind w:left="850" w:hanging="425"/>
        <w:rPr>
          <w:sz w:val="20"/>
        </w:rPr>
      </w:pPr>
      <w:r w:rsidRPr="006368D9">
        <w:rPr>
          <w:sz w:val="20"/>
        </w:rPr>
        <w:t xml:space="preserve">Tel.: </w:t>
      </w:r>
      <w:r>
        <w:rPr>
          <w:sz w:val="20"/>
        </w:rPr>
        <w:t>957</w:t>
      </w:r>
      <w:r w:rsidRPr="006368D9">
        <w:rPr>
          <w:sz w:val="20"/>
        </w:rPr>
        <w:t> 105 105</w:t>
      </w:r>
    </w:p>
    <w:p w:rsidR="003A3192" w:rsidRPr="006368D9" w:rsidRDefault="003A3192" w:rsidP="003A3192">
      <w:pPr>
        <w:widowControl w:val="0"/>
        <w:numPr>
          <w:ilvl w:val="12"/>
          <w:numId w:val="0"/>
        </w:numPr>
        <w:tabs>
          <w:tab w:val="left" w:pos="-1560"/>
          <w:tab w:val="left" w:pos="5954"/>
        </w:tabs>
        <w:ind w:left="850" w:hanging="425"/>
        <w:rPr>
          <w:sz w:val="20"/>
        </w:rPr>
      </w:pPr>
      <w:r w:rsidRPr="006368D9">
        <w:rPr>
          <w:sz w:val="20"/>
        </w:rPr>
        <w:t>fax: 547 212 602, 547 212 561</w:t>
      </w:r>
    </w:p>
    <w:p w:rsidR="003A3192" w:rsidRPr="009F61DF" w:rsidRDefault="003A3192" w:rsidP="003A3192">
      <w:pPr>
        <w:widowControl w:val="0"/>
        <w:numPr>
          <w:ilvl w:val="12"/>
          <w:numId w:val="0"/>
        </w:numPr>
        <w:tabs>
          <w:tab w:val="left" w:pos="-1560"/>
          <w:tab w:val="left" w:pos="5954"/>
        </w:tabs>
        <w:ind w:left="850" w:hanging="425"/>
      </w:pPr>
      <w:r w:rsidRPr="009F61DF">
        <w:rPr>
          <w:sz w:val="20"/>
        </w:rPr>
        <w:t xml:space="preserve">E-mail: </w:t>
      </w:r>
      <w:hyperlink r:id="rId10" w:history="1">
        <w:r w:rsidRPr="009F61DF">
          <w:rPr>
            <w:rStyle w:val="Hypertextovodkaz"/>
            <w:color w:val="auto"/>
            <w:sz w:val="20"/>
          </w:rPr>
          <w:t>podatelna@koop.cz</w:t>
        </w:r>
      </w:hyperlink>
    </w:p>
    <w:p w:rsidR="003A3192" w:rsidRPr="006368D9" w:rsidRDefault="003A3192" w:rsidP="003A3192">
      <w:pPr>
        <w:widowControl w:val="0"/>
        <w:numPr>
          <w:ilvl w:val="12"/>
          <w:numId w:val="0"/>
        </w:numPr>
        <w:tabs>
          <w:tab w:val="left" w:pos="-1560"/>
          <w:tab w:val="left" w:pos="5954"/>
        </w:tabs>
        <w:spacing w:after="120"/>
        <w:ind w:left="850" w:hanging="425"/>
        <w:rPr>
          <w:sz w:val="20"/>
        </w:rPr>
      </w:pPr>
      <w:r w:rsidRPr="006368D9">
        <w:rPr>
          <w:sz w:val="20"/>
        </w:rPr>
        <w:t>www.koop.cz</w:t>
      </w:r>
    </w:p>
    <w:p w:rsidR="003A3192" w:rsidRDefault="003A3192" w:rsidP="003A3192">
      <w:pPr>
        <w:pStyle w:val="Zkladntext32"/>
        <w:numPr>
          <w:ilvl w:val="0"/>
          <w:numId w:val="40"/>
        </w:numPr>
        <w:tabs>
          <w:tab w:val="clear" w:pos="-720"/>
          <w:tab w:val="left" w:pos="-1701"/>
        </w:tabs>
        <w:spacing w:line="240" w:lineRule="auto"/>
        <w:ind w:left="426" w:hanging="426"/>
        <w:jc w:val="both"/>
        <w:rPr>
          <w:rFonts w:ascii="Koop Office" w:hAnsi="Koop Office" w:cs="Arial"/>
        </w:rPr>
      </w:pPr>
      <w:r w:rsidRPr="006368D9">
        <w:rPr>
          <w:rFonts w:ascii="Koop Office" w:hAnsi="Koop Office" w:cs="Arial"/>
        </w:rPr>
        <w:t xml:space="preserve">Na výzvu pojistitele je pojistník (pojištěný nebo jakákoliv jiná osoba) povinen oznámit vznik škodné události písemnou formou. </w:t>
      </w:r>
    </w:p>
    <w:p w:rsidR="00F94C94" w:rsidRPr="006368D9" w:rsidRDefault="00F94C94" w:rsidP="00F94C94">
      <w:pPr>
        <w:pStyle w:val="Zkladntext32"/>
        <w:tabs>
          <w:tab w:val="clear" w:pos="-720"/>
          <w:tab w:val="left" w:pos="-1701"/>
        </w:tabs>
        <w:spacing w:line="240" w:lineRule="auto"/>
        <w:jc w:val="both"/>
        <w:rPr>
          <w:rFonts w:ascii="Koop Office" w:hAnsi="Koop Office" w:cs="Arial"/>
        </w:rPr>
      </w:pPr>
    </w:p>
    <w:p w:rsidR="00292B25" w:rsidRPr="006368D9" w:rsidRDefault="00292B25" w:rsidP="00DF498C">
      <w:pPr>
        <w:spacing w:before="360"/>
        <w:jc w:val="center"/>
        <w:rPr>
          <w:rFonts w:cs="Arial"/>
          <w:b/>
          <w:bCs/>
          <w:sz w:val="24"/>
        </w:rPr>
      </w:pPr>
      <w:r w:rsidRPr="006368D9">
        <w:rPr>
          <w:rFonts w:cs="Arial"/>
          <w:b/>
          <w:bCs/>
          <w:sz w:val="24"/>
        </w:rPr>
        <w:t>Článek V.</w:t>
      </w:r>
    </w:p>
    <w:p w:rsidR="00292B25" w:rsidRPr="006368D9" w:rsidRDefault="00292B25" w:rsidP="0085333E">
      <w:pPr>
        <w:jc w:val="center"/>
        <w:rPr>
          <w:rFonts w:cs="Arial"/>
          <w:b/>
          <w:bCs/>
          <w:sz w:val="24"/>
        </w:rPr>
      </w:pPr>
      <w:r w:rsidRPr="006368D9">
        <w:rPr>
          <w:rFonts w:cs="Arial"/>
          <w:b/>
          <w:bCs/>
          <w:sz w:val="24"/>
        </w:rPr>
        <w:t>Zvláštní ujednání</w:t>
      </w:r>
    </w:p>
    <w:p w:rsidR="00E07BEC" w:rsidRDefault="00DF498C" w:rsidP="00DF498C">
      <w:pPr>
        <w:tabs>
          <w:tab w:val="left" w:pos="-1418"/>
        </w:tabs>
        <w:spacing w:before="120"/>
        <w:ind w:left="425"/>
        <w:jc w:val="both"/>
        <w:rPr>
          <w:rFonts w:cs="Arial"/>
          <w:sz w:val="20"/>
        </w:rPr>
      </w:pPr>
      <w:r>
        <w:rPr>
          <w:rFonts w:cs="Arial"/>
          <w:sz w:val="20"/>
        </w:rPr>
        <w:t>Nesjednávají se.</w:t>
      </w:r>
    </w:p>
    <w:p w:rsidR="00F94C94" w:rsidRDefault="00F94C94" w:rsidP="00DF498C">
      <w:pPr>
        <w:tabs>
          <w:tab w:val="left" w:pos="-1418"/>
        </w:tabs>
        <w:spacing w:before="120"/>
        <w:ind w:left="425"/>
        <w:jc w:val="both"/>
        <w:rPr>
          <w:rFonts w:cs="Arial"/>
          <w:sz w:val="20"/>
        </w:rPr>
      </w:pPr>
    </w:p>
    <w:p w:rsidR="00F94C94" w:rsidRDefault="00F94C94" w:rsidP="00DF498C">
      <w:pPr>
        <w:tabs>
          <w:tab w:val="left" w:pos="-1418"/>
        </w:tabs>
        <w:spacing w:before="120"/>
        <w:ind w:left="425"/>
        <w:jc w:val="both"/>
        <w:rPr>
          <w:rFonts w:cs="Arial"/>
          <w:sz w:val="20"/>
        </w:rPr>
      </w:pPr>
    </w:p>
    <w:p w:rsidR="00DE29BB" w:rsidRDefault="00DE29BB" w:rsidP="00DF498C">
      <w:pPr>
        <w:numPr>
          <w:ilvl w:val="0"/>
          <w:numId w:val="30"/>
        </w:numPr>
        <w:tabs>
          <w:tab w:val="clear" w:pos="720"/>
          <w:tab w:val="num" w:pos="360"/>
        </w:tabs>
        <w:spacing w:before="240"/>
        <w:ind w:left="340" w:hanging="340"/>
        <w:jc w:val="both"/>
        <w:rPr>
          <w:b/>
          <w:sz w:val="20"/>
          <w:szCs w:val="20"/>
        </w:rPr>
      </w:pPr>
      <w:r w:rsidRPr="00A316C9">
        <w:rPr>
          <w:b/>
          <w:sz w:val="20"/>
          <w:szCs w:val="20"/>
        </w:rPr>
        <w:lastRenderedPageBreak/>
        <w:t xml:space="preserve">Článek VI. </w:t>
      </w:r>
      <w:r>
        <w:rPr>
          <w:b/>
          <w:sz w:val="20"/>
          <w:szCs w:val="20"/>
        </w:rPr>
        <w:t xml:space="preserve">(Prohlášení pojistníka) </w:t>
      </w:r>
      <w:r w:rsidRPr="00A316C9">
        <w:rPr>
          <w:b/>
          <w:sz w:val="20"/>
          <w:szCs w:val="20"/>
        </w:rPr>
        <w:t>nově zní:</w:t>
      </w:r>
    </w:p>
    <w:p w:rsidR="00292B25" w:rsidRPr="00D543B8" w:rsidRDefault="00292B25" w:rsidP="00DF498C">
      <w:pPr>
        <w:pStyle w:val="Zkladntext32"/>
        <w:numPr>
          <w:ilvl w:val="12"/>
          <w:numId w:val="0"/>
        </w:numPr>
        <w:tabs>
          <w:tab w:val="clear" w:pos="-720"/>
          <w:tab w:val="left" w:pos="-1701"/>
        </w:tabs>
        <w:spacing w:before="360" w:line="240" w:lineRule="auto"/>
        <w:jc w:val="center"/>
        <w:rPr>
          <w:rFonts w:ascii="Koop Office" w:hAnsi="Koop Office" w:cs="Arial"/>
          <w:b/>
          <w:sz w:val="24"/>
          <w:szCs w:val="24"/>
        </w:rPr>
      </w:pPr>
      <w:r w:rsidRPr="00D543B8">
        <w:rPr>
          <w:rFonts w:ascii="Koop Office" w:hAnsi="Koop Office" w:cs="Arial"/>
          <w:b/>
          <w:sz w:val="24"/>
          <w:szCs w:val="24"/>
        </w:rPr>
        <w:t>Č</w:t>
      </w:r>
      <w:r>
        <w:rPr>
          <w:rFonts w:ascii="Koop Office" w:hAnsi="Koop Office" w:cs="Arial"/>
          <w:b/>
          <w:sz w:val="24"/>
          <w:szCs w:val="24"/>
        </w:rPr>
        <w:t>lánek</w:t>
      </w:r>
      <w:r w:rsidRPr="00D543B8">
        <w:rPr>
          <w:rFonts w:ascii="Koop Office" w:hAnsi="Koop Office" w:cs="Arial"/>
          <w:b/>
          <w:sz w:val="24"/>
          <w:szCs w:val="24"/>
        </w:rPr>
        <w:t xml:space="preserve"> VI.</w:t>
      </w:r>
    </w:p>
    <w:p w:rsidR="00292B25" w:rsidRDefault="00292B25" w:rsidP="00D543B8">
      <w:pPr>
        <w:pStyle w:val="Zkladntext32"/>
        <w:numPr>
          <w:ilvl w:val="12"/>
          <w:numId w:val="0"/>
        </w:numPr>
        <w:tabs>
          <w:tab w:val="clear" w:pos="-720"/>
          <w:tab w:val="left" w:pos="-1701"/>
        </w:tabs>
        <w:spacing w:line="240" w:lineRule="auto"/>
        <w:jc w:val="center"/>
        <w:rPr>
          <w:rFonts w:ascii="Koop Office" w:hAnsi="Koop Office" w:cs="Arial"/>
          <w:b/>
          <w:sz w:val="24"/>
          <w:szCs w:val="24"/>
        </w:rPr>
      </w:pPr>
      <w:r w:rsidRPr="00D543B8">
        <w:rPr>
          <w:rFonts w:ascii="Koop Office" w:hAnsi="Koop Office" w:cs="Arial"/>
          <w:b/>
          <w:sz w:val="24"/>
          <w:szCs w:val="24"/>
        </w:rPr>
        <w:t>Prohlášení pojistníka</w:t>
      </w:r>
    </w:p>
    <w:p w:rsidR="003A3192" w:rsidRPr="00D543B8" w:rsidRDefault="003A3192" w:rsidP="003A3192">
      <w:pPr>
        <w:numPr>
          <w:ilvl w:val="0"/>
          <w:numId w:val="14"/>
        </w:numPr>
        <w:tabs>
          <w:tab w:val="left" w:pos="-1418"/>
        </w:tabs>
        <w:spacing w:before="120"/>
        <w:jc w:val="both"/>
        <w:rPr>
          <w:rFonts w:cs="Arial"/>
          <w:sz w:val="20"/>
        </w:rPr>
      </w:pPr>
      <w:r w:rsidRPr="006368D9">
        <w:rPr>
          <w:rFonts w:cs="Arial"/>
          <w:sz w:val="20"/>
        </w:rPr>
        <w:t xml:space="preserve">Pojistník potvrzuje, že před uzavřením </w:t>
      </w:r>
      <w:r>
        <w:rPr>
          <w:rFonts w:cs="Arial"/>
          <w:sz w:val="20"/>
        </w:rPr>
        <w:t>tohoto dodatku</w:t>
      </w:r>
      <w:r w:rsidRPr="006368D9">
        <w:rPr>
          <w:rFonts w:cs="Arial"/>
          <w:sz w:val="20"/>
        </w:rPr>
        <w:t xml:space="preserve"> mu byly oznámeny informace v souladu s ustanovením § 2760 občanského zákoníku.</w:t>
      </w:r>
    </w:p>
    <w:p w:rsidR="003A3192" w:rsidRPr="004E427F" w:rsidRDefault="003A3192" w:rsidP="003A3192">
      <w:pPr>
        <w:pStyle w:val="slovn-rove1-netunb"/>
        <w:numPr>
          <w:ilvl w:val="0"/>
          <w:numId w:val="14"/>
        </w:numPr>
        <w:spacing w:after="0"/>
      </w:pPr>
      <w:r w:rsidRPr="004E427F">
        <w:t>Pojistník potvrzuje, že byl informován o rozsahu a účelu zpracování jeho osobních údajů a o právu přístupu k nim v souladu s ustanovením § 11, 12, 21 zákona č. 101/2000 Sb. o ochraně osobních údajů.</w:t>
      </w:r>
    </w:p>
    <w:p w:rsidR="003A3192" w:rsidRDefault="003A3192" w:rsidP="003A3192">
      <w:pPr>
        <w:numPr>
          <w:ilvl w:val="0"/>
          <w:numId w:val="14"/>
        </w:numPr>
        <w:tabs>
          <w:tab w:val="left" w:pos="-1418"/>
        </w:tabs>
        <w:spacing w:before="120"/>
        <w:jc w:val="both"/>
        <w:rPr>
          <w:rFonts w:cs="Arial"/>
          <w:sz w:val="20"/>
        </w:rPr>
      </w:pPr>
      <w:r>
        <w:rPr>
          <w:rFonts w:cs="Arial"/>
          <w:sz w:val="20"/>
        </w:rPr>
        <w:t>Pojistník potvrzuje, že před uzavřením tohoto dodatku převzal v listinné nebo jiné textové podobě (např. na trvalém nosiči dat) dokumenty uvedené v čl. I. bodu 2. této pojistné smlouvy ve znění tohoto dodatku a seznámil se s nimi. Pojistník si je vědom, že tyto dokumenty tvoří nedílnou součást této pojistné smlouvy ve znění tohoto dodatku a upravují rozsah pojištění, jeho omezení (včetně výluk), práva a povinnosti účastníků pojištění a následky jejich porušení a další podmínky pojištění a pojistník je jimi vázán stejně jako pojistnou smlouvou.</w:t>
      </w:r>
    </w:p>
    <w:p w:rsidR="003A3192" w:rsidRDefault="003A3192" w:rsidP="003A3192">
      <w:pPr>
        <w:numPr>
          <w:ilvl w:val="0"/>
          <w:numId w:val="14"/>
        </w:numPr>
        <w:tabs>
          <w:tab w:val="left" w:pos="-1418"/>
        </w:tabs>
        <w:spacing w:before="120"/>
        <w:jc w:val="both"/>
        <w:rPr>
          <w:rFonts w:cs="Arial"/>
          <w:sz w:val="20"/>
        </w:rPr>
      </w:pPr>
      <w:r>
        <w:rPr>
          <w:sz w:val="20"/>
          <w:szCs w:val="20"/>
        </w:rPr>
        <w:t>Pojistník potvrzuje, že adresa jeho sídla</w:t>
      </w:r>
      <w:r>
        <w:rPr>
          <w:rFonts w:cs="Arial"/>
          <w:sz w:val="20"/>
        </w:rPr>
        <w:t xml:space="preserve">/bydliště/trvalého pobytu/místa podnikání </w:t>
      </w:r>
      <w:r>
        <w:rPr>
          <w:sz w:val="20"/>
          <w:szCs w:val="20"/>
        </w:rPr>
        <w:t>a kontakty elektronické komunikace uvedené v tomto dodatku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jeho sídla</w:t>
      </w:r>
      <w:r>
        <w:rPr>
          <w:rFonts w:cs="Arial"/>
          <w:sz w:val="20"/>
        </w:rPr>
        <w:t>/bydliště/trvalého pobytu/místa podnikání</w:t>
      </w:r>
      <w:r>
        <w:rPr>
          <w:sz w:val="20"/>
          <w:szCs w:val="20"/>
        </w:rPr>
        <w:t xml:space="preserve"> nebo kontaktů elektronické komunikace v době trvání této pojistné smlouvy. Tím není dotčena možnost používání jiných údajů uvedených v dříve uzavřených pojistných smlouvách.</w:t>
      </w:r>
    </w:p>
    <w:p w:rsidR="003A3192" w:rsidRPr="002250DE" w:rsidRDefault="003A3192" w:rsidP="003A3192">
      <w:pPr>
        <w:numPr>
          <w:ilvl w:val="0"/>
          <w:numId w:val="14"/>
        </w:numPr>
        <w:tabs>
          <w:tab w:val="left" w:pos="-1418"/>
        </w:tabs>
        <w:spacing w:before="120"/>
        <w:jc w:val="both"/>
        <w:rPr>
          <w:rFonts w:cs="Arial"/>
          <w:sz w:val="20"/>
        </w:rPr>
      </w:pPr>
      <w:r w:rsidRPr="006368D9">
        <w:rPr>
          <w:rFonts w:cs="Arial"/>
          <w:sz w:val="20"/>
        </w:rPr>
        <w:t>Pojistník souhlasí, aby pojistitel předával jeho osobní údaje členům pojišťovací skupiny Vienna Insurance Group a Finanční skupiny České spořitelny, a.s. (dále jen „</w:t>
      </w:r>
      <w:r w:rsidRPr="00043C34">
        <w:rPr>
          <w:rFonts w:cs="Arial"/>
          <w:b/>
          <w:sz w:val="20"/>
        </w:rPr>
        <w:t>spřízněné osoby</w:t>
      </w:r>
      <w:r w:rsidRPr="006368D9">
        <w:rPr>
          <w:rFonts w:cs="Arial"/>
          <w:sz w:val="20"/>
        </w:rPr>
        <w:t>“). Pojistník dále souhlasí, aby pojistitel i spřízněné osoby používali jeho osobní údaje, včetně kontaktů pro elektronickou komunikaci, za účelem zasílání svých obchodních a reklamních sdělení a nabídky služeb.</w:t>
      </w:r>
    </w:p>
    <w:p w:rsidR="003A3192" w:rsidRPr="002250DE" w:rsidRDefault="003A3192" w:rsidP="003A3192">
      <w:pPr>
        <w:numPr>
          <w:ilvl w:val="0"/>
          <w:numId w:val="14"/>
        </w:numPr>
        <w:tabs>
          <w:tab w:val="left" w:pos="-1418"/>
        </w:tabs>
        <w:spacing w:before="120"/>
        <w:jc w:val="both"/>
        <w:rPr>
          <w:rFonts w:cs="Arial"/>
          <w:sz w:val="20"/>
        </w:rPr>
      </w:pPr>
      <w:r>
        <w:rPr>
          <w:sz w:val="20"/>
          <w:szCs w:val="20"/>
        </w:rPr>
        <w:t>Pojistník prohlašuje, že má oprávněnou potřebu ochrany před následky pojistné události (pojistný zájem).</w:t>
      </w:r>
      <w:r w:rsidRPr="002250DE">
        <w:rPr>
          <w:rFonts w:cs="Arial"/>
          <w:sz w:val="20"/>
        </w:rPr>
        <w:t xml:space="preserve"> </w:t>
      </w:r>
    </w:p>
    <w:p w:rsidR="003A3192" w:rsidRPr="001511AA" w:rsidRDefault="003A3192" w:rsidP="003A3192">
      <w:pPr>
        <w:numPr>
          <w:ilvl w:val="0"/>
          <w:numId w:val="14"/>
        </w:numPr>
        <w:tabs>
          <w:tab w:val="left" w:pos="-1418"/>
        </w:tabs>
        <w:spacing w:before="120"/>
        <w:jc w:val="both"/>
        <w:rPr>
          <w:rFonts w:cs="Arial"/>
          <w:sz w:val="20"/>
        </w:rPr>
      </w:pPr>
      <w:r w:rsidRPr="000A7B53">
        <w:rPr>
          <w:sz w:val="20"/>
          <w:szCs w:val="20"/>
        </w:rPr>
        <w:t>Pojistník prohlašuje, že věci nebo jiné hodnoty pojistného zájmu pojištěné touto pojistnou smlouvou ve znění tohoto dodatku nejsou k datu uzavření tohoto dodatku pojištěny proti stejným nebezpečím u jiného pojistitele, pokud není v této pojistné smlouvě ve znění tohoto dodatku výslovně uvedeno jinak.</w:t>
      </w:r>
    </w:p>
    <w:p w:rsidR="003A3192" w:rsidRPr="00885B8E" w:rsidRDefault="003A3192" w:rsidP="003A3192">
      <w:pPr>
        <w:pStyle w:val="slovn-rove1-netunb"/>
        <w:numPr>
          <w:ilvl w:val="0"/>
          <w:numId w:val="14"/>
        </w:numPr>
      </w:pPr>
      <w:r w:rsidRPr="00885B8E">
        <w:t>Pokud výše uvedená pojistná smlouva, resp. dodatek k pojistné smlouvě (dále jen „</w:t>
      </w:r>
      <w:r w:rsidRPr="00885B8E">
        <w:rPr>
          <w:b/>
        </w:rPr>
        <w:t>smlouva</w:t>
      </w:r>
      <w:r w:rsidRPr="00885B8E">
        <w:t>“) podléhá povinnosti uveřejnění v registru smluv (dále jen „</w:t>
      </w:r>
      <w:r w:rsidRPr="00885B8E">
        <w:rPr>
          <w:b/>
        </w:rPr>
        <w:t>registr</w:t>
      </w:r>
      <w:r w:rsidRPr="00885B8E">
        <w:t>“)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každý pojištěný souhlasil s uveřejněním smlouvy.</w:t>
      </w:r>
    </w:p>
    <w:p w:rsidR="003A3192" w:rsidRPr="00885B8E" w:rsidRDefault="003A3192" w:rsidP="003A3192">
      <w:pPr>
        <w:pStyle w:val="slovn-rove1-netunb"/>
        <w:numPr>
          <w:ilvl w:val="0"/>
          <w:numId w:val="0"/>
        </w:numPr>
        <w:ind w:left="425"/>
      </w:pPr>
      <w:r w:rsidRPr="00885B8E">
        <w:t>Při vyplnění formuláře pro uveřejnění smlouvy v registru je pojistník povinen vyplnit údaje o pojistiteli (jako smluvní straně), do pole „</w:t>
      </w:r>
      <w:r w:rsidRPr="00885B8E">
        <w:rPr>
          <w:b/>
        </w:rPr>
        <w:t>Datová schránka</w:t>
      </w:r>
      <w:r w:rsidRPr="00885B8E">
        <w:t xml:space="preserve">“ uvést: </w:t>
      </w:r>
      <w:r w:rsidRPr="00885B8E">
        <w:rPr>
          <w:b/>
        </w:rPr>
        <w:t>n6tetn3</w:t>
      </w:r>
      <w:r w:rsidRPr="00885B8E">
        <w:t xml:space="preserve"> a do pole „</w:t>
      </w:r>
      <w:r w:rsidRPr="00885B8E">
        <w:rPr>
          <w:b/>
        </w:rPr>
        <w:t>Číslo smlouvy</w:t>
      </w:r>
      <w:r w:rsidRPr="00885B8E">
        <w:t xml:space="preserve">“ </w:t>
      </w:r>
      <w:r w:rsidRPr="00885B8E">
        <w:rPr>
          <w:color w:val="000000"/>
        </w:rPr>
        <w:t>uvést číslo této pojistné smlouvy.</w:t>
      </w:r>
    </w:p>
    <w:p w:rsidR="003A3192" w:rsidRPr="00885B8E" w:rsidRDefault="003A3192" w:rsidP="003A3192">
      <w:pPr>
        <w:pStyle w:val="slovn-rove1-netunb"/>
        <w:numPr>
          <w:ilvl w:val="0"/>
          <w:numId w:val="0"/>
        </w:numPr>
        <w:ind w:left="425"/>
      </w:pPr>
      <w:r w:rsidRPr="00885B8E">
        <w:t>Pojistník se dále zavazuje, že před zasláním smlouvy k uveřejnění zajistí znečitelnění neuveřejnitelných informací (např. osobních údajů o fyzických osobách).</w:t>
      </w:r>
    </w:p>
    <w:p w:rsidR="003A3192" w:rsidRDefault="003A3192" w:rsidP="00066BFB">
      <w:pPr>
        <w:pStyle w:val="slovn-rove1-netunb"/>
        <w:numPr>
          <w:ilvl w:val="0"/>
          <w:numId w:val="0"/>
        </w:numPr>
        <w:spacing w:after="0"/>
        <w:ind w:left="425"/>
      </w:pPr>
      <w:r w:rsidRPr="00885B8E">
        <w:t>Smluvní strany se dohodly, že ode dne nabytí účinnosti smlouvy (resp. dodatku)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rsidR="004E30A4" w:rsidRPr="00CD4854" w:rsidRDefault="004E30A4" w:rsidP="00DF498C">
      <w:pPr>
        <w:numPr>
          <w:ilvl w:val="0"/>
          <w:numId w:val="30"/>
        </w:numPr>
        <w:tabs>
          <w:tab w:val="clear" w:pos="720"/>
          <w:tab w:val="num" w:pos="360"/>
        </w:tabs>
        <w:spacing w:before="240"/>
        <w:ind w:left="340" w:hanging="340"/>
        <w:jc w:val="both"/>
        <w:rPr>
          <w:b/>
          <w:sz w:val="20"/>
          <w:szCs w:val="20"/>
        </w:rPr>
      </w:pPr>
      <w:r w:rsidRPr="00CD4854">
        <w:rPr>
          <w:b/>
          <w:sz w:val="20"/>
          <w:szCs w:val="20"/>
        </w:rPr>
        <w:t xml:space="preserve">Článek VII. </w:t>
      </w:r>
      <w:r>
        <w:rPr>
          <w:b/>
          <w:sz w:val="20"/>
          <w:szCs w:val="20"/>
        </w:rPr>
        <w:t xml:space="preserve">(Závěrečná ustanovení) </w:t>
      </w:r>
      <w:r w:rsidRPr="00CD4854">
        <w:rPr>
          <w:b/>
          <w:sz w:val="20"/>
          <w:szCs w:val="20"/>
        </w:rPr>
        <w:t>nově zní:</w:t>
      </w:r>
    </w:p>
    <w:p w:rsidR="00292B25" w:rsidRPr="000341AF" w:rsidRDefault="00292B25" w:rsidP="00DF498C">
      <w:pPr>
        <w:pStyle w:val="Zkladntext32"/>
        <w:numPr>
          <w:ilvl w:val="12"/>
          <w:numId w:val="0"/>
        </w:numPr>
        <w:tabs>
          <w:tab w:val="clear" w:pos="-720"/>
          <w:tab w:val="left" w:pos="-1701"/>
        </w:tabs>
        <w:spacing w:before="360" w:line="240" w:lineRule="auto"/>
        <w:jc w:val="center"/>
        <w:rPr>
          <w:rFonts w:ascii="Koop Office" w:hAnsi="Koop Office" w:cs="Arial"/>
          <w:b/>
          <w:sz w:val="24"/>
          <w:szCs w:val="24"/>
        </w:rPr>
      </w:pPr>
      <w:r w:rsidRPr="000341AF">
        <w:rPr>
          <w:rFonts w:ascii="Koop Office" w:hAnsi="Koop Office" w:cs="Arial"/>
          <w:b/>
          <w:sz w:val="24"/>
          <w:szCs w:val="24"/>
        </w:rPr>
        <w:t>Článek VII.</w:t>
      </w:r>
    </w:p>
    <w:p w:rsidR="00292B25" w:rsidRPr="000341AF" w:rsidRDefault="00292B25" w:rsidP="002C4130">
      <w:pPr>
        <w:pStyle w:val="Zkladntext32"/>
        <w:numPr>
          <w:ilvl w:val="12"/>
          <w:numId w:val="0"/>
        </w:numPr>
        <w:tabs>
          <w:tab w:val="clear" w:pos="-720"/>
          <w:tab w:val="left" w:pos="-1701"/>
        </w:tabs>
        <w:spacing w:line="240" w:lineRule="auto"/>
        <w:jc w:val="center"/>
        <w:rPr>
          <w:rFonts w:ascii="Koop Office" w:hAnsi="Koop Office" w:cs="Arial"/>
          <w:b/>
          <w:sz w:val="24"/>
          <w:szCs w:val="24"/>
        </w:rPr>
      </w:pPr>
      <w:r w:rsidRPr="000341AF">
        <w:rPr>
          <w:rFonts w:ascii="Koop Office" w:hAnsi="Koop Office" w:cs="Arial"/>
          <w:b/>
          <w:sz w:val="24"/>
          <w:szCs w:val="24"/>
        </w:rPr>
        <w:t>Závěrečná ustanovení</w:t>
      </w:r>
    </w:p>
    <w:p w:rsidR="00677CB3" w:rsidRDefault="005A4AED" w:rsidP="002C4130">
      <w:pPr>
        <w:numPr>
          <w:ilvl w:val="0"/>
          <w:numId w:val="15"/>
        </w:numPr>
        <w:tabs>
          <w:tab w:val="left" w:pos="-1418"/>
        </w:tabs>
        <w:spacing w:before="120"/>
        <w:jc w:val="both"/>
        <w:rPr>
          <w:rFonts w:cs="Arial"/>
          <w:sz w:val="20"/>
        </w:rPr>
      </w:pPr>
      <w:r w:rsidRPr="006368D9">
        <w:rPr>
          <w:rFonts w:cs="Arial"/>
          <w:sz w:val="20"/>
        </w:rPr>
        <w:t>Není-li ujednáno jinak, je pojistnou dobou doba od</w:t>
      </w:r>
      <w:r>
        <w:rPr>
          <w:rFonts w:cs="Arial"/>
          <w:sz w:val="20"/>
        </w:rPr>
        <w:t xml:space="preserve"> </w:t>
      </w:r>
      <w:r w:rsidR="00DF498C">
        <w:rPr>
          <w:rFonts w:cs="Arial"/>
          <w:sz w:val="20"/>
        </w:rPr>
        <w:t>10</w:t>
      </w:r>
      <w:r>
        <w:rPr>
          <w:rFonts w:cs="Arial"/>
          <w:sz w:val="20"/>
        </w:rPr>
        <w:t xml:space="preserve">. </w:t>
      </w:r>
      <w:r w:rsidR="00DF498C">
        <w:rPr>
          <w:rFonts w:cs="Arial"/>
          <w:sz w:val="20"/>
        </w:rPr>
        <w:t>11</w:t>
      </w:r>
      <w:r>
        <w:rPr>
          <w:rFonts w:cs="Arial"/>
          <w:sz w:val="20"/>
        </w:rPr>
        <w:t>. 2014</w:t>
      </w:r>
      <w:r w:rsidRPr="006368D9">
        <w:rPr>
          <w:rFonts w:cs="Arial"/>
          <w:sz w:val="20"/>
        </w:rPr>
        <w:t xml:space="preserve"> (počátek pojištění) do</w:t>
      </w:r>
      <w:r>
        <w:rPr>
          <w:rFonts w:cs="Arial"/>
          <w:sz w:val="20"/>
        </w:rPr>
        <w:t xml:space="preserve"> 0</w:t>
      </w:r>
      <w:r w:rsidR="00DF498C">
        <w:rPr>
          <w:rFonts w:cs="Arial"/>
          <w:sz w:val="20"/>
        </w:rPr>
        <w:t>9</w:t>
      </w:r>
      <w:r>
        <w:rPr>
          <w:rFonts w:cs="Arial"/>
          <w:sz w:val="20"/>
        </w:rPr>
        <w:t xml:space="preserve">. </w:t>
      </w:r>
      <w:r w:rsidR="00DF498C">
        <w:rPr>
          <w:rFonts w:cs="Arial"/>
          <w:sz w:val="20"/>
        </w:rPr>
        <w:t>11</w:t>
      </w:r>
      <w:r>
        <w:rPr>
          <w:rFonts w:cs="Arial"/>
          <w:sz w:val="20"/>
        </w:rPr>
        <w:t>. 20</w:t>
      </w:r>
      <w:r w:rsidR="00677CB3">
        <w:rPr>
          <w:rFonts w:cs="Arial"/>
          <w:sz w:val="20"/>
        </w:rPr>
        <w:t>20</w:t>
      </w:r>
      <w:r w:rsidRPr="006368D9">
        <w:rPr>
          <w:rFonts w:cs="Arial"/>
          <w:sz w:val="20"/>
        </w:rPr>
        <w:t xml:space="preserve"> (konec pojištění).</w:t>
      </w:r>
      <w:r>
        <w:rPr>
          <w:rFonts w:cs="Arial"/>
          <w:sz w:val="20"/>
        </w:rPr>
        <w:t xml:space="preserve"> </w:t>
      </w:r>
    </w:p>
    <w:p w:rsidR="00292B25" w:rsidRDefault="00677CB3" w:rsidP="00677CB3">
      <w:pPr>
        <w:tabs>
          <w:tab w:val="left" w:pos="-1418"/>
        </w:tabs>
        <w:ind w:left="425"/>
        <w:jc w:val="both"/>
        <w:rPr>
          <w:rFonts w:cs="Arial"/>
          <w:sz w:val="20"/>
        </w:rPr>
      </w:pPr>
      <w:r>
        <w:rPr>
          <w:sz w:val="20"/>
        </w:rPr>
        <w:t>Počátek změn</w:t>
      </w:r>
      <w:r w:rsidRPr="00677CB3">
        <w:rPr>
          <w:sz w:val="20"/>
        </w:rPr>
        <w:t xml:space="preserve"> provedených tímto dodatkem</w:t>
      </w:r>
      <w:r w:rsidRPr="00677CB3">
        <w:rPr>
          <w:sz w:val="20"/>
          <w:szCs w:val="20"/>
        </w:rPr>
        <w:t xml:space="preserve"> </w:t>
      </w:r>
      <w:r>
        <w:rPr>
          <w:sz w:val="20"/>
          <w:szCs w:val="20"/>
        </w:rPr>
        <w:t>10</w:t>
      </w:r>
      <w:r w:rsidR="005A4AED" w:rsidRPr="00677CB3">
        <w:rPr>
          <w:sz w:val="20"/>
          <w:szCs w:val="20"/>
        </w:rPr>
        <w:t xml:space="preserve">. </w:t>
      </w:r>
      <w:r w:rsidR="00DF498C" w:rsidRPr="00677CB3">
        <w:rPr>
          <w:sz w:val="20"/>
          <w:szCs w:val="20"/>
        </w:rPr>
        <w:t>11</w:t>
      </w:r>
      <w:r w:rsidR="005A4AED" w:rsidRPr="00677CB3">
        <w:rPr>
          <w:sz w:val="20"/>
          <w:szCs w:val="20"/>
        </w:rPr>
        <w:t>. 201</w:t>
      </w:r>
      <w:r>
        <w:rPr>
          <w:sz w:val="20"/>
          <w:szCs w:val="20"/>
        </w:rPr>
        <w:t>7</w:t>
      </w:r>
      <w:r w:rsidR="00292B25" w:rsidRPr="00677CB3">
        <w:rPr>
          <w:rFonts w:cs="Arial"/>
          <w:sz w:val="20"/>
        </w:rPr>
        <w:t>.</w:t>
      </w:r>
    </w:p>
    <w:p w:rsidR="00677CB3" w:rsidRDefault="00677CB3" w:rsidP="00677CB3">
      <w:pPr>
        <w:ind w:left="425"/>
        <w:jc w:val="both"/>
        <w:rPr>
          <w:sz w:val="20"/>
        </w:rPr>
      </w:pPr>
      <w:r>
        <w:rPr>
          <w:sz w:val="20"/>
        </w:rPr>
        <w:t>Tímto dodatkem proveden</w:t>
      </w:r>
      <w:r w:rsidRPr="00677CB3">
        <w:rPr>
          <w:sz w:val="20"/>
        </w:rPr>
        <w:t>é změny a případná tímto dodatkem sjednaná nová pojištění se nevztahují na dobu (nevznikají) před počátkem změn provedených tímto dodatkem.</w:t>
      </w:r>
    </w:p>
    <w:p w:rsidR="00677CB3" w:rsidRPr="001511AA" w:rsidRDefault="00677CB3" w:rsidP="00677CB3">
      <w:pPr>
        <w:numPr>
          <w:ilvl w:val="0"/>
          <w:numId w:val="15"/>
        </w:numPr>
        <w:tabs>
          <w:tab w:val="left" w:pos="-1418"/>
        </w:tabs>
        <w:spacing w:before="120"/>
        <w:jc w:val="both"/>
        <w:rPr>
          <w:rFonts w:cs="Arial"/>
          <w:sz w:val="20"/>
          <w:szCs w:val="20"/>
        </w:rPr>
      </w:pPr>
      <w:r w:rsidRPr="001511AA">
        <w:rPr>
          <w:sz w:val="20"/>
          <w:szCs w:val="20"/>
        </w:rPr>
        <w:t>Pojistník je povinen vrátit pojistiteli veškeré slevy poskytnuté za dobu trvání pojištění (sleva za dlouhodobost), jestliže pojistník pojištění vypoví před uplynutím pojistné doby</w:t>
      </w:r>
      <w:r w:rsidRPr="001511AA">
        <w:rPr>
          <w:rFonts w:cs="Arial"/>
          <w:sz w:val="20"/>
          <w:szCs w:val="20"/>
        </w:rPr>
        <w:t>.</w:t>
      </w:r>
    </w:p>
    <w:p w:rsidR="008532E3" w:rsidRPr="00677CB3" w:rsidRDefault="008532E3" w:rsidP="00900B3F">
      <w:pPr>
        <w:numPr>
          <w:ilvl w:val="0"/>
          <w:numId w:val="15"/>
        </w:numPr>
        <w:tabs>
          <w:tab w:val="left" w:pos="-1418"/>
        </w:tabs>
        <w:spacing w:before="120"/>
        <w:jc w:val="both"/>
        <w:rPr>
          <w:rFonts w:cs="Arial"/>
          <w:sz w:val="20"/>
        </w:rPr>
      </w:pPr>
      <w:r>
        <w:rPr>
          <w:sz w:val="20"/>
          <w:szCs w:val="20"/>
        </w:rPr>
        <w:lastRenderedPageBreak/>
        <w:t>Odpověď pojistníka na návrh pojistitele na uzavření tohoto dodatku (dále jen „</w:t>
      </w:r>
      <w:r w:rsidRPr="00677CB3">
        <w:rPr>
          <w:b/>
          <w:sz w:val="20"/>
          <w:szCs w:val="20"/>
        </w:rPr>
        <w:t>nabídka</w:t>
      </w:r>
      <w:r>
        <w:rPr>
          <w:sz w:val="20"/>
          <w:szCs w:val="20"/>
        </w:rPr>
        <w:t>“) s dodatkem nebo odchylkou od nabídky se nepovažuje za její přijetí, a to ani v případě, že se takovou odchylkou podstatně nemění podmínky nabídky.</w:t>
      </w:r>
    </w:p>
    <w:p w:rsidR="00677CB3" w:rsidRPr="00677CB3" w:rsidRDefault="00677CB3" w:rsidP="00677CB3">
      <w:pPr>
        <w:numPr>
          <w:ilvl w:val="0"/>
          <w:numId w:val="15"/>
        </w:numPr>
        <w:tabs>
          <w:tab w:val="left" w:pos="-1418"/>
        </w:tabs>
        <w:spacing w:before="120"/>
        <w:jc w:val="both"/>
        <w:rPr>
          <w:rFonts w:cs="Arial"/>
          <w:sz w:val="20"/>
        </w:rPr>
      </w:pPr>
      <w:r w:rsidRPr="00677CB3">
        <w:rPr>
          <w:rFonts w:cs="Arial"/>
          <w:sz w:val="20"/>
        </w:rPr>
        <w:t>Ujednává se, že tento dodatek musí být uzavřen pouze v písemné formě, a to i v případě, že je pojištění tímto dodatkem ujednáno na pojistnou dobu kratší než jeden rok. Tento dodatek může být měněn pouze písemnou formou.</w:t>
      </w:r>
    </w:p>
    <w:p w:rsidR="00677CB3" w:rsidRPr="00677CB3" w:rsidRDefault="00677CB3" w:rsidP="00677CB3">
      <w:pPr>
        <w:numPr>
          <w:ilvl w:val="0"/>
          <w:numId w:val="15"/>
        </w:numPr>
        <w:tabs>
          <w:tab w:val="left" w:pos="-1418"/>
        </w:tabs>
        <w:spacing w:before="120"/>
        <w:jc w:val="both"/>
        <w:rPr>
          <w:rFonts w:cs="Arial"/>
          <w:sz w:val="20"/>
        </w:rPr>
      </w:pPr>
      <w:r w:rsidRPr="00677CB3">
        <w:rPr>
          <w:rFonts w:cs="Arial"/>
          <w:sz w:val="20"/>
        </w:rPr>
        <w:t xml:space="preserve">Subjektem věcně příslušným k mimosoudnímu řešení spotřebitelských sporů z tohoto pojištění je Česká obchodní inspekce, Štěpánská 567/15, 120 00 Praha 2, </w:t>
      </w:r>
      <w:hyperlink r:id="rId11" w:history="1">
        <w:r w:rsidRPr="00677CB3">
          <w:rPr>
            <w:rFonts w:cs="Arial"/>
            <w:sz w:val="20"/>
          </w:rPr>
          <w:t>www.coi.cz</w:t>
        </w:r>
      </w:hyperlink>
      <w:r w:rsidRPr="00677CB3">
        <w:rPr>
          <w:rFonts w:cs="Arial"/>
          <w:sz w:val="20"/>
        </w:rPr>
        <w:t>.</w:t>
      </w:r>
    </w:p>
    <w:p w:rsidR="00292B25" w:rsidRPr="000341AF" w:rsidRDefault="008532E3" w:rsidP="002C4130">
      <w:pPr>
        <w:numPr>
          <w:ilvl w:val="0"/>
          <w:numId w:val="15"/>
        </w:numPr>
        <w:tabs>
          <w:tab w:val="left" w:pos="-1418"/>
        </w:tabs>
        <w:spacing w:before="120"/>
        <w:jc w:val="both"/>
        <w:rPr>
          <w:rFonts w:cs="Arial"/>
          <w:sz w:val="20"/>
        </w:rPr>
      </w:pPr>
      <w:bookmarkStart w:id="2" w:name="_Ref489759092"/>
      <w:r>
        <w:rPr>
          <w:rFonts w:cs="Arial"/>
          <w:sz w:val="20"/>
        </w:rPr>
        <w:t>Tento dodatek k pojistné</w:t>
      </w:r>
      <w:r w:rsidRPr="006368D9">
        <w:rPr>
          <w:rFonts w:cs="Arial"/>
          <w:sz w:val="20"/>
        </w:rPr>
        <w:t xml:space="preserve"> smlouv</w:t>
      </w:r>
      <w:r>
        <w:rPr>
          <w:rFonts w:cs="Arial"/>
          <w:sz w:val="20"/>
        </w:rPr>
        <w:t>ě</w:t>
      </w:r>
      <w:r w:rsidRPr="006368D9">
        <w:rPr>
          <w:rFonts w:cs="Arial"/>
          <w:sz w:val="20"/>
        </w:rPr>
        <w:t xml:space="preserve"> byl vypracován ve </w:t>
      </w:r>
      <w:r>
        <w:rPr>
          <w:rFonts w:cs="Arial"/>
          <w:sz w:val="20"/>
        </w:rPr>
        <w:t>4</w:t>
      </w:r>
      <w:r w:rsidRPr="006368D9">
        <w:rPr>
          <w:rFonts w:cs="Arial"/>
          <w:sz w:val="20"/>
        </w:rPr>
        <w:t xml:space="preserve"> stejnopisech, pojistník obdrží </w:t>
      </w:r>
      <w:r>
        <w:rPr>
          <w:rFonts w:cs="Arial"/>
          <w:sz w:val="20"/>
        </w:rPr>
        <w:t>1</w:t>
      </w:r>
      <w:r w:rsidRPr="006368D9">
        <w:rPr>
          <w:rFonts w:cs="Arial"/>
          <w:sz w:val="20"/>
        </w:rPr>
        <w:t xml:space="preserve"> stejnopis, pojistitel si ponechá </w:t>
      </w:r>
      <w:r>
        <w:rPr>
          <w:rFonts w:cs="Arial"/>
          <w:sz w:val="20"/>
        </w:rPr>
        <w:t>2 stejnopis</w:t>
      </w:r>
      <w:r w:rsidRPr="006368D9">
        <w:rPr>
          <w:rFonts w:cs="Arial"/>
          <w:sz w:val="20"/>
        </w:rPr>
        <w:t>y</w:t>
      </w:r>
      <w:r>
        <w:rPr>
          <w:rFonts w:cs="Arial"/>
          <w:sz w:val="20"/>
        </w:rPr>
        <w:t xml:space="preserve"> a </w:t>
      </w:r>
      <w:r w:rsidRPr="006368D9">
        <w:rPr>
          <w:rFonts w:cs="Arial"/>
          <w:sz w:val="20"/>
        </w:rPr>
        <w:t xml:space="preserve">pojišťovací </w:t>
      </w:r>
      <w:r w:rsidR="00DF498C">
        <w:rPr>
          <w:rFonts w:cs="Arial"/>
          <w:sz w:val="20"/>
        </w:rPr>
        <w:t>zprostředkovatel</w:t>
      </w:r>
      <w:r w:rsidRPr="006368D9">
        <w:rPr>
          <w:rFonts w:cs="Arial"/>
          <w:sz w:val="20"/>
        </w:rPr>
        <w:t xml:space="preserve"> obdrží </w:t>
      </w:r>
      <w:r>
        <w:rPr>
          <w:rFonts w:cs="Arial"/>
          <w:sz w:val="20"/>
        </w:rPr>
        <w:t xml:space="preserve">1 </w:t>
      </w:r>
      <w:r w:rsidRPr="006368D9">
        <w:rPr>
          <w:rFonts w:cs="Arial"/>
          <w:sz w:val="20"/>
        </w:rPr>
        <w:t>stejnopis</w:t>
      </w:r>
      <w:r w:rsidR="00292B25" w:rsidRPr="006368D9">
        <w:rPr>
          <w:rFonts w:cs="Arial"/>
          <w:sz w:val="20"/>
        </w:rPr>
        <w:t>.</w:t>
      </w:r>
    </w:p>
    <w:p w:rsidR="008532E3" w:rsidRDefault="008532E3" w:rsidP="008532E3">
      <w:pPr>
        <w:numPr>
          <w:ilvl w:val="0"/>
          <w:numId w:val="15"/>
        </w:numPr>
        <w:tabs>
          <w:tab w:val="left" w:pos="-1418"/>
        </w:tabs>
        <w:spacing w:before="120"/>
        <w:jc w:val="both"/>
        <w:rPr>
          <w:rFonts w:cs="Arial"/>
          <w:sz w:val="20"/>
        </w:rPr>
      </w:pPr>
      <w:r>
        <w:rPr>
          <w:rFonts w:cs="Arial"/>
          <w:sz w:val="20"/>
        </w:rPr>
        <w:t>Tento dodatek</w:t>
      </w:r>
      <w:r w:rsidRPr="008C70C4">
        <w:rPr>
          <w:rFonts w:cs="Arial"/>
          <w:sz w:val="20"/>
        </w:rPr>
        <w:t xml:space="preserve"> obsahuje </w:t>
      </w:r>
      <w:r w:rsidR="00677CB3">
        <w:rPr>
          <w:rFonts w:cs="Arial"/>
          <w:sz w:val="20"/>
        </w:rPr>
        <w:t>6</w:t>
      </w:r>
      <w:r w:rsidRPr="008C70C4">
        <w:rPr>
          <w:rFonts w:cs="Arial"/>
          <w:sz w:val="20"/>
        </w:rPr>
        <w:t xml:space="preserve"> stran</w:t>
      </w:r>
      <w:r>
        <w:rPr>
          <w:rFonts w:cs="Arial"/>
          <w:sz w:val="20"/>
        </w:rPr>
        <w:t xml:space="preserve">, k pojistné smlouvě ve znění tohoto dodatku náleží </w:t>
      </w:r>
      <w:r w:rsidR="00DF498C">
        <w:rPr>
          <w:rFonts w:cs="Arial"/>
          <w:sz w:val="20"/>
        </w:rPr>
        <w:t>1</w:t>
      </w:r>
      <w:r>
        <w:rPr>
          <w:rFonts w:cs="Arial"/>
          <w:sz w:val="20"/>
        </w:rPr>
        <w:t xml:space="preserve"> příloh</w:t>
      </w:r>
      <w:r w:rsidR="00DF498C">
        <w:rPr>
          <w:rFonts w:cs="Arial"/>
          <w:sz w:val="20"/>
        </w:rPr>
        <w:t>a</w:t>
      </w:r>
      <w:r>
        <w:rPr>
          <w:rFonts w:cs="Arial"/>
          <w:sz w:val="20"/>
        </w:rPr>
        <w:t xml:space="preserve">, </w:t>
      </w:r>
      <w:r w:rsidR="00DF498C">
        <w:rPr>
          <w:rFonts w:cs="Arial"/>
          <w:sz w:val="20"/>
        </w:rPr>
        <w:t>která</w:t>
      </w:r>
      <w:r>
        <w:rPr>
          <w:rFonts w:cs="Arial"/>
          <w:sz w:val="20"/>
        </w:rPr>
        <w:t xml:space="preserve"> </w:t>
      </w:r>
      <w:r w:rsidR="00677CB3">
        <w:rPr>
          <w:rFonts w:cs="Arial"/>
          <w:sz w:val="20"/>
        </w:rPr>
        <w:t>není</w:t>
      </w:r>
      <w:r>
        <w:rPr>
          <w:rFonts w:cs="Arial"/>
          <w:sz w:val="20"/>
        </w:rPr>
        <w:t xml:space="preserve"> fyzicky přiložena k tomuto dodatku</w:t>
      </w:r>
      <w:r w:rsidRPr="008C70C4">
        <w:rPr>
          <w:rFonts w:cs="Arial"/>
          <w:sz w:val="20"/>
        </w:rPr>
        <w:t>.</w:t>
      </w:r>
      <w:r>
        <w:rPr>
          <w:rFonts w:cs="Arial"/>
          <w:sz w:val="20"/>
        </w:rPr>
        <w:t xml:space="preserve"> Součástí pojistné smlouvy ve znění tohoto dodatku jsou pojistné podmínky pojistitele uvedené v čl. I. této pojistné smlouvy ve znění tohoto dodatku a dokument Informace pro zájemce o pojištění. V případě, že je jakékoli ustanovení uvedené v Informacích pro zájemce o pojištění v rozporu s ustanovením pojistné smlouvy, má přednost příslušné ustanovení pojistné smlouvy.</w:t>
      </w:r>
    </w:p>
    <w:p w:rsidR="00DF498C" w:rsidRDefault="008532E3" w:rsidP="008532E3">
      <w:pPr>
        <w:pStyle w:val="Odstavecseseznamem"/>
        <w:tabs>
          <w:tab w:val="left" w:pos="440"/>
          <w:tab w:val="left" w:pos="2977"/>
        </w:tabs>
        <w:spacing w:before="120" w:after="0" w:line="240" w:lineRule="auto"/>
        <w:ind w:left="425"/>
        <w:rPr>
          <w:rFonts w:ascii="Koop Office" w:hAnsi="Koop Office"/>
          <w:sz w:val="20"/>
          <w:szCs w:val="20"/>
        </w:rPr>
      </w:pPr>
      <w:r w:rsidRPr="006A7A9D">
        <w:rPr>
          <w:rFonts w:ascii="Koop Office" w:hAnsi="Koop Office"/>
          <w:sz w:val="20"/>
          <w:szCs w:val="20"/>
        </w:rPr>
        <w:t xml:space="preserve">Výčet příloh: </w:t>
      </w:r>
    </w:p>
    <w:p w:rsidR="008532E3" w:rsidRPr="00DF498C" w:rsidRDefault="008532E3" w:rsidP="00DF498C">
      <w:pPr>
        <w:pStyle w:val="Odstavecseseznamem"/>
        <w:tabs>
          <w:tab w:val="left" w:pos="440"/>
          <w:tab w:val="left" w:pos="2977"/>
        </w:tabs>
        <w:spacing w:before="120" w:after="0" w:line="240" w:lineRule="auto"/>
        <w:ind w:left="425"/>
        <w:rPr>
          <w:rFonts w:ascii="Koop Office" w:hAnsi="Koop Office" w:cs="Arial"/>
          <w:sz w:val="20"/>
        </w:rPr>
      </w:pPr>
      <w:r w:rsidRPr="00DF498C">
        <w:rPr>
          <w:rFonts w:ascii="Koop Office" w:hAnsi="Koop Office"/>
          <w:sz w:val="20"/>
          <w:szCs w:val="20"/>
        </w:rPr>
        <w:t>příloha č. 1 - kopie Výpis</w:t>
      </w:r>
      <w:r w:rsidR="00DF498C">
        <w:rPr>
          <w:rFonts w:ascii="Koop Office" w:hAnsi="Koop Office"/>
          <w:sz w:val="20"/>
          <w:szCs w:val="20"/>
        </w:rPr>
        <w:t>u</w:t>
      </w:r>
      <w:r w:rsidRPr="00DF498C">
        <w:rPr>
          <w:rFonts w:ascii="Koop Office" w:hAnsi="Koop Office"/>
          <w:sz w:val="20"/>
          <w:szCs w:val="20"/>
        </w:rPr>
        <w:t xml:space="preserve"> z obchodního rejstříku</w:t>
      </w:r>
      <w:r w:rsidR="00DF498C" w:rsidRPr="00DF498C">
        <w:rPr>
          <w:rFonts w:ascii="Koop Office" w:hAnsi="Koop Office"/>
          <w:sz w:val="20"/>
          <w:szCs w:val="20"/>
        </w:rPr>
        <w:t xml:space="preserve">, </w:t>
      </w:r>
      <w:r w:rsidRPr="00DF498C">
        <w:rPr>
          <w:rFonts w:ascii="Koop Office" w:hAnsi="Koop Office"/>
          <w:sz w:val="20"/>
          <w:szCs w:val="20"/>
        </w:rPr>
        <w:t>kopie Výpis</w:t>
      </w:r>
      <w:r w:rsidR="00DF498C">
        <w:rPr>
          <w:rFonts w:ascii="Koop Office" w:hAnsi="Koop Office"/>
          <w:sz w:val="20"/>
          <w:szCs w:val="20"/>
        </w:rPr>
        <w:t>u</w:t>
      </w:r>
      <w:r w:rsidRPr="00DF498C">
        <w:rPr>
          <w:rFonts w:ascii="Koop Office" w:hAnsi="Koop Office"/>
          <w:sz w:val="20"/>
          <w:szCs w:val="20"/>
        </w:rPr>
        <w:t xml:space="preserve"> ze Živnostenského rejstříku v ARES</w:t>
      </w:r>
    </w:p>
    <w:bookmarkEnd w:id="2"/>
    <w:p w:rsidR="00292B25" w:rsidRDefault="00292B25" w:rsidP="004A73A8">
      <w:pPr>
        <w:rPr>
          <w:rFonts w:cs="Arial"/>
          <w:sz w:val="20"/>
        </w:rPr>
      </w:pPr>
    </w:p>
    <w:p w:rsidR="00454D73" w:rsidRDefault="00454D73" w:rsidP="004A73A8">
      <w:pPr>
        <w:rPr>
          <w:rFonts w:cs="Arial"/>
          <w:sz w:val="20"/>
        </w:rPr>
      </w:pPr>
      <w:bookmarkStart w:id="3" w:name="_GoBack"/>
      <w:bookmarkEnd w:id="3"/>
    </w:p>
    <w:p w:rsidR="00454D73" w:rsidRDefault="00454D73" w:rsidP="004A73A8">
      <w:pPr>
        <w:rPr>
          <w:rFonts w:cs="Arial"/>
          <w:sz w:val="20"/>
        </w:rPr>
      </w:pPr>
    </w:p>
    <w:p w:rsidR="00454D73" w:rsidRPr="006368D9" w:rsidRDefault="00454D73" w:rsidP="004A73A8">
      <w:pPr>
        <w:rPr>
          <w:rFonts w:cs="Arial"/>
          <w:sz w:val="20"/>
        </w:rPr>
      </w:pPr>
    </w:p>
    <w:tbl>
      <w:tblPr>
        <w:tblW w:w="10188" w:type="dxa"/>
        <w:tblLayout w:type="fixed"/>
        <w:tblLook w:val="01E0" w:firstRow="1" w:lastRow="1" w:firstColumn="1" w:lastColumn="1" w:noHBand="0" w:noVBand="0"/>
      </w:tblPr>
      <w:tblGrid>
        <w:gridCol w:w="3374"/>
        <w:gridCol w:w="3374"/>
        <w:gridCol w:w="3440"/>
      </w:tblGrid>
      <w:tr w:rsidR="00292B25" w:rsidRPr="00D85105" w:rsidTr="00DB2D4A">
        <w:tc>
          <w:tcPr>
            <w:tcW w:w="3374" w:type="dxa"/>
          </w:tcPr>
          <w:p w:rsidR="00292B25" w:rsidRPr="00D85105" w:rsidRDefault="00292B25" w:rsidP="00677CB3">
            <w:pPr>
              <w:rPr>
                <w:sz w:val="20"/>
                <w:szCs w:val="20"/>
              </w:rPr>
            </w:pPr>
            <w:r w:rsidRPr="00D85105">
              <w:rPr>
                <w:sz w:val="20"/>
                <w:szCs w:val="20"/>
              </w:rPr>
              <w:t xml:space="preserve">V Ostravě dne </w:t>
            </w:r>
            <w:r w:rsidR="0010066D">
              <w:rPr>
                <w:sz w:val="20"/>
                <w:szCs w:val="20"/>
              </w:rPr>
              <w:t>2</w:t>
            </w:r>
            <w:r w:rsidR="00677CB3">
              <w:rPr>
                <w:sz w:val="20"/>
                <w:szCs w:val="20"/>
              </w:rPr>
              <w:t>3</w:t>
            </w:r>
            <w:r w:rsidRPr="00D85105">
              <w:rPr>
                <w:sz w:val="20"/>
                <w:szCs w:val="20"/>
              </w:rPr>
              <w:t>.</w:t>
            </w:r>
            <w:r>
              <w:rPr>
                <w:sz w:val="20"/>
                <w:szCs w:val="20"/>
              </w:rPr>
              <w:t xml:space="preserve"> </w:t>
            </w:r>
            <w:r w:rsidR="00DF498C">
              <w:rPr>
                <w:sz w:val="20"/>
                <w:szCs w:val="20"/>
              </w:rPr>
              <w:t>1</w:t>
            </w:r>
            <w:r w:rsidR="0010066D">
              <w:rPr>
                <w:sz w:val="20"/>
                <w:szCs w:val="20"/>
              </w:rPr>
              <w:t>0</w:t>
            </w:r>
            <w:r w:rsidRPr="00D85105">
              <w:rPr>
                <w:sz w:val="20"/>
                <w:szCs w:val="20"/>
              </w:rPr>
              <w:t>.</w:t>
            </w:r>
            <w:r>
              <w:rPr>
                <w:sz w:val="20"/>
                <w:szCs w:val="20"/>
              </w:rPr>
              <w:t xml:space="preserve"> </w:t>
            </w:r>
            <w:r w:rsidRPr="00D85105">
              <w:rPr>
                <w:sz w:val="20"/>
                <w:szCs w:val="20"/>
              </w:rPr>
              <w:t>201</w:t>
            </w:r>
            <w:r w:rsidR="00677CB3">
              <w:rPr>
                <w:sz w:val="20"/>
                <w:szCs w:val="20"/>
              </w:rPr>
              <w:t>7</w:t>
            </w:r>
          </w:p>
        </w:tc>
        <w:tc>
          <w:tcPr>
            <w:tcW w:w="3374" w:type="dxa"/>
          </w:tcPr>
          <w:p w:rsidR="00292B25" w:rsidRPr="00D85105" w:rsidRDefault="00292B25" w:rsidP="00DB2D4A">
            <w:pPr>
              <w:pStyle w:val="podpisy"/>
              <w:rPr>
                <w:rFonts w:ascii="Koop Office" w:hAnsi="Koop Office"/>
              </w:rPr>
            </w:pPr>
            <w:r w:rsidRPr="00D85105">
              <w:rPr>
                <w:rFonts w:ascii="Koop Office" w:hAnsi="Koop Office"/>
              </w:rPr>
              <w:t>………………………………</w:t>
            </w:r>
          </w:p>
          <w:p w:rsidR="00292B25" w:rsidRPr="00D85105" w:rsidRDefault="00292B25" w:rsidP="00DB2D4A">
            <w:pPr>
              <w:pStyle w:val="podpisy"/>
              <w:rPr>
                <w:rFonts w:ascii="Koop Office" w:hAnsi="Koop Office"/>
              </w:rPr>
            </w:pPr>
            <w:r w:rsidRPr="00D85105">
              <w:rPr>
                <w:rFonts w:ascii="Koop Office" w:hAnsi="Koop Office"/>
              </w:rPr>
              <w:t>Za pojistitele</w:t>
            </w:r>
          </w:p>
          <w:p w:rsidR="00292B25" w:rsidRPr="00D85105" w:rsidRDefault="00820B04" w:rsidP="00DB2D4A">
            <w:pPr>
              <w:pStyle w:val="podpisy"/>
              <w:rPr>
                <w:rFonts w:ascii="Koop Office" w:hAnsi="Koop Office"/>
              </w:rPr>
            </w:pPr>
            <w:r>
              <w:rPr>
                <w:rFonts w:ascii="Koop Office" w:hAnsi="Koop Office"/>
              </w:rPr>
              <w:t>xxxxxxxxxxxxx</w:t>
            </w:r>
          </w:p>
        </w:tc>
        <w:tc>
          <w:tcPr>
            <w:tcW w:w="3440" w:type="dxa"/>
          </w:tcPr>
          <w:p w:rsidR="00292B25" w:rsidRPr="00D85105" w:rsidRDefault="00292B25" w:rsidP="00DB2D4A">
            <w:pPr>
              <w:pStyle w:val="podpisy"/>
              <w:rPr>
                <w:rFonts w:ascii="Koop Office" w:hAnsi="Koop Office"/>
              </w:rPr>
            </w:pPr>
            <w:r w:rsidRPr="00D85105">
              <w:rPr>
                <w:rFonts w:ascii="Koop Office" w:hAnsi="Koop Office"/>
              </w:rPr>
              <w:t>………………………………</w:t>
            </w:r>
          </w:p>
          <w:p w:rsidR="00292B25" w:rsidRPr="00D85105" w:rsidRDefault="00292B25" w:rsidP="00DB2D4A">
            <w:pPr>
              <w:pStyle w:val="podpisy"/>
              <w:rPr>
                <w:rFonts w:ascii="Koop Office" w:hAnsi="Koop Office"/>
              </w:rPr>
            </w:pPr>
            <w:r w:rsidRPr="00D85105">
              <w:rPr>
                <w:rFonts w:ascii="Koop Office" w:hAnsi="Koop Office"/>
              </w:rPr>
              <w:t>za pojistitele</w:t>
            </w:r>
          </w:p>
          <w:p w:rsidR="00292B25" w:rsidRPr="00D85105" w:rsidRDefault="00820B04" w:rsidP="00DB2D4A">
            <w:pPr>
              <w:pStyle w:val="podpisy"/>
              <w:rPr>
                <w:rFonts w:ascii="Koop Office" w:hAnsi="Koop Office"/>
              </w:rPr>
            </w:pPr>
            <w:r>
              <w:rPr>
                <w:rFonts w:ascii="Koop Office" w:hAnsi="Koop Office"/>
              </w:rPr>
              <w:t>xxxxxxxxxxxxxx</w:t>
            </w:r>
          </w:p>
        </w:tc>
      </w:tr>
      <w:tr w:rsidR="00292B25" w:rsidRPr="00170E6B" w:rsidTr="00DB2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374" w:type="dxa"/>
            <w:tcBorders>
              <w:top w:val="nil"/>
              <w:left w:val="nil"/>
              <w:bottom w:val="nil"/>
              <w:right w:val="nil"/>
            </w:tcBorders>
          </w:tcPr>
          <w:p w:rsidR="00292B25" w:rsidRPr="00170E6B" w:rsidRDefault="00292B25" w:rsidP="00DB2D4A"/>
        </w:tc>
        <w:tc>
          <w:tcPr>
            <w:tcW w:w="3374" w:type="dxa"/>
            <w:tcBorders>
              <w:top w:val="nil"/>
              <w:left w:val="nil"/>
              <w:bottom w:val="nil"/>
              <w:right w:val="nil"/>
            </w:tcBorders>
          </w:tcPr>
          <w:p w:rsidR="00292B25" w:rsidRPr="00170E6B" w:rsidRDefault="00292B25" w:rsidP="00DB2D4A">
            <w:pPr>
              <w:pStyle w:val="podpisy"/>
              <w:rPr>
                <w:rFonts w:ascii="Koop Office" w:hAnsi="Koop Office"/>
              </w:rPr>
            </w:pPr>
          </w:p>
        </w:tc>
        <w:tc>
          <w:tcPr>
            <w:tcW w:w="3440" w:type="dxa"/>
            <w:tcBorders>
              <w:top w:val="nil"/>
              <w:left w:val="nil"/>
              <w:bottom w:val="nil"/>
              <w:right w:val="nil"/>
            </w:tcBorders>
          </w:tcPr>
          <w:p w:rsidR="00292B25" w:rsidRDefault="00292B25" w:rsidP="00DB2D4A">
            <w:pPr>
              <w:pStyle w:val="podpisy"/>
              <w:rPr>
                <w:rFonts w:ascii="Koop Office" w:hAnsi="Koop Office"/>
              </w:rPr>
            </w:pPr>
          </w:p>
          <w:p w:rsidR="00292B25" w:rsidRDefault="00292B25" w:rsidP="00DB2D4A">
            <w:pPr>
              <w:pStyle w:val="podpisy"/>
              <w:rPr>
                <w:rFonts w:ascii="Koop Office" w:hAnsi="Koop Office"/>
              </w:rPr>
            </w:pPr>
          </w:p>
          <w:p w:rsidR="00292B25" w:rsidRDefault="00292B25" w:rsidP="00DB2D4A">
            <w:pPr>
              <w:pStyle w:val="podpisy"/>
              <w:rPr>
                <w:rFonts w:ascii="Koop Office" w:hAnsi="Koop Office"/>
              </w:rPr>
            </w:pPr>
          </w:p>
          <w:p w:rsidR="00292B25" w:rsidRDefault="00292B25" w:rsidP="00DB2D4A">
            <w:pPr>
              <w:pStyle w:val="podpisy"/>
              <w:rPr>
                <w:rFonts w:ascii="Koop Office" w:hAnsi="Koop Office"/>
              </w:rPr>
            </w:pPr>
          </w:p>
          <w:p w:rsidR="00292B25" w:rsidRDefault="00292B25" w:rsidP="00DB2D4A">
            <w:pPr>
              <w:pStyle w:val="podpisy"/>
              <w:rPr>
                <w:rFonts w:ascii="Koop Office" w:hAnsi="Koop Office"/>
              </w:rPr>
            </w:pPr>
          </w:p>
          <w:p w:rsidR="00292B25" w:rsidRPr="00170E6B" w:rsidRDefault="00292B25" w:rsidP="00DB2D4A">
            <w:pPr>
              <w:pStyle w:val="podpisy"/>
              <w:rPr>
                <w:rFonts w:ascii="Koop Office" w:hAnsi="Koop Office"/>
              </w:rPr>
            </w:pPr>
          </w:p>
        </w:tc>
      </w:tr>
      <w:tr w:rsidR="00292B25" w:rsidRPr="00D85105" w:rsidTr="00DB2D4A">
        <w:tc>
          <w:tcPr>
            <w:tcW w:w="3374" w:type="dxa"/>
          </w:tcPr>
          <w:p w:rsidR="00292B25" w:rsidRPr="00D85105" w:rsidRDefault="00292B25" w:rsidP="00677CB3">
            <w:pPr>
              <w:rPr>
                <w:sz w:val="20"/>
                <w:szCs w:val="20"/>
              </w:rPr>
            </w:pPr>
            <w:r w:rsidRPr="00D85105">
              <w:rPr>
                <w:sz w:val="20"/>
                <w:szCs w:val="20"/>
              </w:rPr>
              <w:t xml:space="preserve">V </w:t>
            </w:r>
            <w:r w:rsidR="00DF498C">
              <w:rPr>
                <w:sz w:val="20"/>
                <w:szCs w:val="20"/>
              </w:rPr>
              <w:t>Karviné</w:t>
            </w:r>
            <w:r w:rsidRPr="00D85105">
              <w:rPr>
                <w:sz w:val="20"/>
                <w:szCs w:val="20"/>
              </w:rPr>
              <w:t xml:space="preserve"> dne </w:t>
            </w:r>
            <w:r w:rsidR="0010066D">
              <w:rPr>
                <w:sz w:val="20"/>
                <w:szCs w:val="20"/>
              </w:rPr>
              <w:t>2</w:t>
            </w:r>
            <w:r w:rsidR="00677CB3">
              <w:rPr>
                <w:sz w:val="20"/>
                <w:szCs w:val="20"/>
              </w:rPr>
              <w:t>3</w:t>
            </w:r>
            <w:r w:rsidR="0046208E" w:rsidRPr="00D85105">
              <w:rPr>
                <w:sz w:val="20"/>
                <w:szCs w:val="20"/>
              </w:rPr>
              <w:t>.</w:t>
            </w:r>
            <w:r w:rsidR="0046208E">
              <w:rPr>
                <w:sz w:val="20"/>
                <w:szCs w:val="20"/>
              </w:rPr>
              <w:t xml:space="preserve"> </w:t>
            </w:r>
            <w:r w:rsidR="00DF498C">
              <w:rPr>
                <w:sz w:val="20"/>
                <w:szCs w:val="20"/>
              </w:rPr>
              <w:t>1</w:t>
            </w:r>
            <w:r w:rsidR="0010066D">
              <w:rPr>
                <w:sz w:val="20"/>
                <w:szCs w:val="20"/>
              </w:rPr>
              <w:t>0</w:t>
            </w:r>
            <w:r w:rsidR="0046208E" w:rsidRPr="00D85105">
              <w:rPr>
                <w:sz w:val="20"/>
                <w:szCs w:val="20"/>
              </w:rPr>
              <w:t>.</w:t>
            </w:r>
            <w:r w:rsidR="0046208E">
              <w:rPr>
                <w:sz w:val="20"/>
                <w:szCs w:val="20"/>
              </w:rPr>
              <w:t xml:space="preserve"> </w:t>
            </w:r>
            <w:r w:rsidR="0046208E" w:rsidRPr="00D85105">
              <w:rPr>
                <w:sz w:val="20"/>
                <w:szCs w:val="20"/>
              </w:rPr>
              <w:t>201</w:t>
            </w:r>
            <w:r w:rsidR="00677CB3">
              <w:rPr>
                <w:sz w:val="20"/>
                <w:szCs w:val="20"/>
              </w:rPr>
              <w:t>7</w:t>
            </w:r>
          </w:p>
        </w:tc>
        <w:tc>
          <w:tcPr>
            <w:tcW w:w="3374" w:type="dxa"/>
          </w:tcPr>
          <w:p w:rsidR="00292B25" w:rsidRPr="00BB3402" w:rsidRDefault="00292B25" w:rsidP="00DB2D4A">
            <w:pPr>
              <w:pStyle w:val="podpisy"/>
              <w:rPr>
                <w:rFonts w:ascii="Koop Office" w:hAnsi="Koop Office"/>
              </w:rPr>
            </w:pPr>
            <w:r w:rsidRPr="00BB3402">
              <w:rPr>
                <w:rFonts w:ascii="Koop Office" w:hAnsi="Koop Office"/>
              </w:rPr>
              <w:t>………………………………</w:t>
            </w:r>
          </w:p>
          <w:p w:rsidR="00292B25" w:rsidRPr="00BB3402" w:rsidRDefault="00292B25" w:rsidP="00DB2D4A">
            <w:pPr>
              <w:pStyle w:val="podpisy"/>
              <w:rPr>
                <w:rFonts w:ascii="Koop Office" w:hAnsi="Koop Office"/>
              </w:rPr>
            </w:pPr>
            <w:r w:rsidRPr="00BB3402">
              <w:rPr>
                <w:rFonts w:ascii="Koop Office" w:hAnsi="Koop Office"/>
              </w:rPr>
              <w:t>Za pojistníka</w:t>
            </w:r>
          </w:p>
          <w:p w:rsidR="00292B25" w:rsidRPr="00BB3402" w:rsidRDefault="00820B04" w:rsidP="00DB2D4A">
            <w:pPr>
              <w:pStyle w:val="podpisy"/>
              <w:rPr>
                <w:rFonts w:ascii="Koop Office" w:hAnsi="Koop Office"/>
              </w:rPr>
            </w:pPr>
            <w:r>
              <w:rPr>
                <w:rFonts w:ascii="Koop Office" w:hAnsi="Koop Office"/>
              </w:rPr>
              <w:t>xxxxxxxxxxxxxxxx</w:t>
            </w:r>
          </w:p>
        </w:tc>
        <w:tc>
          <w:tcPr>
            <w:tcW w:w="3440" w:type="dxa"/>
          </w:tcPr>
          <w:p w:rsidR="00292B25" w:rsidRPr="00D85105" w:rsidRDefault="00292B25" w:rsidP="00DB2D4A">
            <w:pPr>
              <w:pStyle w:val="podpisy"/>
              <w:rPr>
                <w:rFonts w:ascii="Koop Office" w:hAnsi="Koop Office"/>
              </w:rPr>
            </w:pPr>
          </w:p>
        </w:tc>
      </w:tr>
    </w:tbl>
    <w:p w:rsidR="00292B25" w:rsidRPr="00170E6B" w:rsidRDefault="00292B25" w:rsidP="00DA50D5"/>
    <w:p w:rsidR="00292B25" w:rsidRDefault="00292B25" w:rsidP="00DA50D5"/>
    <w:p w:rsidR="00B75F4C" w:rsidRDefault="00B75F4C" w:rsidP="00DA50D5"/>
    <w:p w:rsidR="00B75F4C" w:rsidRDefault="00B75F4C" w:rsidP="00DA50D5"/>
    <w:p w:rsidR="00B75F4C" w:rsidRDefault="00B75F4C" w:rsidP="00DA50D5"/>
    <w:p w:rsidR="008447EB" w:rsidRDefault="008447EB" w:rsidP="00DA50D5"/>
    <w:p w:rsidR="008447EB" w:rsidRDefault="008447EB" w:rsidP="00DA50D5"/>
    <w:p w:rsidR="008447EB" w:rsidRDefault="008447EB" w:rsidP="00DA50D5"/>
    <w:p w:rsidR="005539B3" w:rsidRDefault="005539B3" w:rsidP="00DA50D5"/>
    <w:p w:rsidR="005539B3" w:rsidRDefault="005539B3" w:rsidP="00DA50D5"/>
    <w:p w:rsidR="005539B3" w:rsidRDefault="005539B3" w:rsidP="00DA50D5"/>
    <w:p w:rsidR="005539B3" w:rsidRDefault="005539B3" w:rsidP="00DA50D5"/>
    <w:p w:rsidR="005539B3" w:rsidRDefault="005539B3" w:rsidP="00DA50D5"/>
    <w:p w:rsidR="001253D0" w:rsidRDefault="001253D0" w:rsidP="00DA50D5"/>
    <w:p w:rsidR="001652D5" w:rsidRDefault="001652D5" w:rsidP="00F2049F">
      <w:pPr>
        <w:rPr>
          <w:sz w:val="16"/>
          <w:szCs w:val="16"/>
        </w:rPr>
      </w:pPr>
    </w:p>
    <w:p w:rsidR="001652D5" w:rsidRDefault="001652D5" w:rsidP="00F2049F">
      <w:pPr>
        <w:rPr>
          <w:sz w:val="16"/>
          <w:szCs w:val="16"/>
        </w:rPr>
      </w:pPr>
    </w:p>
    <w:p w:rsidR="001652D5" w:rsidRDefault="001652D5" w:rsidP="00F2049F">
      <w:pPr>
        <w:rPr>
          <w:sz w:val="16"/>
          <w:szCs w:val="16"/>
        </w:rPr>
      </w:pPr>
    </w:p>
    <w:p w:rsidR="001652D5" w:rsidRDefault="001652D5" w:rsidP="00F2049F">
      <w:pPr>
        <w:rPr>
          <w:sz w:val="16"/>
          <w:szCs w:val="16"/>
        </w:rPr>
      </w:pPr>
    </w:p>
    <w:p w:rsidR="001652D5" w:rsidRDefault="001652D5" w:rsidP="00F2049F">
      <w:pPr>
        <w:rPr>
          <w:sz w:val="16"/>
          <w:szCs w:val="16"/>
        </w:rPr>
      </w:pPr>
    </w:p>
    <w:p w:rsidR="001652D5" w:rsidRDefault="001652D5" w:rsidP="00F2049F">
      <w:pPr>
        <w:rPr>
          <w:sz w:val="16"/>
          <w:szCs w:val="16"/>
        </w:rPr>
      </w:pPr>
    </w:p>
    <w:p w:rsidR="001652D5" w:rsidRDefault="001652D5" w:rsidP="00F2049F">
      <w:pPr>
        <w:rPr>
          <w:sz w:val="16"/>
          <w:szCs w:val="16"/>
        </w:rPr>
      </w:pPr>
    </w:p>
    <w:p w:rsidR="001652D5" w:rsidRDefault="001652D5" w:rsidP="00F2049F">
      <w:pPr>
        <w:rPr>
          <w:sz w:val="16"/>
          <w:szCs w:val="16"/>
        </w:rPr>
      </w:pPr>
    </w:p>
    <w:p w:rsidR="001652D5" w:rsidRDefault="001652D5" w:rsidP="00F2049F">
      <w:pPr>
        <w:rPr>
          <w:sz w:val="16"/>
          <w:szCs w:val="16"/>
        </w:rPr>
      </w:pPr>
    </w:p>
    <w:p w:rsidR="001652D5" w:rsidRDefault="001652D5" w:rsidP="00F2049F">
      <w:pPr>
        <w:rPr>
          <w:sz w:val="16"/>
          <w:szCs w:val="16"/>
        </w:rPr>
      </w:pPr>
    </w:p>
    <w:p w:rsidR="001652D5" w:rsidRDefault="001652D5" w:rsidP="00F2049F">
      <w:pPr>
        <w:rPr>
          <w:sz w:val="16"/>
          <w:szCs w:val="16"/>
        </w:rPr>
      </w:pPr>
    </w:p>
    <w:p w:rsidR="001652D5" w:rsidRDefault="001652D5" w:rsidP="00F2049F">
      <w:pPr>
        <w:rPr>
          <w:sz w:val="16"/>
          <w:szCs w:val="16"/>
        </w:rPr>
      </w:pPr>
    </w:p>
    <w:p w:rsidR="001652D5" w:rsidRDefault="001652D5" w:rsidP="00F2049F">
      <w:pPr>
        <w:rPr>
          <w:sz w:val="16"/>
          <w:szCs w:val="16"/>
        </w:rPr>
      </w:pPr>
    </w:p>
    <w:p w:rsidR="001652D5" w:rsidRDefault="001652D5" w:rsidP="00F2049F">
      <w:pPr>
        <w:rPr>
          <w:sz w:val="16"/>
          <w:szCs w:val="16"/>
        </w:rPr>
      </w:pPr>
    </w:p>
    <w:p w:rsidR="001652D5" w:rsidRDefault="001652D5" w:rsidP="00F2049F">
      <w:pPr>
        <w:rPr>
          <w:sz w:val="16"/>
          <w:szCs w:val="16"/>
        </w:rPr>
      </w:pPr>
    </w:p>
    <w:p w:rsidR="00292B25" w:rsidRPr="00F2049F" w:rsidRDefault="008447EB" w:rsidP="00F2049F">
      <w:pPr>
        <w:rPr>
          <w:color w:val="FF0000"/>
          <w:sz w:val="16"/>
          <w:szCs w:val="16"/>
        </w:rPr>
      </w:pPr>
      <w:r>
        <w:rPr>
          <w:sz w:val="16"/>
          <w:szCs w:val="16"/>
        </w:rPr>
        <w:t>Dodatek k pojistné smlouvě</w:t>
      </w:r>
      <w:r w:rsidR="00292B25" w:rsidRPr="00F2049F">
        <w:rPr>
          <w:sz w:val="16"/>
          <w:szCs w:val="16"/>
        </w:rPr>
        <w:t xml:space="preserve"> vypracoval: </w:t>
      </w:r>
      <w:r w:rsidR="00820B04">
        <w:rPr>
          <w:sz w:val="16"/>
          <w:szCs w:val="16"/>
        </w:rPr>
        <w:t>xxxxxxxxxxx, tel. xxxxxxxxx</w:t>
      </w:r>
      <w:r w:rsidR="00DF498C">
        <w:rPr>
          <w:sz w:val="16"/>
          <w:szCs w:val="16"/>
        </w:rPr>
        <w:t>.</w:t>
      </w:r>
    </w:p>
    <w:sectPr w:rsidR="00292B25" w:rsidRPr="00F2049F" w:rsidSect="00F94C94">
      <w:headerReference w:type="default" r:id="rId12"/>
      <w:headerReference w:type="first" r:id="rId13"/>
      <w:pgSz w:w="11906" w:h="16838" w:code="9"/>
      <w:pgMar w:top="737" w:right="737" w:bottom="737" w:left="737"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B27" w:rsidRDefault="00B95B27">
      <w:r>
        <w:separator/>
      </w:r>
    </w:p>
  </w:endnote>
  <w:endnote w:type="continuationSeparator" w:id="0">
    <w:p w:rsidR="00B95B27" w:rsidRDefault="00B95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Koop Office">
    <w:panose1 w:val="02000503000000020003"/>
    <w:charset w:val="EE"/>
    <w:family w:val="auto"/>
    <w:pitch w:val="variable"/>
    <w:sig w:usb0="8000002F" w:usb1="1000004A" w:usb2="00000000" w:usb3="00000000" w:csb0="00000093" w:csb1="00000000"/>
  </w:font>
  <w:font w:name="Koop Symbols">
    <w:panose1 w:val="02000000000000000000"/>
    <w:charset w:val="00"/>
    <w:family w:val="auto"/>
    <w:pitch w:val="variable"/>
    <w:sig w:usb0="A00000AF" w:usb1="5000207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B27" w:rsidRDefault="00B95B27">
      <w:r>
        <w:separator/>
      </w:r>
    </w:p>
  </w:footnote>
  <w:footnote w:type="continuationSeparator" w:id="0">
    <w:p w:rsidR="00B95B27" w:rsidRDefault="00B95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8AB" w:rsidRPr="009D0196" w:rsidRDefault="002738AB" w:rsidP="009D0196">
    <w:pPr>
      <w:pStyle w:val="Zhlav"/>
      <w:tabs>
        <w:tab w:val="clear" w:pos="9072"/>
        <w:tab w:val="right" w:pos="9900"/>
      </w:tabs>
      <w:jc w:val="right"/>
      <w:rPr>
        <w:sz w:val="16"/>
        <w:szCs w:val="16"/>
      </w:rPr>
    </w:pPr>
    <w:r w:rsidRPr="00A07515">
      <w:rPr>
        <w:sz w:val="16"/>
        <w:szCs w:val="16"/>
      </w:rPr>
      <w:t xml:space="preserve">Pojistná smlouva č. </w:t>
    </w:r>
    <w:r>
      <w:rPr>
        <w:sz w:val="16"/>
        <w:szCs w:val="16"/>
      </w:rPr>
      <w:t>77208</w:t>
    </w:r>
    <w:r w:rsidR="002A6781">
      <w:rPr>
        <w:sz w:val="16"/>
        <w:szCs w:val="16"/>
      </w:rPr>
      <w:t>62070</w:t>
    </w:r>
    <w:r>
      <w:rPr>
        <w:sz w:val="16"/>
        <w:szCs w:val="16"/>
      </w:rPr>
      <w:t xml:space="preserve">/dodatek č. </w:t>
    </w:r>
    <w:r w:rsidR="00B95557">
      <w:rPr>
        <w:sz w:val="16"/>
        <w:szCs w:val="16"/>
      </w:rPr>
      <w:t>2</w:t>
    </w:r>
    <w:r w:rsidRPr="00A07515">
      <w:rPr>
        <w:sz w:val="16"/>
        <w:szCs w:val="16"/>
      </w:rPr>
      <w:tab/>
    </w:r>
    <w:r w:rsidRPr="00A07515">
      <w:rPr>
        <w:sz w:val="16"/>
        <w:szCs w:val="16"/>
      </w:rPr>
      <w:tab/>
      <w:t xml:space="preserve">Strana </w:t>
    </w:r>
    <w:r w:rsidRPr="00A07515">
      <w:rPr>
        <w:sz w:val="16"/>
        <w:szCs w:val="16"/>
      </w:rPr>
      <w:fldChar w:fldCharType="begin"/>
    </w:r>
    <w:r w:rsidRPr="00A07515">
      <w:rPr>
        <w:sz w:val="16"/>
        <w:szCs w:val="16"/>
      </w:rPr>
      <w:instrText xml:space="preserve"> PAGE </w:instrText>
    </w:r>
    <w:r w:rsidRPr="00A07515">
      <w:rPr>
        <w:sz w:val="16"/>
        <w:szCs w:val="16"/>
      </w:rPr>
      <w:fldChar w:fldCharType="separate"/>
    </w:r>
    <w:r w:rsidR="00820B04">
      <w:rPr>
        <w:noProof/>
        <w:sz w:val="16"/>
        <w:szCs w:val="16"/>
      </w:rPr>
      <w:t>6</w:t>
    </w:r>
    <w:r w:rsidRPr="00A07515">
      <w:rPr>
        <w:sz w:val="16"/>
        <w:szCs w:val="16"/>
      </w:rPr>
      <w:fldChar w:fldCharType="end"/>
    </w:r>
    <w:r w:rsidRPr="00A07515">
      <w:rPr>
        <w:sz w:val="16"/>
        <w:szCs w:val="16"/>
      </w:rPr>
      <w:t xml:space="preserve"> (celkem </w:t>
    </w:r>
    <w:r w:rsidRPr="00A07515">
      <w:rPr>
        <w:sz w:val="16"/>
        <w:szCs w:val="16"/>
      </w:rPr>
      <w:fldChar w:fldCharType="begin"/>
    </w:r>
    <w:r w:rsidRPr="00A07515">
      <w:rPr>
        <w:sz w:val="16"/>
        <w:szCs w:val="16"/>
      </w:rPr>
      <w:instrText xml:space="preserve"> NUMPAGES </w:instrText>
    </w:r>
    <w:r w:rsidRPr="00A07515">
      <w:rPr>
        <w:sz w:val="16"/>
        <w:szCs w:val="16"/>
      </w:rPr>
      <w:fldChar w:fldCharType="separate"/>
    </w:r>
    <w:r w:rsidR="00820B04">
      <w:rPr>
        <w:noProof/>
        <w:sz w:val="16"/>
        <w:szCs w:val="16"/>
      </w:rPr>
      <w:t>6</w:t>
    </w:r>
    <w:r w:rsidRPr="00A07515">
      <w:rPr>
        <w:sz w:val="16"/>
        <w:szCs w:val="16"/>
      </w:rPr>
      <w:fldChar w:fldCharType="end"/>
    </w:r>
    <w:r w:rsidRPr="00A07515">
      <w:rPr>
        <w:sz w:val="16"/>
        <w:szCs w:val="16"/>
      </w:rPr>
      <w:t>)</w:t>
    </w:r>
    <w:r w:rsidRPr="00A07515">
      <w:rPr>
        <w:sz w:val="16"/>
        <w:szCs w:val="16"/>
      </w:rPr>
      <w:tab/>
    </w:r>
    <w:r>
      <w:rPr>
        <w:sz w:val="23"/>
        <w:szCs w:val="23"/>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8AB" w:rsidRPr="004505F9" w:rsidRDefault="002738AB" w:rsidP="004505F9">
    <w:pPr>
      <w:pStyle w:val="Zhlav"/>
      <w:tabs>
        <w:tab w:val="clear" w:pos="9072"/>
        <w:tab w:val="right" w:pos="9900"/>
      </w:tabs>
      <w:jc w:val="right"/>
      <w:rPr>
        <w:sz w:val="16"/>
        <w:szCs w:val="16"/>
      </w:rPr>
    </w:pPr>
    <w:r>
      <w:rPr>
        <w:sz w:val="23"/>
        <w:szCs w:val="23"/>
      </w:rPr>
      <w:tab/>
    </w:r>
    <w:r>
      <w:rPr>
        <w:sz w:val="23"/>
        <w:szCs w:val="23"/>
      </w:rPr>
      <w:tab/>
    </w:r>
  </w:p>
  <w:p w:rsidR="002738AB" w:rsidRDefault="002738A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decimal"/>
      <w:lvlText w:val="%1"/>
      <w:lvlJc w:val="left"/>
      <w:pPr>
        <w:tabs>
          <w:tab w:val="num" w:pos="435"/>
        </w:tabs>
        <w:ind w:left="435" w:hanging="435"/>
      </w:pPr>
      <w:rPr>
        <w:rFonts w:cs="Times New Roman"/>
      </w:rPr>
    </w:lvl>
    <w:lvl w:ilvl="1">
      <w:start w:val="2"/>
      <w:numFmt w:val="decimal"/>
      <w:lvlText w:val="%1.%2"/>
      <w:lvlJc w:val="left"/>
      <w:pPr>
        <w:tabs>
          <w:tab w:val="num" w:pos="435"/>
        </w:tabs>
        <w:ind w:left="435" w:hanging="435"/>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
    <w:nsid w:val="00000009"/>
    <w:multiLevelType w:val="multilevel"/>
    <w:tmpl w:val="00000009"/>
    <w:name w:val="WW8Num9"/>
    <w:lvl w:ilvl="0">
      <w:start w:val="3"/>
      <w:numFmt w:val="decimal"/>
      <w:lvlText w:val="%1."/>
      <w:lvlJc w:val="left"/>
      <w:pPr>
        <w:tabs>
          <w:tab w:val="num" w:pos="360"/>
        </w:tabs>
        <w:ind w:left="360" w:hanging="360"/>
      </w:pPr>
      <w:rPr>
        <w:rFonts w:cs="Times New Roman"/>
      </w:rPr>
    </w:lvl>
    <w:lvl w:ilvl="1">
      <w:start w:val="9"/>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B364A50"/>
    <w:multiLevelType w:val="multilevel"/>
    <w:tmpl w:val="200A9BAA"/>
    <w:lvl w:ilvl="0">
      <w:start w:val="1"/>
      <w:numFmt w:val="decimal"/>
      <w:lvlText w:val="3.%1."/>
      <w:lvlJc w:val="left"/>
      <w:pPr>
        <w:tabs>
          <w:tab w:val="num" w:pos="425"/>
        </w:tabs>
        <w:ind w:left="425" w:hanging="425"/>
      </w:pPr>
      <w:rPr>
        <w:rFonts w:cs="Times New Roman" w:hint="default"/>
        <w:b/>
        <w:i w:val="0"/>
        <w:sz w:val="20"/>
        <w:szCs w:val="2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D244930"/>
    <w:multiLevelType w:val="multilevel"/>
    <w:tmpl w:val="0FDCAB9A"/>
    <w:lvl w:ilvl="0">
      <w:start w:val="1"/>
      <w:numFmt w:val="decimal"/>
      <w:pStyle w:val="slovn-rove1-netunb"/>
      <w:lvlText w:val="%1."/>
      <w:lvlJc w:val="left"/>
      <w:pPr>
        <w:tabs>
          <w:tab w:val="num" w:pos="425"/>
        </w:tabs>
        <w:ind w:left="425" w:hanging="425"/>
      </w:pPr>
      <w:rPr>
        <w:rFonts w:cs="Times New Roman" w:hint="default"/>
        <w:b/>
        <w:bCs w:val="0"/>
        <w:i w:val="0"/>
        <w:iCs w:val="0"/>
        <w:caps w:val="0"/>
        <w:strike w:val="0"/>
        <w:dstrike w:val="0"/>
        <w:outline w:val="0"/>
        <w:shadow w:val="0"/>
        <w:emboss w:val="0"/>
        <w:imprint w:val="0"/>
        <w:vanish w:val="0"/>
        <w:color w:val="auto"/>
        <w:spacing w:val="0"/>
        <w:kern w:val="0"/>
        <w:position w:val="0"/>
        <w:u w:val="none"/>
        <w:effect w:val="none"/>
        <w:vertAlign w:val="baseline"/>
        <w:em w:val="none"/>
      </w:rPr>
    </w:lvl>
    <w:lvl w:ilvl="1">
      <w:start w:val="1"/>
      <w:numFmt w:val="decimal"/>
      <w:lvlText w:val="%1.%2."/>
      <w:lvlJc w:val="left"/>
      <w:pPr>
        <w:tabs>
          <w:tab w:val="num" w:pos="425"/>
        </w:tabs>
        <w:ind w:left="425" w:hanging="425"/>
      </w:pPr>
      <w:rPr>
        <w:rFonts w:ascii="Koop Office" w:hAnsi="Koop Office" w:cs="Times New Roman" w:hint="default"/>
        <w:b/>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rPr>
    </w:lvl>
    <w:lvl w:ilvl="2">
      <w:start w:val="1"/>
      <w:numFmt w:val="decimal"/>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4">
    <w:nsid w:val="0D3612DE"/>
    <w:multiLevelType w:val="hybridMultilevel"/>
    <w:tmpl w:val="FDB84574"/>
    <w:name w:val="WW8Num132"/>
    <w:lvl w:ilvl="0" w:tplc="EB940E2C">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0DB6413B"/>
    <w:multiLevelType w:val="multilevel"/>
    <w:tmpl w:val="7DEE8532"/>
    <w:lvl w:ilvl="0">
      <w:start w:val="1"/>
      <w:numFmt w:val="decimal"/>
      <w:lvlText w:val="%1."/>
      <w:lvlJc w:val="left"/>
      <w:pPr>
        <w:tabs>
          <w:tab w:val="num" w:pos="390"/>
        </w:tabs>
        <w:ind w:left="390" w:hanging="390"/>
      </w:pPr>
      <w:rPr>
        <w:rFonts w:cs="Times New Roman" w:hint="default"/>
        <w:b/>
      </w:rPr>
    </w:lvl>
    <w:lvl w:ilvl="1">
      <w:start w:val="1"/>
      <w:numFmt w:val="decimal"/>
      <w:lvlText w:val="2.2.%2."/>
      <w:lvlJc w:val="left"/>
      <w:pPr>
        <w:tabs>
          <w:tab w:val="num" w:pos="72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0F5E2EDB"/>
    <w:multiLevelType w:val="multilevel"/>
    <w:tmpl w:val="7DEE8532"/>
    <w:lvl w:ilvl="0">
      <w:start w:val="1"/>
      <w:numFmt w:val="decimal"/>
      <w:lvlText w:val="%1."/>
      <w:lvlJc w:val="left"/>
      <w:pPr>
        <w:tabs>
          <w:tab w:val="num" w:pos="390"/>
        </w:tabs>
        <w:ind w:left="390" w:hanging="390"/>
      </w:pPr>
      <w:rPr>
        <w:rFonts w:cs="Times New Roman" w:hint="default"/>
        <w:b/>
      </w:rPr>
    </w:lvl>
    <w:lvl w:ilvl="1">
      <w:start w:val="1"/>
      <w:numFmt w:val="decimal"/>
      <w:lvlText w:val="2.2.%2."/>
      <w:lvlJc w:val="left"/>
      <w:pPr>
        <w:tabs>
          <w:tab w:val="num" w:pos="72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0F7E0A77"/>
    <w:multiLevelType w:val="hybridMultilevel"/>
    <w:tmpl w:val="41E8EDE4"/>
    <w:lvl w:ilvl="0" w:tplc="06EA7E54">
      <w:start w:val="1"/>
      <w:numFmt w:val="decimal"/>
      <w:lvlText w:val="%1."/>
      <w:lvlJc w:val="left"/>
      <w:pPr>
        <w:tabs>
          <w:tab w:val="num" w:pos="786"/>
        </w:tabs>
        <w:ind w:left="786" w:hanging="360"/>
      </w:pPr>
      <w:rPr>
        <w:rFonts w:cs="Times New Roman" w:hint="default"/>
        <w:b/>
      </w:rPr>
    </w:lvl>
    <w:lvl w:ilvl="1" w:tplc="04050019" w:tentative="1">
      <w:start w:val="1"/>
      <w:numFmt w:val="lowerLetter"/>
      <w:lvlText w:val="%2."/>
      <w:lvlJc w:val="left"/>
      <w:pPr>
        <w:tabs>
          <w:tab w:val="num" w:pos="1506"/>
        </w:tabs>
        <w:ind w:left="1506" w:hanging="360"/>
      </w:pPr>
      <w:rPr>
        <w:rFonts w:cs="Times New Roman"/>
      </w:rPr>
    </w:lvl>
    <w:lvl w:ilvl="2" w:tplc="0405001B" w:tentative="1">
      <w:start w:val="1"/>
      <w:numFmt w:val="lowerRoman"/>
      <w:lvlText w:val="%3."/>
      <w:lvlJc w:val="right"/>
      <w:pPr>
        <w:tabs>
          <w:tab w:val="num" w:pos="2226"/>
        </w:tabs>
        <w:ind w:left="2226" w:hanging="180"/>
      </w:pPr>
      <w:rPr>
        <w:rFonts w:cs="Times New Roman"/>
      </w:rPr>
    </w:lvl>
    <w:lvl w:ilvl="3" w:tplc="0405000F" w:tentative="1">
      <w:start w:val="1"/>
      <w:numFmt w:val="decimal"/>
      <w:lvlText w:val="%4."/>
      <w:lvlJc w:val="left"/>
      <w:pPr>
        <w:tabs>
          <w:tab w:val="num" w:pos="2946"/>
        </w:tabs>
        <w:ind w:left="2946" w:hanging="360"/>
      </w:pPr>
      <w:rPr>
        <w:rFonts w:cs="Times New Roman"/>
      </w:rPr>
    </w:lvl>
    <w:lvl w:ilvl="4" w:tplc="04050019" w:tentative="1">
      <w:start w:val="1"/>
      <w:numFmt w:val="lowerLetter"/>
      <w:lvlText w:val="%5."/>
      <w:lvlJc w:val="left"/>
      <w:pPr>
        <w:tabs>
          <w:tab w:val="num" w:pos="3666"/>
        </w:tabs>
        <w:ind w:left="3666" w:hanging="360"/>
      </w:pPr>
      <w:rPr>
        <w:rFonts w:cs="Times New Roman"/>
      </w:rPr>
    </w:lvl>
    <w:lvl w:ilvl="5" w:tplc="0405001B" w:tentative="1">
      <w:start w:val="1"/>
      <w:numFmt w:val="lowerRoman"/>
      <w:lvlText w:val="%6."/>
      <w:lvlJc w:val="right"/>
      <w:pPr>
        <w:tabs>
          <w:tab w:val="num" w:pos="4386"/>
        </w:tabs>
        <w:ind w:left="4386" w:hanging="180"/>
      </w:pPr>
      <w:rPr>
        <w:rFonts w:cs="Times New Roman"/>
      </w:rPr>
    </w:lvl>
    <w:lvl w:ilvl="6" w:tplc="0405000F" w:tentative="1">
      <w:start w:val="1"/>
      <w:numFmt w:val="decimal"/>
      <w:lvlText w:val="%7."/>
      <w:lvlJc w:val="left"/>
      <w:pPr>
        <w:tabs>
          <w:tab w:val="num" w:pos="5106"/>
        </w:tabs>
        <w:ind w:left="5106" w:hanging="360"/>
      </w:pPr>
      <w:rPr>
        <w:rFonts w:cs="Times New Roman"/>
      </w:rPr>
    </w:lvl>
    <w:lvl w:ilvl="7" w:tplc="04050019" w:tentative="1">
      <w:start w:val="1"/>
      <w:numFmt w:val="lowerLetter"/>
      <w:lvlText w:val="%8."/>
      <w:lvlJc w:val="left"/>
      <w:pPr>
        <w:tabs>
          <w:tab w:val="num" w:pos="5826"/>
        </w:tabs>
        <w:ind w:left="5826" w:hanging="360"/>
      </w:pPr>
      <w:rPr>
        <w:rFonts w:cs="Times New Roman"/>
      </w:rPr>
    </w:lvl>
    <w:lvl w:ilvl="8" w:tplc="0405001B" w:tentative="1">
      <w:start w:val="1"/>
      <w:numFmt w:val="lowerRoman"/>
      <w:lvlText w:val="%9."/>
      <w:lvlJc w:val="right"/>
      <w:pPr>
        <w:tabs>
          <w:tab w:val="num" w:pos="6546"/>
        </w:tabs>
        <w:ind w:left="6546" w:hanging="180"/>
      </w:pPr>
      <w:rPr>
        <w:rFonts w:cs="Times New Roman"/>
      </w:rPr>
    </w:lvl>
  </w:abstractNum>
  <w:abstractNum w:abstractNumId="8">
    <w:nsid w:val="164F1821"/>
    <w:multiLevelType w:val="hybridMultilevel"/>
    <w:tmpl w:val="6FE870A2"/>
    <w:lvl w:ilvl="0" w:tplc="649E614A">
      <w:start w:val="1"/>
      <w:numFmt w:val="decimal"/>
      <w:lvlText w:val="%1."/>
      <w:lvlJc w:val="left"/>
      <w:pPr>
        <w:tabs>
          <w:tab w:val="num" w:pos="786"/>
        </w:tabs>
        <w:ind w:left="786" w:hanging="360"/>
      </w:pPr>
      <w:rPr>
        <w:rFonts w:cs="Times New Roman" w:hint="default"/>
        <w:b w:val="0"/>
        <w:color w:val="auto"/>
      </w:rPr>
    </w:lvl>
    <w:lvl w:ilvl="1" w:tplc="04050019" w:tentative="1">
      <w:start w:val="1"/>
      <w:numFmt w:val="lowerLetter"/>
      <w:lvlText w:val="%2."/>
      <w:lvlJc w:val="left"/>
      <w:pPr>
        <w:tabs>
          <w:tab w:val="num" w:pos="1506"/>
        </w:tabs>
        <w:ind w:left="1506" w:hanging="360"/>
      </w:pPr>
      <w:rPr>
        <w:rFonts w:cs="Times New Roman"/>
      </w:rPr>
    </w:lvl>
    <w:lvl w:ilvl="2" w:tplc="0405001B" w:tentative="1">
      <w:start w:val="1"/>
      <w:numFmt w:val="lowerRoman"/>
      <w:lvlText w:val="%3."/>
      <w:lvlJc w:val="right"/>
      <w:pPr>
        <w:tabs>
          <w:tab w:val="num" w:pos="2226"/>
        </w:tabs>
        <w:ind w:left="2226" w:hanging="180"/>
      </w:pPr>
      <w:rPr>
        <w:rFonts w:cs="Times New Roman"/>
      </w:rPr>
    </w:lvl>
    <w:lvl w:ilvl="3" w:tplc="0405000F" w:tentative="1">
      <w:start w:val="1"/>
      <w:numFmt w:val="decimal"/>
      <w:lvlText w:val="%4."/>
      <w:lvlJc w:val="left"/>
      <w:pPr>
        <w:tabs>
          <w:tab w:val="num" w:pos="2946"/>
        </w:tabs>
        <w:ind w:left="2946" w:hanging="360"/>
      </w:pPr>
      <w:rPr>
        <w:rFonts w:cs="Times New Roman"/>
      </w:rPr>
    </w:lvl>
    <w:lvl w:ilvl="4" w:tplc="04050019" w:tentative="1">
      <w:start w:val="1"/>
      <w:numFmt w:val="lowerLetter"/>
      <w:lvlText w:val="%5."/>
      <w:lvlJc w:val="left"/>
      <w:pPr>
        <w:tabs>
          <w:tab w:val="num" w:pos="3666"/>
        </w:tabs>
        <w:ind w:left="3666" w:hanging="360"/>
      </w:pPr>
      <w:rPr>
        <w:rFonts w:cs="Times New Roman"/>
      </w:rPr>
    </w:lvl>
    <w:lvl w:ilvl="5" w:tplc="0405001B" w:tentative="1">
      <w:start w:val="1"/>
      <w:numFmt w:val="lowerRoman"/>
      <w:lvlText w:val="%6."/>
      <w:lvlJc w:val="right"/>
      <w:pPr>
        <w:tabs>
          <w:tab w:val="num" w:pos="4386"/>
        </w:tabs>
        <w:ind w:left="4386" w:hanging="180"/>
      </w:pPr>
      <w:rPr>
        <w:rFonts w:cs="Times New Roman"/>
      </w:rPr>
    </w:lvl>
    <w:lvl w:ilvl="6" w:tplc="0405000F" w:tentative="1">
      <w:start w:val="1"/>
      <w:numFmt w:val="decimal"/>
      <w:lvlText w:val="%7."/>
      <w:lvlJc w:val="left"/>
      <w:pPr>
        <w:tabs>
          <w:tab w:val="num" w:pos="5106"/>
        </w:tabs>
        <w:ind w:left="5106" w:hanging="360"/>
      </w:pPr>
      <w:rPr>
        <w:rFonts w:cs="Times New Roman"/>
      </w:rPr>
    </w:lvl>
    <w:lvl w:ilvl="7" w:tplc="04050019" w:tentative="1">
      <w:start w:val="1"/>
      <w:numFmt w:val="lowerLetter"/>
      <w:lvlText w:val="%8."/>
      <w:lvlJc w:val="left"/>
      <w:pPr>
        <w:tabs>
          <w:tab w:val="num" w:pos="5826"/>
        </w:tabs>
        <w:ind w:left="5826" w:hanging="360"/>
      </w:pPr>
      <w:rPr>
        <w:rFonts w:cs="Times New Roman"/>
      </w:rPr>
    </w:lvl>
    <w:lvl w:ilvl="8" w:tplc="0405001B" w:tentative="1">
      <w:start w:val="1"/>
      <w:numFmt w:val="lowerRoman"/>
      <w:lvlText w:val="%9."/>
      <w:lvlJc w:val="right"/>
      <w:pPr>
        <w:tabs>
          <w:tab w:val="num" w:pos="6546"/>
        </w:tabs>
        <w:ind w:left="6546" w:hanging="180"/>
      </w:pPr>
      <w:rPr>
        <w:rFonts w:cs="Times New Roman"/>
      </w:rPr>
    </w:lvl>
  </w:abstractNum>
  <w:abstractNum w:abstractNumId="9">
    <w:nsid w:val="27505DE7"/>
    <w:multiLevelType w:val="hybridMultilevel"/>
    <w:tmpl w:val="073CFCD4"/>
    <w:lvl w:ilvl="0" w:tplc="808C01E2">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7996549"/>
    <w:multiLevelType w:val="multilevel"/>
    <w:tmpl w:val="04050025"/>
    <w:lvl w:ilvl="0">
      <w:start w:val="1"/>
      <w:numFmt w:val="decimal"/>
      <w:pStyle w:val="Nadpis1"/>
      <w:lvlText w:val="%1"/>
      <w:lvlJc w:val="left"/>
      <w:pPr>
        <w:tabs>
          <w:tab w:val="num" w:pos="432"/>
        </w:tabs>
        <w:ind w:left="432" w:hanging="432"/>
      </w:pPr>
      <w:rPr>
        <w:rFonts w:cs="Times New Roman" w:hint="default"/>
      </w:rPr>
    </w:lvl>
    <w:lvl w:ilvl="1">
      <w:start w:val="1"/>
      <w:numFmt w:val="decimal"/>
      <w:pStyle w:val="Nadpis2"/>
      <w:lvlText w:val="%1.%2"/>
      <w:lvlJc w:val="left"/>
      <w:pPr>
        <w:tabs>
          <w:tab w:val="num" w:pos="576"/>
        </w:tabs>
        <w:ind w:left="576" w:hanging="576"/>
      </w:pPr>
      <w:rPr>
        <w:rFonts w:cs="Times New Roman" w:hint="default"/>
      </w:rPr>
    </w:lvl>
    <w:lvl w:ilvl="2">
      <w:start w:val="1"/>
      <w:numFmt w:val="decimal"/>
      <w:pStyle w:val="Nadpis3"/>
      <w:lvlText w:val="%1.%2.%3"/>
      <w:lvlJc w:val="left"/>
      <w:pPr>
        <w:tabs>
          <w:tab w:val="num" w:pos="720"/>
        </w:tabs>
        <w:ind w:left="720" w:hanging="720"/>
      </w:pPr>
      <w:rPr>
        <w:rFonts w:cs="Times New Roman" w:hint="default"/>
      </w:rPr>
    </w:lvl>
    <w:lvl w:ilvl="3">
      <w:start w:val="1"/>
      <w:numFmt w:val="decimal"/>
      <w:pStyle w:val="Nadpis4"/>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2A427322"/>
    <w:multiLevelType w:val="multilevel"/>
    <w:tmpl w:val="536854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02123E7"/>
    <w:multiLevelType w:val="multilevel"/>
    <w:tmpl w:val="C32AC97E"/>
    <w:styleLink w:val="Odrky-rove1"/>
    <w:lvl w:ilvl="0">
      <w:start w:val="1"/>
      <w:numFmt w:val="bullet"/>
      <w:lvlText w:val="•"/>
      <w:lvlJc w:val="left"/>
      <w:pPr>
        <w:tabs>
          <w:tab w:val="num" w:pos="284"/>
        </w:tabs>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7CB246C"/>
    <w:multiLevelType w:val="multilevel"/>
    <w:tmpl w:val="A560E2F8"/>
    <w:lvl w:ilvl="0">
      <w:start w:val="1"/>
      <w:numFmt w:val="decimal"/>
      <w:lvlText w:val="%1."/>
      <w:lvlJc w:val="left"/>
      <w:pPr>
        <w:ind w:left="785" w:hanging="360"/>
      </w:pPr>
      <w:rPr>
        <w:rFonts w:cs="Times New Roman" w:hint="default"/>
      </w:rPr>
    </w:lvl>
    <w:lvl w:ilvl="1">
      <w:start w:val="8"/>
      <w:numFmt w:val="bullet"/>
      <w:lvlText w:val="-"/>
      <w:lvlJc w:val="left"/>
      <w:pPr>
        <w:tabs>
          <w:tab w:val="num" w:pos="1505"/>
        </w:tabs>
        <w:ind w:left="1505" w:hanging="360"/>
      </w:pPr>
      <w:rPr>
        <w:rFonts w:ascii="Koop Office" w:eastAsia="Times New Roman" w:hAnsi="Koop Office"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hint="default"/>
      </w:rPr>
    </w:lvl>
    <w:lvl w:ilvl="8">
      <w:start w:val="1"/>
      <w:numFmt w:val="bullet"/>
      <w:lvlText w:val=""/>
      <w:lvlJc w:val="left"/>
      <w:pPr>
        <w:ind w:left="6545" w:hanging="360"/>
      </w:pPr>
      <w:rPr>
        <w:rFonts w:ascii="Wingdings" w:hAnsi="Wingdings" w:hint="default"/>
      </w:rPr>
    </w:lvl>
  </w:abstractNum>
  <w:abstractNum w:abstractNumId="14">
    <w:nsid w:val="3AAC132B"/>
    <w:multiLevelType w:val="hybridMultilevel"/>
    <w:tmpl w:val="1304EF90"/>
    <w:lvl w:ilvl="0" w:tplc="270C5ED8">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3B04513C"/>
    <w:multiLevelType w:val="multilevel"/>
    <w:tmpl w:val="FC304BD0"/>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6">
    <w:nsid w:val="3CCF1E05"/>
    <w:multiLevelType w:val="multilevel"/>
    <w:tmpl w:val="411A1576"/>
    <w:lvl w:ilvl="0">
      <w:start w:val="1"/>
      <w:numFmt w:val="decimal"/>
      <w:lvlText w:val="%1."/>
      <w:lvlJc w:val="left"/>
      <w:pPr>
        <w:tabs>
          <w:tab w:val="num" w:pos="425"/>
        </w:tabs>
        <w:ind w:left="425" w:hanging="425"/>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3E2129DD"/>
    <w:multiLevelType w:val="multilevel"/>
    <w:tmpl w:val="A9FA75C0"/>
    <w:styleLink w:val="StylVcerovovKoopOffice9b"/>
    <w:lvl w:ilvl="0">
      <w:start w:val="1"/>
      <w:numFmt w:val="decimal"/>
      <w:lvlText w:val="(%1)"/>
      <w:lvlJc w:val="left"/>
      <w:pPr>
        <w:tabs>
          <w:tab w:val="num" w:pos="284"/>
        </w:tabs>
      </w:pPr>
      <w:rPr>
        <w:rFonts w:cs="Times New Roman" w:hint="default"/>
      </w:rPr>
    </w:lvl>
    <w:lvl w:ilvl="1">
      <w:start w:val="1"/>
      <w:numFmt w:val="lowerLetter"/>
      <w:lvlText w:val="%2)"/>
      <w:lvlJc w:val="left"/>
      <w:pPr>
        <w:tabs>
          <w:tab w:val="num" w:pos="227"/>
        </w:tabs>
        <w:ind w:left="227" w:hanging="227"/>
      </w:pPr>
      <w:rPr>
        <w:rFonts w:ascii="Koop Office" w:hAnsi="Koop Office" w:cs="Times New Roman"/>
        <w:spacing w:val="1"/>
        <w:sz w:val="18"/>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40BD4952"/>
    <w:multiLevelType w:val="hybridMultilevel"/>
    <w:tmpl w:val="D3FC1C70"/>
    <w:lvl w:ilvl="0" w:tplc="0405000F">
      <w:start w:val="1"/>
      <w:numFmt w:val="decimal"/>
      <w:lvlText w:val="%1."/>
      <w:lvlJc w:val="left"/>
      <w:pPr>
        <w:ind w:left="785" w:hanging="360"/>
      </w:pPr>
      <w:rPr>
        <w:rFonts w:cs="Times New Roman" w:hint="default"/>
      </w:rPr>
    </w:lvl>
    <w:lvl w:ilvl="1" w:tplc="4448F966">
      <w:start w:val="1"/>
      <w:numFmt w:val="bullet"/>
      <w:lvlText w:val="-"/>
      <w:lvlJc w:val="left"/>
      <w:pPr>
        <w:tabs>
          <w:tab w:val="num" w:pos="1505"/>
        </w:tabs>
        <w:ind w:left="1505" w:hanging="360"/>
      </w:pPr>
      <w:rPr>
        <w:rFonts w:ascii="Koop Office" w:eastAsia="Times New Roman" w:hAnsi="Koop Office"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9">
    <w:nsid w:val="413F5FCA"/>
    <w:multiLevelType w:val="multilevel"/>
    <w:tmpl w:val="6DCA5B60"/>
    <w:lvl w:ilvl="0">
      <w:start w:val="1"/>
      <w:numFmt w:val="upperRoman"/>
      <w:pStyle w:val="lnek1VPP"/>
      <w:suff w:val="nothing"/>
      <w:lvlText w:val="Článek %1."/>
      <w:lvlJc w:val="left"/>
      <w:rPr>
        <w:rFonts w:ascii="Arial" w:hAnsi="Arial" w:cs="Arial" w:hint="default"/>
        <w:b/>
        <w:i w:val="0"/>
        <w:caps w:val="0"/>
        <w:strike w:val="0"/>
        <w:dstrike w:val="0"/>
        <w:vanish w:val="0"/>
        <w:color w:val="auto"/>
        <w:sz w:val="14"/>
        <w:szCs w:val="14"/>
        <w:vertAlign w:val="baseline"/>
      </w:rPr>
    </w:lvl>
    <w:lvl w:ilvl="1">
      <w:start w:val="2"/>
      <w:numFmt w:val="upperRoman"/>
      <w:lvlRestart w:val="0"/>
      <w:pStyle w:val="lnekVPP"/>
      <w:suff w:val="nothing"/>
      <w:lvlText w:val="Článek %2."/>
      <w:lvlJc w:val="left"/>
      <w:pPr>
        <w:ind w:left="4962"/>
      </w:pPr>
      <w:rPr>
        <w:rFonts w:ascii="Arial" w:hAnsi="Arial" w:cs="Arial" w:hint="default"/>
        <w:b/>
        <w:i w:val="0"/>
        <w:caps w:val="0"/>
        <w:strike w:val="0"/>
        <w:dstrike w:val="0"/>
        <w:vanish w:val="0"/>
        <w:color w:val="FF0000"/>
        <w:sz w:val="20"/>
        <w:szCs w:val="20"/>
        <w:vertAlign w:val="baseline"/>
      </w:rPr>
    </w:lvl>
    <w:lvl w:ilvl="2">
      <w:start w:val="1"/>
      <w:numFmt w:val="decimal"/>
      <w:pStyle w:val="slodstlVPP"/>
      <w:lvlText w:val="(%3)"/>
      <w:lvlJc w:val="left"/>
      <w:pPr>
        <w:tabs>
          <w:tab w:val="num" w:pos="541"/>
        </w:tabs>
        <w:ind w:firstLine="181"/>
      </w:pPr>
      <w:rPr>
        <w:rFonts w:cs="Times New Roman" w:hint="default"/>
      </w:rPr>
    </w:lvl>
    <w:lvl w:ilvl="3">
      <w:start w:val="1"/>
      <w:numFmt w:val="lowerLetter"/>
      <w:lvlText w:val="%4)"/>
      <w:lvlJc w:val="left"/>
      <w:pPr>
        <w:tabs>
          <w:tab w:val="num" w:pos="786"/>
        </w:tabs>
        <w:ind w:left="786" w:hanging="360"/>
      </w:pPr>
      <w:rPr>
        <w:rFonts w:ascii="Arial" w:hAnsi="Arial" w:cs="Arial" w:hint="default"/>
        <w:b w:val="0"/>
        <w:strike w:val="0"/>
        <w:dstrike w:val="0"/>
        <w:sz w:val="20"/>
        <w:szCs w:val="20"/>
      </w:rPr>
    </w:lvl>
    <w:lvl w:ilvl="4">
      <w:start w:val="1"/>
      <w:numFmt w:val="bullet"/>
      <w:lvlRestart w:val="0"/>
      <w:pStyle w:val="podbodVPPsodr"/>
      <w:lvlText w:val="●"/>
      <w:lvlJc w:val="left"/>
      <w:pPr>
        <w:tabs>
          <w:tab w:val="num" w:pos="530"/>
        </w:tabs>
        <w:ind w:left="295" w:hanging="125"/>
      </w:pPr>
      <w:rPr>
        <w:rFonts w:ascii="Arial" w:hAnsi="Arial" w:hint="default"/>
        <w:b w:val="0"/>
        <w:i w:val="0"/>
        <w:caps w:val="0"/>
        <w:strike w:val="0"/>
        <w:dstrike w:val="0"/>
        <w:vanish w:val="0"/>
        <w:color w:val="auto"/>
        <w:sz w:val="14"/>
        <w:vertAlign w:val="baseline"/>
      </w:rPr>
    </w:lvl>
    <w:lvl w:ilvl="5">
      <w:start w:val="1"/>
      <w:numFmt w:val="upperRoman"/>
      <w:lvlRestart w:val="0"/>
      <w:pStyle w:val="ST1VPP"/>
      <w:suff w:val="nothing"/>
      <w:lvlText w:val="ČÁST %6."/>
      <w:lvlJc w:val="left"/>
      <w:rPr>
        <w:rFonts w:ascii="Arial" w:hAnsi="Arial" w:cs="Arial" w:hint="default"/>
        <w:b/>
        <w:i w:val="0"/>
        <w:strike w:val="0"/>
        <w:dstrike w:val="0"/>
        <w:vanish w:val="0"/>
        <w:color w:val="000000"/>
        <w:sz w:val="17"/>
        <w:szCs w:val="17"/>
        <w:vertAlign w:val="baseline"/>
      </w:rPr>
    </w:lvl>
    <w:lvl w:ilvl="6">
      <w:start w:val="2"/>
      <w:numFmt w:val="upperRoman"/>
      <w:lvlRestart w:val="0"/>
      <w:pStyle w:val="STVPP"/>
      <w:suff w:val="nothing"/>
      <w:lvlText w:val="ČÁST %7."/>
      <w:lvlJc w:val="left"/>
      <w:rPr>
        <w:rFonts w:ascii="Arial" w:hAnsi="Arial" w:cs="Arial" w:hint="default"/>
        <w:b/>
        <w:i w:val="0"/>
        <w:strike w:val="0"/>
        <w:dstrike w:val="0"/>
        <w:vanish w:val="0"/>
        <w:color w:val="000000"/>
        <w:sz w:val="17"/>
        <w:szCs w:val="17"/>
        <w:vertAlign w:val="baseline"/>
      </w:rPr>
    </w:lvl>
    <w:lvl w:ilvl="7">
      <w:start w:val="1"/>
      <w:numFmt w:val="upperLetter"/>
      <w:lvlRestart w:val="0"/>
      <w:pStyle w:val="bodVPPsvekmipsmeny"/>
      <w:lvlText w:val="%8)"/>
      <w:lvlJc w:val="left"/>
      <w:pPr>
        <w:tabs>
          <w:tab w:val="num" w:pos="541"/>
        </w:tabs>
        <w:ind w:firstLine="181"/>
      </w:pPr>
      <w:rPr>
        <w:rFonts w:cs="Times New Roman" w:hint="default"/>
      </w:rPr>
    </w:lvl>
    <w:lvl w:ilvl="8">
      <w:start w:val="1"/>
      <w:numFmt w:val="none"/>
      <w:suff w:val="nothing"/>
      <w:lvlText w:val="%9"/>
      <w:lvlJc w:val="left"/>
      <w:rPr>
        <w:rFonts w:cs="Times New Roman" w:hint="default"/>
      </w:rPr>
    </w:lvl>
  </w:abstractNum>
  <w:abstractNum w:abstractNumId="20">
    <w:nsid w:val="45087B1D"/>
    <w:multiLevelType w:val="multilevel"/>
    <w:tmpl w:val="809C6E04"/>
    <w:lvl w:ilvl="0">
      <w:start w:val="1"/>
      <w:numFmt w:val="decimal"/>
      <w:pStyle w:val="slovnChar"/>
      <w:lvlText w:val="(%1)"/>
      <w:lvlJc w:val="left"/>
      <w:pPr>
        <w:tabs>
          <w:tab w:val="num" w:pos="357"/>
        </w:tabs>
      </w:pPr>
      <w:rPr>
        <w:rFonts w:ascii="Arial" w:hAnsi="Arial" w:cs="Times New Roman" w:hint="default"/>
        <w:b w:val="0"/>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7425F66"/>
    <w:multiLevelType w:val="hybridMultilevel"/>
    <w:tmpl w:val="AD18EE3A"/>
    <w:lvl w:ilvl="0" w:tplc="D4BCF218">
      <w:start w:val="1"/>
      <w:numFmt w:val="lowerLetter"/>
      <w:lvlText w:val="%1)"/>
      <w:lvlJc w:val="left"/>
      <w:pPr>
        <w:tabs>
          <w:tab w:val="num" w:pos="720"/>
        </w:tabs>
        <w:ind w:left="720" w:hanging="360"/>
      </w:pPr>
      <w:rPr>
        <w:rFonts w:cs="Times New Roman" w:hint="default"/>
      </w:rPr>
    </w:lvl>
    <w:lvl w:ilvl="1" w:tplc="8E1C6F24">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48693047"/>
    <w:multiLevelType w:val="hybridMultilevel"/>
    <w:tmpl w:val="029A30DC"/>
    <w:lvl w:ilvl="0" w:tplc="286288F0">
      <w:start w:val="1"/>
      <w:numFmt w:val="upp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506"/>
        </w:tabs>
        <w:ind w:left="1506" w:hanging="360"/>
      </w:pPr>
      <w:rPr>
        <w:rFonts w:cs="Times New Roman"/>
      </w:rPr>
    </w:lvl>
    <w:lvl w:ilvl="2" w:tplc="0405001B" w:tentative="1">
      <w:start w:val="1"/>
      <w:numFmt w:val="lowerRoman"/>
      <w:lvlText w:val="%3."/>
      <w:lvlJc w:val="right"/>
      <w:pPr>
        <w:tabs>
          <w:tab w:val="num" w:pos="2226"/>
        </w:tabs>
        <w:ind w:left="2226" w:hanging="180"/>
      </w:pPr>
      <w:rPr>
        <w:rFonts w:cs="Times New Roman"/>
      </w:rPr>
    </w:lvl>
    <w:lvl w:ilvl="3" w:tplc="0405000F" w:tentative="1">
      <w:start w:val="1"/>
      <w:numFmt w:val="decimal"/>
      <w:lvlText w:val="%4."/>
      <w:lvlJc w:val="left"/>
      <w:pPr>
        <w:tabs>
          <w:tab w:val="num" w:pos="2946"/>
        </w:tabs>
        <w:ind w:left="2946" w:hanging="360"/>
      </w:pPr>
      <w:rPr>
        <w:rFonts w:cs="Times New Roman"/>
      </w:rPr>
    </w:lvl>
    <w:lvl w:ilvl="4" w:tplc="04050019" w:tentative="1">
      <w:start w:val="1"/>
      <w:numFmt w:val="lowerLetter"/>
      <w:lvlText w:val="%5."/>
      <w:lvlJc w:val="left"/>
      <w:pPr>
        <w:tabs>
          <w:tab w:val="num" w:pos="3666"/>
        </w:tabs>
        <w:ind w:left="3666" w:hanging="360"/>
      </w:pPr>
      <w:rPr>
        <w:rFonts w:cs="Times New Roman"/>
      </w:rPr>
    </w:lvl>
    <w:lvl w:ilvl="5" w:tplc="0405001B" w:tentative="1">
      <w:start w:val="1"/>
      <w:numFmt w:val="lowerRoman"/>
      <w:lvlText w:val="%6."/>
      <w:lvlJc w:val="right"/>
      <w:pPr>
        <w:tabs>
          <w:tab w:val="num" w:pos="4386"/>
        </w:tabs>
        <w:ind w:left="4386" w:hanging="180"/>
      </w:pPr>
      <w:rPr>
        <w:rFonts w:cs="Times New Roman"/>
      </w:rPr>
    </w:lvl>
    <w:lvl w:ilvl="6" w:tplc="0405000F" w:tentative="1">
      <w:start w:val="1"/>
      <w:numFmt w:val="decimal"/>
      <w:lvlText w:val="%7."/>
      <w:lvlJc w:val="left"/>
      <w:pPr>
        <w:tabs>
          <w:tab w:val="num" w:pos="5106"/>
        </w:tabs>
        <w:ind w:left="5106" w:hanging="360"/>
      </w:pPr>
      <w:rPr>
        <w:rFonts w:cs="Times New Roman"/>
      </w:rPr>
    </w:lvl>
    <w:lvl w:ilvl="7" w:tplc="04050019" w:tentative="1">
      <w:start w:val="1"/>
      <w:numFmt w:val="lowerLetter"/>
      <w:lvlText w:val="%8."/>
      <w:lvlJc w:val="left"/>
      <w:pPr>
        <w:tabs>
          <w:tab w:val="num" w:pos="5826"/>
        </w:tabs>
        <w:ind w:left="5826" w:hanging="360"/>
      </w:pPr>
      <w:rPr>
        <w:rFonts w:cs="Times New Roman"/>
      </w:rPr>
    </w:lvl>
    <w:lvl w:ilvl="8" w:tplc="0405001B" w:tentative="1">
      <w:start w:val="1"/>
      <w:numFmt w:val="lowerRoman"/>
      <w:lvlText w:val="%9."/>
      <w:lvlJc w:val="right"/>
      <w:pPr>
        <w:tabs>
          <w:tab w:val="num" w:pos="6546"/>
        </w:tabs>
        <w:ind w:left="6546" w:hanging="180"/>
      </w:pPr>
      <w:rPr>
        <w:rFonts w:cs="Times New Roman"/>
      </w:rPr>
    </w:lvl>
  </w:abstractNum>
  <w:abstractNum w:abstractNumId="23">
    <w:nsid w:val="4DB26983"/>
    <w:multiLevelType w:val="multilevel"/>
    <w:tmpl w:val="411A1576"/>
    <w:lvl w:ilvl="0">
      <w:start w:val="1"/>
      <w:numFmt w:val="decimal"/>
      <w:lvlText w:val="%1."/>
      <w:lvlJc w:val="left"/>
      <w:pPr>
        <w:tabs>
          <w:tab w:val="num" w:pos="425"/>
        </w:tabs>
        <w:ind w:left="425" w:hanging="425"/>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54C143C2"/>
    <w:multiLevelType w:val="multilevel"/>
    <w:tmpl w:val="55669D8C"/>
    <w:lvl w:ilvl="0">
      <w:start w:val="1"/>
      <w:numFmt w:val="decimal"/>
      <w:lvlText w:val="1.%1."/>
      <w:lvlJc w:val="left"/>
      <w:pPr>
        <w:tabs>
          <w:tab w:val="num" w:pos="425"/>
        </w:tabs>
        <w:ind w:left="425" w:hanging="425"/>
      </w:pPr>
      <w:rPr>
        <w:rFonts w:cs="Times New Roman" w:hint="default"/>
        <w:b/>
        <w:i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nsid w:val="54F7452F"/>
    <w:multiLevelType w:val="hybridMultilevel"/>
    <w:tmpl w:val="0DBC4172"/>
    <w:lvl w:ilvl="0" w:tplc="335CB32A">
      <w:start w:val="1"/>
      <w:numFmt w:val="upperLetter"/>
      <w:lvlText w:val="%1."/>
      <w:lvlJc w:val="left"/>
      <w:pPr>
        <w:tabs>
          <w:tab w:val="num" w:pos="720"/>
        </w:tabs>
        <w:ind w:left="720" w:hanging="360"/>
      </w:pPr>
      <w:rPr>
        <w:rFonts w:hint="default"/>
        <w:b/>
        <w:sz w:val="20"/>
        <w:szCs w:val="20"/>
      </w:rPr>
    </w:lvl>
    <w:lvl w:ilvl="1" w:tplc="E9D8B04C">
      <w:start w:val="3"/>
      <w:numFmt w:val="bullet"/>
      <w:lvlText w:val=""/>
      <w:lvlJc w:val="left"/>
      <w:pPr>
        <w:tabs>
          <w:tab w:val="num" w:pos="1440"/>
        </w:tabs>
        <w:ind w:left="1440" w:hanging="360"/>
      </w:pPr>
      <w:rPr>
        <w:rFonts w:ascii="Symbol" w:eastAsia="Times New Roman" w:hAnsi="Symbol" w:cs="Arial" w:hint="default"/>
      </w:rPr>
    </w:lvl>
    <w:lvl w:ilvl="2" w:tplc="98FCAA96">
      <w:start w:val="1"/>
      <w:numFmt w:val="decimal"/>
      <w:lvlText w:val="%3."/>
      <w:lvlJc w:val="left"/>
      <w:pPr>
        <w:tabs>
          <w:tab w:val="num" w:pos="2340"/>
        </w:tabs>
        <w:ind w:left="2340" w:hanging="360"/>
      </w:pPr>
      <w:rPr>
        <w:rFonts w:hint="default"/>
        <w:b/>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5FC77D1"/>
    <w:multiLevelType w:val="multilevel"/>
    <w:tmpl w:val="411A1576"/>
    <w:lvl w:ilvl="0">
      <w:start w:val="1"/>
      <w:numFmt w:val="decimal"/>
      <w:lvlText w:val="%1."/>
      <w:lvlJc w:val="left"/>
      <w:pPr>
        <w:tabs>
          <w:tab w:val="num" w:pos="425"/>
        </w:tabs>
        <w:ind w:left="425" w:hanging="425"/>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57E41B44"/>
    <w:multiLevelType w:val="hybridMultilevel"/>
    <w:tmpl w:val="3E48AABE"/>
    <w:lvl w:ilvl="0" w:tplc="DF4AD9EE">
      <w:start w:val="1"/>
      <w:numFmt w:val="decimal"/>
      <w:lvlText w:val="%1."/>
      <w:lvlJc w:val="left"/>
      <w:pPr>
        <w:tabs>
          <w:tab w:val="num" w:pos="340"/>
        </w:tabs>
        <w:ind w:left="284" w:hanging="284"/>
      </w:pPr>
      <w:rPr>
        <w:rFonts w:hint="default"/>
      </w:rPr>
    </w:lvl>
    <w:lvl w:ilvl="1" w:tplc="2BF48F7E">
      <w:start w:val="4"/>
      <w:numFmt w:val="decimal"/>
      <w:lvlText w:val="%2."/>
      <w:lvlJc w:val="left"/>
      <w:pPr>
        <w:tabs>
          <w:tab w:val="num" w:pos="340"/>
        </w:tabs>
        <w:ind w:left="284" w:hanging="284"/>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5E4F4E64"/>
    <w:multiLevelType w:val="singleLevel"/>
    <w:tmpl w:val="9C8AE066"/>
    <w:lvl w:ilvl="0">
      <w:start w:val="1"/>
      <w:numFmt w:val="decimal"/>
      <w:pStyle w:val="NormlnZarovnatdobloku"/>
      <w:lvlText w:val="%1."/>
      <w:lvlJc w:val="left"/>
      <w:pPr>
        <w:tabs>
          <w:tab w:val="num" w:pos="360"/>
        </w:tabs>
        <w:ind w:left="360" w:hanging="360"/>
      </w:pPr>
      <w:rPr>
        <w:rFonts w:cs="Times New Roman"/>
      </w:rPr>
    </w:lvl>
  </w:abstractNum>
  <w:abstractNum w:abstractNumId="29">
    <w:nsid w:val="651F1478"/>
    <w:multiLevelType w:val="hybridMultilevel"/>
    <w:tmpl w:val="94ECB020"/>
    <w:lvl w:ilvl="0" w:tplc="711E2D54">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669E06F2"/>
    <w:multiLevelType w:val="hybridMultilevel"/>
    <w:tmpl w:val="05D886F4"/>
    <w:lvl w:ilvl="0" w:tplc="C0204722">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66FA5B12"/>
    <w:multiLevelType w:val="multilevel"/>
    <w:tmpl w:val="12663918"/>
    <w:lvl w:ilvl="0">
      <w:start w:val="1"/>
      <w:numFmt w:val="decimal"/>
      <w:pStyle w:val="slovn-rove1"/>
      <w:lvlText w:val="%1."/>
      <w:lvlJc w:val="left"/>
      <w:pPr>
        <w:tabs>
          <w:tab w:val="num" w:pos="425"/>
        </w:tabs>
        <w:ind w:left="425" w:hanging="425"/>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slovn-rove2"/>
      <w:lvlText w:val="%1.%2."/>
      <w:lvlJc w:val="left"/>
      <w:pPr>
        <w:tabs>
          <w:tab w:val="num" w:pos="425"/>
        </w:tabs>
        <w:ind w:left="425" w:hanging="425"/>
      </w:pPr>
      <w:rPr>
        <w:rFonts w:ascii="Koop Office" w:hAnsi="Koop Office" w:cs="Times New Roman" w:hint="default"/>
        <w:b/>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rPr>
    </w:lvl>
    <w:lvl w:ilvl="2">
      <w:start w:val="1"/>
      <w:numFmt w:val="decimal"/>
      <w:pStyle w:val="slovn-rove3"/>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32">
    <w:nsid w:val="6A1149F5"/>
    <w:multiLevelType w:val="multilevel"/>
    <w:tmpl w:val="D16CB3E6"/>
    <w:lvl w:ilvl="0">
      <w:start w:val="1"/>
      <w:numFmt w:val="decimal"/>
      <w:lvlText w:val="%1."/>
      <w:lvlJc w:val="left"/>
      <w:pPr>
        <w:ind w:left="785" w:hanging="360"/>
      </w:pPr>
      <w:rPr>
        <w:rFonts w:cs="Times New Roman" w:hint="default"/>
      </w:rPr>
    </w:lvl>
    <w:lvl w:ilvl="1">
      <w:start w:val="7"/>
      <w:numFmt w:val="decimal"/>
      <w:isLgl/>
      <w:lvlText w:val="%1.%2"/>
      <w:lvlJc w:val="left"/>
      <w:pPr>
        <w:ind w:left="950" w:hanging="525"/>
      </w:pPr>
      <w:rPr>
        <w:rFonts w:cs="Times New Roman" w:hint="default"/>
      </w:rPr>
    </w:lvl>
    <w:lvl w:ilvl="2">
      <w:start w:val="1"/>
      <w:numFmt w:val="decimal"/>
      <w:isLgl/>
      <w:lvlText w:val="%1.%2.%3"/>
      <w:lvlJc w:val="left"/>
      <w:pPr>
        <w:ind w:left="1145" w:hanging="720"/>
      </w:pPr>
      <w:rPr>
        <w:rFonts w:cs="Times New Roman" w:hint="default"/>
      </w:rPr>
    </w:lvl>
    <w:lvl w:ilvl="3">
      <w:start w:val="1"/>
      <w:numFmt w:val="decimal"/>
      <w:isLgl/>
      <w:lvlText w:val="%1.%2.%3.%4"/>
      <w:lvlJc w:val="left"/>
      <w:pPr>
        <w:ind w:left="1145" w:hanging="720"/>
      </w:pPr>
      <w:rPr>
        <w:rFonts w:cs="Times New Roman" w:hint="default"/>
      </w:rPr>
    </w:lvl>
    <w:lvl w:ilvl="4">
      <w:start w:val="1"/>
      <w:numFmt w:val="decimal"/>
      <w:isLgl/>
      <w:lvlText w:val="%1.%2.%3.%4.%5"/>
      <w:lvlJc w:val="left"/>
      <w:pPr>
        <w:ind w:left="1505" w:hanging="1080"/>
      </w:pPr>
      <w:rPr>
        <w:rFonts w:cs="Times New Roman" w:hint="default"/>
      </w:rPr>
    </w:lvl>
    <w:lvl w:ilvl="5">
      <w:start w:val="1"/>
      <w:numFmt w:val="decimal"/>
      <w:isLgl/>
      <w:lvlText w:val="%1.%2.%3.%4.%5.%6"/>
      <w:lvlJc w:val="left"/>
      <w:pPr>
        <w:ind w:left="1505" w:hanging="1080"/>
      </w:pPr>
      <w:rPr>
        <w:rFonts w:cs="Times New Roman" w:hint="default"/>
      </w:rPr>
    </w:lvl>
    <w:lvl w:ilvl="6">
      <w:start w:val="1"/>
      <w:numFmt w:val="decimal"/>
      <w:isLgl/>
      <w:lvlText w:val="%1.%2.%3.%4.%5.%6.%7"/>
      <w:lvlJc w:val="left"/>
      <w:pPr>
        <w:ind w:left="1865" w:hanging="1440"/>
      </w:pPr>
      <w:rPr>
        <w:rFonts w:cs="Times New Roman" w:hint="default"/>
      </w:rPr>
    </w:lvl>
    <w:lvl w:ilvl="7">
      <w:start w:val="1"/>
      <w:numFmt w:val="decimal"/>
      <w:isLgl/>
      <w:lvlText w:val="%1.%2.%3.%4.%5.%6.%7.%8"/>
      <w:lvlJc w:val="left"/>
      <w:pPr>
        <w:ind w:left="1865" w:hanging="1440"/>
      </w:pPr>
      <w:rPr>
        <w:rFonts w:cs="Times New Roman" w:hint="default"/>
      </w:rPr>
    </w:lvl>
    <w:lvl w:ilvl="8">
      <w:start w:val="1"/>
      <w:numFmt w:val="decimal"/>
      <w:isLgl/>
      <w:lvlText w:val="%1.%2.%3.%4.%5.%6.%7.%8.%9"/>
      <w:lvlJc w:val="left"/>
      <w:pPr>
        <w:ind w:left="2225" w:hanging="1800"/>
      </w:pPr>
      <w:rPr>
        <w:rFonts w:cs="Times New Roman" w:hint="default"/>
      </w:rPr>
    </w:lvl>
  </w:abstractNum>
  <w:abstractNum w:abstractNumId="33">
    <w:nsid w:val="6DE379EF"/>
    <w:multiLevelType w:val="multilevel"/>
    <w:tmpl w:val="7DEE8532"/>
    <w:lvl w:ilvl="0">
      <w:start w:val="1"/>
      <w:numFmt w:val="decimal"/>
      <w:lvlText w:val="%1."/>
      <w:lvlJc w:val="left"/>
      <w:pPr>
        <w:tabs>
          <w:tab w:val="num" w:pos="390"/>
        </w:tabs>
        <w:ind w:left="390" w:hanging="390"/>
      </w:pPr>
      <w:rPr>
        <w:rFonts w:cs="Times New Roman" w:hint="default"/>
        <w:b/>
      </w:rPr>
    </w:lvl>
    <w:lvl w:ilvl="1">
      <w:start w:val="1"/>
      <w:numFmt w:val="decimal"/>
      <w:lvlText w:val="2.2.%2."/>
      <w:lvlJc w:val="left"/>
      <w:pPr>
        <w:tabs>
          <w:tab w:val="num" w:pos="72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nsid w:val="6E74153F"/>
    <w:multiLevelType w:val="multilevel"/>
    <w:tmpl w:val="17C68F78"/>
    <w:styleLink w:val="Odrka-rove2"/>
    <w:lvl w:ilvl="0">
      <w:start w:val="1"/>
      <w:numFmt w:val="bullet"/>
      <w:lvlText w:val="•"/>
      <w:lvlJc w:val="left"/>
      <w:pPr>
        <w:tabs>
          <w:tab w:val="num" w:pos="567"/>
        </w:tabs>
        <w:ind w:left="108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2F20B57"/>
    <w:multiLevelType w:val="multilevel"/>
    <w:tmpl w:val="7DEE8532"/>
    <w:lvl w:ilvl="0">
      <w:start w:val="1"/>
      <w:numFmt w:val="decimal"/>
      <w:lvlText w:val="%1."/>
      <w:lvlJc w:val="left"/>
      <w:pPr>
        <w:tabs>
          <w:tab w:val="num" w:pos="390"/>
        </w:tabs>
        <w:ind w:left="390" w:hanging="390"/>
      </w:pPr>
      <w:rPr>
        <w:rFonts w:cs="Times New Roman" w:hint="default"/>
        <w:b/>
      </w:rPr>
    </w:lvl>
    <w:lvl w:ilvl="1">
      <w:start w:val="1"/>
      <w:numFmt w:val="decimal"/>
      <w:lvlText w:val="2.2.%2."/>
      <w:lvlJc w:val="left"/>
      <w:pPr>
        <w:tabs>
          <w:tab w:val="num" w:pos="72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nsid w:val="734D2292"/>
    <w:multiLevelType w:val="hybridMultilevel"/>
    <w:tmpl w:val="482A03D6"/>
    <w:lvl w:ilvl="0" w:tplc="6BF4E458">
      <w:start w:val="1"/>
      <w:numFmt w:val="lowerLetter"/>
      <w:pStyle w:val="odrkaa"/>
      <w:lvlText w:val="%1)"/>
      <w:lvlJc w:val="left"/>
      <w:pPr>
        <w:ind w:left="720" w:hanging="360"/>
      </w:pPr>
      <w:rPr>
        <w:rFonts w:ascii="Koop Office" w:hAnsi="Koop Office" w:cs="Times New Roman" w:hint="default"/>
        <w:b w:val="0"/>
        <w:i w:val="0"/>
        <w:caps w:val="0"/>
        <w:strike w:val="0"/>
        <w:dstrike w:val="0"/>
        <w:vanish w:val="0"/>
        <w:color w:val="auto"/>
        <w:sz w:val="20"/>
        <w:u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nsid w:val="77327861"/>
    <w:multiLevelType w:val="hybridMultilevel"/>
    <w:tmpl w:val="C250EBA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7E56998"/>
    <w:multiLevelType w:val="multilevel"/>
    <w:tmpl w:val="0FD6D11C"/>
    <w:lvl w:ilvl="0">
      <w:start w:val="1"/>
      <w:numFmt w:val="decimal"/>
      <w:pStyle w:val="Styl10bTunZarovnatdobloku"/>
      <w:lvlText w:val="%1."/>
      <w:lvlJc w:val="left"/>
      <w:pPr>
        <w:tabs>
          <w:tab w:val="num" w:pos="425"/>
        </w:tabs>
        <w:ind w:left="425" w:hanging="425"/>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nsid w:val="7D8F3127"/>
    <w:multiLevelType w:val="multilevel"/>
    <w:tmpl w:val="E7C03C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0"/>
  </w:num>
  <w:num w:numId="2">
    <w:abstractNumId w:val="34"/>
  </w:num>
  <w:num w:numId="3">
    <w:abstractNumId w:val="12"/>
  </w:num>
  <w:num w:numId="4">
    <w:abstractNumId w:val="28"/>
  </w:num>
  <w:num w:numId="5">
    <w:abstractNumId w:val="19"/>
  </w:num>
  <w:num w:numId="6">
    <w:abstractNumId w:val="20"/>
  </w:num>
  <w:num w:numId="7">
    <w:abstractNumId w:val="17"/>
  </w:num>
  <w:num w:numId="8">
    <w:abstractNumId w:val="15"/>
  </w:num>
  <w:num w:numId="9">
    <w:abstractNumId w:val="35"/>
  </w:num>
  <w:num w:numId="10">
    <w:abstractNumId w:val="2"/>
  </w:num>
  <w:num w:numId="11">
    <w:abstractNumId w:val="24"/>
  </w:num>
  <w:num w:numId="12">
    <w:abstractNumId w:val="32"/>
  </w:num>
  <w:num w:numId="13">
    <w:abstractNumId w:val="38"/>
  </w:num>
  <w:num w:numId="14">
    <w:abstractNumId w:val="16"/>
  </w:num>
  <w:num w:numId="15">
    <w:abstractNumId w:val="26"/>
  </w:num>
  <w:num w:numId="16">
    <w:abstractNumId w:val="23"/>
  </w:num>
  <w:num w:numId="17">
    <w:abstractNumId w:val="36"/>
  </w:num>
  <w:num w:numId="18">
    <w:abstractNumId w:val="7"/>
  </w:num>
  <w:num w:numId="19">
    <w:abstractNumId w:val="8"/>
  </w:num>
  <w:num w:numId="20">
    <w:abstractNumId w:val="29"/>
  </w:num>
  <w:num w:numId="21">
    <w:abstractNumId w:val="30"/>
  </w:num>
  <w:num w:numId="22">
    <w:abstractNumId w:val="14"/>
  </w:num>
  <w:num w:numId="23">
    <w:abstractNumId w:val="33"/>
  </w:num>
  <w:num w:numId="24">
    <w:abstractNumId w:val="6"/>
  </w:num>
  <w:num w:numId="25">
    <w:abstractNumId w:val="5"/>
  </w:num>
  <w:num w:numId="26">
    <w:abstractNumId w:val="22"/>
  </w:num>
  <w:num w:numId="27">
    <w:abstractNumId w:val="21"/>
  </w:num>
  <w:num w:numId="28">
    <w:abstractNumId w:val="18"/>
  </w:num>
  <w:num w:numId="29">
    <w:abstractNumId w:val="13"/>
  </w:num>
  <w:num w:numId="30">
    <w:abstractNumId w:val="25"/>
  </w:num>
  <w:num w:numId="31">
    <w:abstractNumId w:val="27"/>
  </w:num>
  <w:num w:numId="32">
    <w:abstractNumId w:val="4"/>
  </w:num>
  <w:num w:numId="33">
    <w:abstractNumId w:val="37"/>
  </w:num>
  <w:num w:numId="34">
    <w:abstractNumId w:val="31"/>
  </w:num>
  <w:num w:numId="35">
    <w:abstractNumId w:val="11"/>
  </w:num>
  <w:num w:numId="36">
    <w:abstractNumId w:val="38"/>
    <w:lvlOverride w:ilvl="0">
      <w:startOverride w:val="1"/>
    </w:lvlOverride>
    <w:lvlOverride w:ilvl="1">
      <w:startOverride w:val="1"/>
    </w:lvlOverride>
  </w:num>
  <w:num w:numId="37">
    <w:abstractNumId w:val="38"/>
    <w:lvlOverride w:ilvl="0">
      <w:startOverride w:val="1"/>
    </w:lvlOverride>
    <w:lvlOverride w:ilvl="1">
      <w:startOverride w:val="1"/>
    </w:lvlOverride>
  </w:num>
  <w:num w:numId="38">
    <w:abstractNumId w:val="38"/>
    <w:lvlOverride w:ilvl="0">
      <w:startOverride w:val="1"/>
    </w:lvlOverride>
    <w:lvlOverride w:ilvl="1">
      <w:startOverride w:val="1"/>
    </w:lvlOverride>
  </w:num>
  <w:num w:numId="39">
    <w:abstractNumId w:val="39"/>
  </w:num>
  <w:num w:numId="40">
    <w:abstractNumId w:val="9"/>
  </w:num>
  <w:num w:numId="41">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10"/>
  <w:displayHorizontalDrawingGridEvery w:val="2"/>
  <w:doNotShadeFormData/>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1FB6"/>
    <w:rsid w:val="00000AEC"/>
    <w:rsid w:val="00002A00"/>
    <w:rsid w:val="000031E3"/>
    <w:rsid w:val="00004162"/>
    <w:rsid w:val="000056C9"/>
    <w:rsid w:val="000067B5"/>
    <w:rsid w:val="00007CF7"/>
    <w:rsid w:val="00007E42"/>
    <w:rsid w:val="0001024B"/>
    <w:rsid w:val="0001084B"/>
    <w:rsid w:val="00012595"/>
    <w:rsid w:val="000140B5"/>
    <w:rsid w:val="00014FBC"/>
    <w:rsid w:val="00016200"/>
    <w:rsid w:val="00020128"/>
    <w:rsid w:val="00020DF0"/>
    <w:rsid w:val="000213AB"/>
    <w:rsid w:val="00023E0F"/>
    <w:rsid w:val="000269DE"/>
    <w:rsid w:val="00027092"/>
    <w:rsid w:val="000277E9"/>
    <w:rsid w:val="00032351"/>
    <w:rsid w:val="000333B4"/>
    <w:rsid w:val="00033F43"/>
    <w:rsid w:val="0003415C"/>
    <w:rsid w:val="000341AF"/>
    <w:rsid w:val="000343B2"/>
    <w:rsid w:val="00034B59"/>
    <w:rsid w:val="00034C66"/>
    <w:rsid w:val="000359D6"/>
    <w:rsid w:val="000401D6"/>
    <w:rsid w:val="00041205"/>
    <w:rsid w:val="0004260F"/>
    <w:rsid w:val="00043141"/>
    <w:rsid w:val="00043BB6"/>
    <w:rsid w:val="00044C60"/>
    <w:rsid w:val="00045DC6"/>
    <w:rsid w:val="0005073F"/>
    <w:rsid w:val="000540F2"/>
    <w:rsid w:val="00055603"/>
    <w:rsid w:val="000601C7"/>
    <w:rsid w:val="00060851"/>
    <w:rsid w:val="00062591"/>
    <w:rsid w:val="00062C7A"/>
    <w:rsid w:val="000664A2"/>
    <w:rsid w:val="00066BFB"/>
    <w:rsid w:val="00071CC3"/>
    <w:rsid w:val="00074A2E"/>
    <w:rsid w:val="00075DD4"/>
    <w:rsid w:val="0007669A"/>
    <w:rsid w:val="00077008"/>
    <w:rsid w:val="00077718"/>
    <w:rsid w:val="00077F31"/>
    <w:rsid w:val="00080B9C"/>
    <w:rsid w:val="00081E97"/>
    <w:rsid w:val="00084DA2"/>
    <w:rsid w:val="00084F31"/>
    <w:rsid w:val="00085273"/>
    <w:rsid w:val="00085618"/>
    <w:rsid w:val="00085BB5"/>
    <w:rsid w:val="00090ECC"/>
    <w:rsid w:val="000919CE"/>
    <w:rsid w:val="00097110"/>
    <w:rsid w:val="0009786D"/>
    <w:rsid w:val="00097CD0"/>
    <w:rsid w:val="000A025A"/>
    <w:rsid w:val="000A10CA"/>
    <w:rsid w:val="000A2D57"/>
    <w:rsid w:val="000A3B0B"/>
    <w:rsid w:val="000A4036"/>
    <w:rsid w:val="000A4672"/>
    <w:rsid w:val="000A6CC5"/>
    <w:rsid w:val="000A6FEB"/>
    <w:rsid w:val="000B0C00"/>
    <w:rsid w:val="000B0F48"/>
    <w:rsid w:val="000B113B"/>
    <w:rsid w:val="000B1956"/>
    <w:rsid w:val="000B3E8B"/>
    <w:rsid w:val="000B48B7"/>
    <w:rsid w:val="000B57F3"/>
    <w:rsid w:val="000B5FCF"/>
    <w:rsid w:val="000B654E"/>
    <w:rsid w:val="000C117C"/>
    <w:rsid w:val="000C18E9"/>
    <w:rsid w:val="000C19A5"/>
    <w:rsid w:val="000C526B"/>
    <w:rsid w:val="000C6477"/>
    <w:rsid w:val="000C676E"/>
    <w:rsid w:val="000D0067"/>
    <w:rsid w:val="000D04DB"/>
    <w:rsid w:val="000D0FEA"/>
    <w:rsid w:val="000D17AF"/>
    <w:rsid w:val="000D1985"/>
    <w:rsid w:val="000E51F6"/>
    <w:rsid w:val="000E73CD"/>
    <w:rsid w:val="000E7A1F"/>
    <w:rsid w:val="000F0B7B"/>
    <w:rsid w:val="000F13FF"/>
    <w:rsid w:val="000F2DD1"/>
    <w:rsid w:val="000F2EBD"/>
    <w:rsid w:val="000F414C"/>
    <w:rsid w:val="000F4D58"/>
    <w:rsid w:val="000F4DC1"/>
    <w:rsid w:val="000F5B35"/>
    <w:rsid w:val="0010066D"/>
    <w:rsid w:val="001031FB"/>
    <w:rsid w:val="0010468E"/>
    <w:rsid w:val="001050E9"/>
    <w:rsid w:val="00106236"/>
    <w:rsid w:val="00107F95"/>
    <w:rsid w:val="001109FB"/>
    <w:rsid w:val="00110EE9"/>
    <w:rsid w:val="00113820"/>
    <w:rsid w:val="00113DF5"/>
    <w:rsid w:val="001141E5"/>
    <w:rsid w:val="00114BC0"/>
    <w:rsid w:val="00114F6F"/>
    <w:rsid w:val="00117FC6"/>
    <w:rsid w:val="00121F8B"/>
    <w:rsid w:val="0012221B"/>
    <w:rsid w:val="00122CC7"/>
    <w:rsid w:val="001253D0"/>
    <w:rsid w:val="00130538"/>
    <w:rsid w:val="001330AA"/>
    <w:rsid w:val="00133185"/>
    <w:rsid w:val="00134D8E"/>
    <w:rsid w:val="00135937"/>
    <w:rsid w:val="00135CAE"/>
    <w:rsid w:val="0013749C"/>
    <w:rsid w:val="0014043E"/>
    <w:rsid w:val="00141ECF"/>
    <w:rsid w:val="001430A8"/>
    <w:rsid w:val="00143FF3"/>
    <w:rsid w:val="001442F1"/>
    <w:rsid w:val="0014584D"/>
    <w:rsid w:val="001532C9"/>
    <w:rsid w:val="00154E1F"/>
    <w:rsid w:val="00154F5A"/>
    <w:rsid w:val="00155459"/>
    <w:rsid w:val="00155947"/>
    <w:rsid w:val="00157976"/>
    <w:rsid w:val="00157CBC"/>
    <w:rsid w:val="001637A1"/>
    <w:rsid w:val="001652D5"/>
    <w:rsid w:val="001662B0"/>
    <w:rsid w:val="00170E6B"/>
    <w:rsid w:val="001715DD"/>
    <w:rsid w:val="00172697"/>
    <w:rsid w:val="00173B9C"/>
    <w:rsid w:val="00174270"/>
    <w:rsid w:val="00175BEA"/>
    <w:rsid w:val="00175F45"/>
    <w:rsid w:val="001768B3"/>
    <w:rsid w:val="00176FAD"/>
    <w:rsid w:val="001773E3"/>
    <w:rsid w:val="001806DF"/>
    <w:rsid w:val="00181409"/>
    <w:rsid w:val="0018148A"/>
    <w:rsid w:val="001823D9"/>
    <w:rsid w:val="00182F57"/>
    <w:rsid w:val="00183109"/>
    <w:rsid w:val="00183385"/>
    <w:rsid w:val="0018386C"/>
    <w:rsid w:val="00185130"/>
    <w:rsid w:val="00185764"/>
    <w:rsid w:val="00186D56"/>
    <w:rsid w:val="00192160"/>
    <w:rsid w:val="00195791"/>
    <w:rsid w:val="001A01D6"/>
    <w:rsid w:val="001A1B88"/>
    <w:rsid w:val="001A2433"/>
    <w:rsid w:val="001A2CD7"/>
    <w:rsid w:val="001A3F5A"/>
    <w:rsid w:val="001A50C9"/>
    <w:rsid w:val="001A523E"/>
    <w:rsid w:val="001A60A6"/>
    <w:rsid w:val="001A7313"/>
    <w:rsid w:val="001A738F"/>
    <w:rsid w:val="001B1FBE"/>
    <w:rsid w:val="001B3EA8"/>
    <w:rsid w:val="001B631E"/>
    <w:rsid w:val="001B75B2"/>
    <w:rsid w:val="001C2A7F"/>
    <w:rsid w:val="001C33D6"/>
    <w:rsid w:val="001C3896"/>
    <w:rsid w:val="001C3BC4"/>
    <w:rsid w:val="001C46FA"/>
    <w:rsid w:val="001C493A"/>
    <w:rsid w:val="001C4C5E"/>
    <w:rsid w:val="001C521A"/>
    <w:rsid w:val="001C7BF8"/>
    <w:rsid w:val="001D0842"/>
    <w:rsid w:val="001D0BD1"/>
    <w:rsid w:val="001D3D4C"/>
    <w:rsid w:val="001D573C"/>
    <w:rsid w:val="001D7F15"/>
    <w:rsid w:val="001E1B0F"/>
    <w:rsid w:val="001E311D"/>
    <w:rsid w:val="001E3D65"/>
    <w:rsid w:val="001F103F"/>
    <w:rsid w:val="001F1C6E"/>
    <w:rsid w:val="001F363C"/>
    <w:rsid w:val="001F77D4"/>
    <w:rsid w:val="00200D3D"/>
    <w:rsid w:val="00200FF3"/>
    <w:rsid w:val="002021DB"/>
    <w:rsid w:val="00202F67"/>
    <w:rsid w:val="00203D6D"/>
    <w:rsid w:val="002051E5"/>
    <w:rsid w:val="00207BD3"/>
    <w:rsid w:val="0021007A"/>
    <w:rsid w:val="0021369D"/>
    <w:rsid w:val="00213AAC"/>
    <w:rsid w:val="002153D3"/>
    <w:rsid w:val="00215E8B"/>
    <w:rsid w:val="00216C2E"/>
    <w:rsid w:val="00221407"/>
    <w:rsid w:val="002228DC"/>
    <w:rsid w:val="00223020"/>
    <w:rsid w:val="00224037"/>
    <w:rsid w:val="00224653"/>
    <w:rsid w:val="00224672"/>
    <w:rsid w:val="002250DE"/>
    <w:rsid w:val="0022613A"/>
    <w:rsid w:val="002267B4"/>
    <w:rsid w:val="00230100"/>
    <w:rsid w:val="002316B5"/>
    <w:rsid w:val="00232229"/>
    <w:rsid w:val="0023273B"/>
    <w:rsid w:val="002327ED"/>
    <w:rsid w:val="00232A2E"/>
    <w:rsid w:val="00232BA8"/>
    <w:rsid w:val="00235F27"/>
    <w:rsid w:val="00236344"/>
    <w:rsid w:val="00236403"/>
    <w:rsid w:val="0024570E"/>
    <w:rsid w:val="00245923"/>
    <w:rsid w:val="002459D2"/>
    <w:rsid w:val="00247BFA"/>
    <w:rsid w:val="002504F1"/>
    <w:rsid w:val="00250903"/>
    <w:rsid w:val="00251346"/>
    <w:rsid w:val="00251F9C"/>
    <w:rsid w:val="00252372"/>
    <w:rsid w:val="00254D75"/>
    <w:rsid w:val="00257C49"/>
    <w:rsid w:val="00262FC8"/>
    <w:rsid w:val="00263019"/>
    <w:rsid w:val="002634CC"/>
    <w:rsid w:val="00263CDF"/>
    <w:rsid w:val="00264FB0"/>
    <w:rsid w:val="002677B7"/>
    <w:rsid w:val="0027116E"/>
    <w:rsid w:val="00272535"/>
    <w:rsid w:val="002728D9"/>
    <w:rsid w:val="002738AB"/>
    <w:rsid w:val="002738BA"/>
    <w:rsid w:val="00273FFA"/>
    <w:rsid w:val="002764DC"/>
    <w:rsid w:val="002764E4"/>
    <w:rsid w:val="00280A98"/>
    <w:rsid w:val="00280B20"/>
    <w:rsid w:val="002825A6"/>
    <w:rsid w:val="00283ECF"/>
    <w:rsid w:val="0028468F"/>
    <w:rsid w:val="002904DC"/>
    <w:rsid w:val="00291075"/>
    <w:rsid w:val="002910B4"/>
    <w:rsid w:val="0029187F"/>
    <w:rsid w:val="00292B25"/>
    <w:rsid w:val="00296295"/>
    <w:rsid w:val="00297FCC"/>
    <w:rsid w:val="002A1147"/>
    <w:rsid w:val="002A1588"/>
    <w:rsid w:val="002A1AA1"/>
    <w:rsid w:val="002A23E6"/>
    <w:rsid w:val="002A29F1"/>
    <w:rsid w:val="002A2FC0"/>
    <w:rsid w:val="002A341D"/>
    <w:rsid w:val="002A58DB"/>
    <w:rsid w:val="002A5CE1"/>
    <w:rsid w:val="002A6781"/>
    <w:rsid w:val="002B08EB"/>
    <w:rsid w:val="002B091F"/>
    <w:rsid w:val="002B0B6D"/>
    <w:rsid w:val="002B15DB"/>
    <w:rsid w:val="002B4B57"/>
    <w:rsid w:val="002B57A6"/>
    <w:rsid w:val="002B6EAE"/>
    <w:rsid w:val="002C18E9"/>
    <w:rsid w:val="002C2B1D"/>
    <w:rsid w:val="002C4130"/>
    <w:rsid w:val="002C6A91"/>
    <w:rsid w:val="002D15A4"/>
    <w:rsid w:val="002D22B3"/>
    <w:rsid w:val="002D2F92"/>
    <w:rsid w:val="002D55A8"/>
    <w:rsid w:val="002D57DD"/>
    <w:rsid w:val="002E1338"/>
    <w:rsid w:val="002E6FFB"/>
    <w:rsid w:val="002F05B2"/>
    <w:rsid w:val="002F0718"/>
    <w:rsid w:val="002F0CD4"/>
    <w:rsid w:val="002F22D3"/>
    <w:rsid w:val="002F40FB"/>
    <w:rsid w:val="003009D0"/>
    <w:rsid w:val="00304492"/>
    <w:rsid w:val="00305789"/>
    <w:rsid w:val="003068FE"/>
    <w:rsid w:val="00311AC7"/>
    <w:rsid w:val="00311B0D"/>
    <w:rsid w:val="00312551"/>
    <w:rsid w:val="003154F3"/>
    <w:rsid w:val="00317AD3"/>
    <w:rsid w:val="00320BB3"/>
    <w:rsid w:val="0032209A"/>
    <w:rsid w:val="00322BED"/>
    <w:rsid w:val="00323E25"/>
    <w:rsid w:val="00326087"/>
    <w:rsid w:val="00326953"/>
    <w:rsid w:val="003271BA"/>
    <w:rsid w:val="00330496"/>
    <w:rsid w:val="00330AEF"/>
    <w:rsid w:val="00331D89"/>
    <w:rsid w:val="0033279F"/>
    <w:rsid w:val="00332B78"/>
    <w:rsid w:val="00335684"/>
    <w:rsid w:val="00335E55"/>
    <w:rsid w:val="0033760F"/>
    <w:rsid w:val="00341B9F"/>
    <w:rsid w:val="003425D8"/>
    <w:rsid w:val="00342919"/>
    <w:rsid w:val="0034317C"/>
    <w:rsid w:val="00343397"/>
    <w:rsid w:val="003450CC"/>
    <w:rsid w:val="0034551F"/>
    <w:rsid w:val="00346124"/>
    <w:rsid w:val="003464F6"/>
    <w:rsid w:val="003465BD"/>
    <w:rsid w:val="00350DB1"/>
    <w:rsid w:val="0035101F"/>
    <w:rsid w:val="00354272"/>
    <w:rsid w:val="00356A38"/>
    <w:rsid w:val="003572A6"/>
    <w:rsid w:val="00360885"/>
    <w:rsid w:val="00360BB0"/>
    <w:rsid w:val="00360E3C"/>
    <w:rsid w:val="00363469"/>
    <w:rsid w:val="003642DB"/>
    <w:rsid w:val="003654A6"/>
    <w:rsid w:val="00365F74"/>
    <w:rsid w:val="00366BBD"/>
    <w:rsid w:val="003679A4"/>
    <w:rsid w:val="00370387"/>
    <w:rsid w:val="003705FD"/>
    <w:rsid w:val="00371098"/>
    <w:rsid w:val="00371E80"/>
    <w:rsid w:val="00372283"/>
    <w:rsid w:val="00374B37"/>
    <w:rsid w:val="0037753E"/>
    <w:rsid w:val="00380524"/>
    <w:rsid w:val="00380BB3"/>
    <w:rsid w:val="00381E13"/>
    <w:rsid w:val="00382AF2"/>
    <w:rsid w:val="0038407C"/>
    <w:rsid w:val="00384906"/>
    <w:rsid w:val="003859B0"/>
    <w:rsid w:val="003865AB"/>
    <w:rsid w:val="00391366"/>
    <w:rsid w:val="0039186C"/>
    <w:rsid w:val="00391BBC"/>
    <w:rsid w:val="00391DB6"/>
    <w:rsid w:val="00392C58"/>
    <w:rsid w:val="00394248"/>
    <w:rsid w:val="003949C6"/>
    <w:rsid w:val="003971E3"/>
    <w:rsid w:val="0039741A"/>
    <w:rsid w:val="003A118E"/>
    <w:rsid w:val="003A155F"/>
    <w:rsid w:val="003A2506"/>
    <w:rsid w:val="003A279D"/>
    <w:rsid w:val="003A3192"/>
    <w:rsid w:val="003A4222"/>
    <w:rsid w:val="003B0653"/>
    <w:rsid w:val="003B3C93"/>
    <w:rsid w:val="003B5D74"/>
    <w:rsid w:val="003B73D9"/>
    <w:rsid w:val="003B79BF"/>
    <w:rsid w:val="003C0DEB"/>
    <w:rsid w:val="003C191B"/>
    <w:rsid w:val="003C1FA4"/>
    <w:rsid w:val="003C2CE5"/>
    <w:rsid w:val="003C2DB7"/>
    <w:rsid w:val="003C3394"/>
    <w:rsid w:val="003C386E"/>
    <w:rsid w:val="003C39FD"/>
    <w:rsid w:val="003C4D8D"/>
    <w:rsid w:val="003C6A0E"/>
    <w:rsid w:val="003C7019"/>
    <w:rsid w:val="003C7D48"/>
    <w:rsid w:val="003D0AF6"/>
    <w:rsid w:val="003D1F93"/>
    <w:rsid w:val="003D204B"/>
    <w:rsid w:val="003D3637"/>
    <w:rsid w:val="003E040C"/>
    <w:rsid w:val="003E0867"/>
    <w:rsid w:val="003E0C16"/>
    <w:rsid w:val="003E3750"/>
    <w:rsid w:val="003E3841"/>
    <w:rsid w:val="003E6167"/>
    <w:rsid w:val="003F03F5"/>
    <w:rsid w:val="003F1C32"/>
    <w:rsid w:val="003F2AB4"/>
    <w:rsid w:val="003F4800"/>
    <w:rsid w:val="003F7218"/>
    <w:rsid w:val="004008E0"/>
    <w:rsid w:val="004036F1"/>
    <w:rsid w:val="00404905"/>
    <w:rsid w:val="00406190"/>
    <w:rsid w:val="00406A5F"/>
    <w:rsid w:val="004149EA"/>
    <w:rsid w:val="00420AB8"/>
    <w:rsid w:val="004210B7"/>
    <w:rsid w:val="0042166D"/>
    <w:rsid w:val="004239DC"/>
    <w:rsid w:val="00425023"/>
    <w:rsid w:val="00426552"/>
    <w:rsid w:val="00426DE5"/>
    <w:rsid w:val="004337FE"/>
    <w:rsid w:val="00433D9F"/>
    <w:rsid w:val="004458BA"/>
    <w:rsid w:val="00445E75"/>
    <w:rsid w:val="0044603E"/>
    <w:rsid w:val="00447CEE"/>
    <w:rsid w:val="004505F9"/>
    <w:rsid w:val="00451587"/>
    <w:rsid w:val="00452183"/>
    <w:rsid w:val="00453225"/>
    <w:rsid w:val="00453F72"/>
    <w:rsid w:val="00454D73"/>
    <w:rsid w:val="00456426"/>
    <w:rsid w:val="00461999"/>
    <w:rsid w:val="0046208E"/>
    <w:rsid w:val="0046256C"/>
    <w:rsid w:val="00464C42"/>
    <w:rsid w:val="00465726"/>
    <w:rsid w:val="004658EB"/>
    <w:rsid w:val="0046667D"/>
    <w:rsid w:val="0047112D"/>
    <w:rsid w:val="00473800"/>
    <w:rsid w:val="00475F3D"/>
    <w:rsid w:val="00476D9C"/>
    <w:rsid w:val="00477CF1"/>
    <w:rsid w:val="00481386"/>
    <w:rsid w:val="004827DC"/>
    <w:rsid w:val="00483E40"/>
    <w:rsid w:val="0048485C"/>
    <w:rsid w:val="00484BB4"/>
    <w:rsid w:val="00487A1B"/>
    <w:rsid w:val="004909E0"/>
    <w:rsid w:val="00491468"/>
    <w:rsid w:val="0049169D"/>
    <w:rsid w:val="00494E63"/>
    <w:rsid w:val="00495550"/>
    <w:rsid w:val="00496683"/>
    <w:rsid w:val="004977B4"/>
    <w:rsid w:val="004A2A87"/>
    <w:rsid w:val="004A345D"/>
    <w:rsid w:val="004A367D"/>
    <w:rsid w:val="004A42FD"/>
    <w:rsid w:val="004A5CBB"/>
    <w:rsid w:val="004A73A8"/>
    <w:rsid w:val="004A7B67"/>
    <w:rsid w:val="004B2B44"/>
    <w:rsid w:val="004B53B6"/>
    <w:rsid w:val="004B5C30"/>
    <w:rsid w:val="004C7776"/>
    <w:rsid w:val="004D25AB"/>
    <w:rsid w:val="004D2D44"/>
    <w:rsid w:val="004D3225"/>
    <w:rsid w:val="004D4F69"/>
    <w:rsid w:val="004E0C7F"/>
    <w:rsid w:val="004E11DA"/>
    <w:rsid w:val="004E30A4"/>
    <w:rsid w:val="004E3128"/>
    <w:rsid w:val="004E374F"/>
    <w:rsid w:val="004E4933"/>
    <w:rsid w:val="004E63A5"/>
    <w:rsid w:val="004E7D98"/>
    <w:rsid w:val="004F681F"/>
    <w:rsid w:val="004F6EC6"/>
    <w:rsid w:val="0050088C"/>
    <w:rsid w:val="00501006"/>
    <w:rsid w:val="0050101E"/>
    <w:rsid w:val="005015FA"/>
    <w:rsid w:val="00502A56"/>
    <w:rsid w:val="00502BF0"/>
    <w:rsid w:val="00506C8E"/>
    <w:rsid w:val="00507344"/>
    <w:rsid w:val="00511206"/>
    <w:rsid w:val="005128B6"/>
    <w:rsid w:val="00512999"/>
    <w:rsid w:val="00513C02"/>
    <w:rsid w:val="0051536C"/>
    <w:rsid w:val="00516021"/>
    <w:rsid w:val="00517364"/>
    <w:rsid w:val="00521A2D"/>
    <w:rsid w:val="00522735"/>
    <w:rsid w:val="0052287A"/>
    <w:rsid w:val="005249F1"/>
    <w:rsid w:val="00527B81"/>
    <w:rsid w:val="0053028B"/>
    <w:rsid w:val="005302DA"/>
    <w:rsid w:val="00530320"/>
    <w:rsid w:val="00530654"/>
    <w:rsid w:val="00530706"/>
    <w:rsid w:val="00531A4B"/>
    <w:rsid w:val="00532F0A"/>
    <w:rsid w:val="00533066"/>
    <w:rsid w:val="0053344E"/>
    <w:rsid w:val="00535590"/>
    <w:rsid w:val="005375AD"/>
    <w:rsid w:val="00541CB3"/>
    <w:rsid w:val="00542C80"/>
    <w:rsid w:val="0054493C"/>
    <w:rsid w:val="0054567D"/>
    <w:rsid w:val="00545A00"/>
    <w:rsid w:val="005471ED"/>
    <w:rsid w:val="00547E3D"/>
    <w:rsid w:val="005515B9"/>
    <w:rsid w:val="0055351C"/>
    <w:rsid w:val="005539B3"/>
    <w:rsid w:val="00556CF6"/>
    <w:rsid w:val="00556F6C"/>
    <w:rsid w:val="00561901"/>
    <w:rsid w:val="00561DCF"/>
    <w:rsid w:val="005628C8"/>
    <w:rsid w:val="00563A46"/>
    <w:rsid w:val="00563C77"/>
    <w:rsid w:val="00565265"/>
    <w:rsid w:val="005679B6"/>
    <w:rsid w:val="005715B2"/>
    <w:rsid w:val="00572444"/>
    <w:rsid w:val="00575F21"/>
    <w:rsid w:val="005766F3"/>
    <w:rsid w:val="005824A9"/>
    <w:rsid w:val="0058382A"/>
    <w:rsid w:val="0058582F"/>
    <w:rsid w:val="00585DE5"/>
    <w:rsid w:val="005865D6"/>
    <w:rsid w:val="00587741"/>
    <w:rsid w:val="005921FF"/>
    <w:rsid w:val="00593137"/>
    <w:rsid w:val="00593FB6"/>
    <w:rsid w:val="00595B4C"/>
    <w:rsid w:val="00597601"/>
    <w:rsid w:val="005A24AA"/>
    <w:rsid w:val="005A375C"/>
    <w:rsid w:val="005A4AED"/>
    <w:rsid w:val="005A5E7A"/>
    <w:rsid w:val="005A79D1"/>
    <w:rsid w:val="005B3020"/>
    <w:rsid w:val="005B6C2F"/>
    <w:rsid w:val="005C1B8E"/>
    <w:rsid w:val="005C305B"/>
    <w:rsid w:val="005C5D80"/>
    <w:rsid w:val="005C6021"/>
    <w:rsid w:val="005C66A6"/>
    <w:rsid w:val="005D342B"/>
    <w:rsid w:val="005D4456"/>
    <w:rsid w:val="005D4E95"/>
    <w:rsid w:val="005D5494"/>
    <w:rsid w:val="005D6BBE"/>
    <w:rsid w:val="005E0F05"/>
    <w:rsid w:val="005E246A"/>
    <w:rsid w:val="005E2FCE"/>
    <w:rsid w:val="005F060A"/>
    <w:rsid w:val="005F11F1"/>
    <w:rsid w:val="005F183C"/>
    <w:rsid w:val="005F51CA"/>
    <w:rsid w:val="005F5DA0"/>
    <w:rsid w:val="005F7341"/>
    <w:rsid w:val="005F77BE"/>
    <w:rsid w:val="00602127"/>
    <w:rsid w:val="00604605"/>
    <w:rsid w:val="00605012"/>
    <w:rsid w:val="006060A5"/>
    <w:rsid w:val="00606CE3"/>
    <w:rsid w:val="006070E6"/>
    <w:rsid w:val="006072E0"/>
    <w:rsid w:val="006110C1"/>
    <w:rsid w:val="0061304A"/>
    <w:rsid w:val="006135C1"/>
    <w:rsid w:val="00614E4B"/>
    <w:rsid w:val="00616D1F"/>
    <w:rsid w:val="00617735"/>
    <w:rsid w:val="00621D8C"/>
    <w:rsid w:val="00623270"/>
    <w:rsid w:val="00626C01"/>
    <w:rsid w:val="00627496"/>
    <w:rsid w:val="00627B14"/>
    <w:rsid w:val="00631EC4"/>
    <w:rsid w:val="0063279B"/>
    <w:rsid w:val="00633E81"/>
    <w:rsid w:val="006342C6"/>
    <w:rsid w:val="00634335"/>
    <w:rsid w:val="006368D9"/>
    <w:rsid w:val="00637581"/>
    <w:rsid w:val="006404B6"/>
    <w:rsid w:val="0064460A"/>
    <w:rsid w:val="0064470C"/>
    <w:rsid w:val="00644EBF"/>
    <w:rsid w:val="00645880"/>
    <w:rsid w:val="00651A18"/>
    <w:rsid w:val="00652055"/>
    <w:rsid w:val="00653F9E"/>
    <w:rsid w:val="00661340"/>
    <w:rsid w:val="00661B98"/>
    <w:rsid w:val="00661D7E"/>
    <w:rsid w:val="00664F13"/>
    <w:rsid w:val="00665130"/>
    <w:rsid w:val="0066668E"/>
    <w:rsid w:val="00666A40"/>
    <w:rsid w:val="006670E0"/>
    <w:rsid w:val="0067014F"/>
    <w:rsid w:val="00670416"/>
    <w:rsid w:val="00671CAA"/>
    <w:rsid w:val="00671F52"/>
    <w:rsid w:val="006748D3"/>
    <w:rsid w:val="00676DAE"/>
    <w:rsid w:val="006772F3"/>
    <w:rsid w:val="00677CB3"/>
    <w:rsid w:val="006821A1"/>
    <w:rsid w:val="00682D19"/>
    <w:rsid w:val="006831AC"/>
    <w:rsid w:val="006834FD"/>
    <w:rsid w:val="00685928"/>
    <w:rsid w:val="006869C8"/>
    <w:rsid w:val="00686F62"/>
    <w:rsid w:val="0068794D"/>
    <w:rsid w:val="006879E1"/>
    <w:rsid w:val="00690862"/>
    <w:rsid w:val="00690A7B"/>
    <w:rsid w:val="0069250C"/>
    <w:rsid w:val="00695652"/>
    <w:rsid w:val="006978FE"/>
    <w:rsid w:val="006A0B1A"/>
    <w:rsid w:val="006A0C27"/>
    <w:rsid w:val="006A3365"/>
    <w:rsid w:val="006A5330"/>
    <w:rsid w:val="006A57C3"/>
    <w:rsid w:val="006A6442"/>
    <w:rsid w:val="006B56E1"/>
    <w:rsid w:val="006B6671"/>
    <w:rsid w:val="006B6F68"/>
    <w:rsid w:val="006C2792"/>
    <w:rsid w:val="006C349E"/>
    <w:rsid w:val="006C3591"/>
    <w:rsid w:val="006C3690"/>
    <w:rsid w:val="006C7352"/>
    <w:rsid w:val="006C7AF6"/>
    <w:rsid w:val="006D035E"/>
    <w:rsid w:val="006D0421"/>
    <w:rsid w:val="006D2CE7"/>
    <w:rsid w:val="006D3277"/>
    <w:rsid w:val="006D3B94"/>
    <w:rsid w:val="006D52CD"/>
    <w:rsid w:val="006D5327"/>
    <w:rsid w:val="006D6800"/>
    <w:rsid w:val="006D7684"/>
    <w:rsid w:val="006E12A7"/>
    <w:rsid w:val="006E1335"/>
    <w:rsid w:val="006E30A7"/>
    <w:rsid w:val="006E3282"/>
    <w:rsid w:val="006E40B4"/>
    <w:rsid w:val="006E4294"/>
    <w:rsid w:val="006F00C2"/>
    <w:rsid w:val="006F096B"/>
    <w:rsid w:val="006F0FB3"/>
    <w:rsid w:val="006F1AC2"/>
    <w:rsid w:val="006F22D1"/>
    <w:rsid w:val="007024F2"/>
    <w:rsid w:val="007025D4"/>
    <w:rsid w:val="007037B8"/>
    <w:rsid w:val="00703A20"/>
    <w:rsid w:val="00704FA8"/>
    <w:rsid w:val="00707684"/>
    <w:rsid w:val="00707D1B"/>
    <w:rsid w:val="0071310E"/>
    <w:rsid w:val="00713175"/>
    <w:rsid w:val="007165C6"/>
    <w:rsid w:val="00716E15"/>
    <w:rsid w:val="00724C83"/>
    <w:rsid w:val="00725F46"/>
    <w:rsid w:val="007268E3"/>
    <w:rsid w:val="007271CC"/>
    <w:rsid w:val="007309D4"/>
    <w:rsid w:val="00734423"/>
    <w:rsid w:val="0073645D"/>
    <w:rsid w:val="007378A8"/>
    <w:rsid w:val="00737B01"/>
    <w:rsid w:val="007420D9"/>
    <w:rsid w:val="007440FF"/>
    <w:rsid w:val="007451FC"/>
    <w:rsid w:val="007459FA"/>
    <w:rsid w:val="00745B01"/>
    <w:rsid w:val="00746C2F"/>
    <w:rsid w:val="00747005"/>
    <w:rsid w:val="00747EE5"/>
    <w:rsid w:val="00752B1B"/>
    <w:rsid w:val="00755DA6"/>
    <w:rsid w:val="00762AB3"/>
    <w:rsid w:val="00763E54"/>
    <w:rsid w:val="00764D87"/>
    <w:rsid w:val="007671EB"/>
    <w:rsid w:val="0076734A"/>
    <w:rsid w:val="00774034"/>
    <w:rsid w:val="00774CB1"/>
    <w:rsid w:val="00776BDB"/>
    <w:rsid w:val="007805AB"/>
    <w:rsid w:val="00780B03"/>
    <w:rsid w:val="00781A17"/>
    <w:rsid w:val="00781CF1"/>
    <w:rsid w:val="00784D5D"/>
    <w:rsid w:val="007852FE"/>
    <w:rsid w:val="00787B92"/>
    <w:rsid w:val="00790CF7"/>
    <w:rsid w:val="00792518"/>
    <w:rsid w:val="007937EE"/>
    <w:rsid w:val="0079560F"/>
    <w:rsid w:val="007A0D3C"/>
    <w:rsid w:val="007A2187"/>
    <w:rsid w:val="007A24DE"/>
    <w:rsid w:val="007A3504"/>
    <w:rsid w:val="007A4E91"/>
    <w:rsid w:val="007A6454"/>
    <w:rsid w:val="007A7820"/>
    <w:rsid w:val="007B07B3"/>
    <w:rsid w:val="007B0D43"/>
    <w:rsid w:val="007B5A3D"/>
    <w:rsid w:val="007B5A58"/>
    <w:rsid w:val="007C3392"/>
    <w:rsid w:val="007C5C59"/>
    <w:rsid w:val="007C6242"/>
    <w:rsid w:val="007D03A0"/>
    <w:rsid w:val="007D1F7E"/>
    <w:rsid w:val="007D6E4C"/>
    <w:rsid w:val="007D7C4F"/>
    <w:rsid w:val="007E1E3D"/>
    <w:rsid w:val="007E5D56"/>
    <w:rsid w:val="007E77EC"/>
    <w:rsid w:val="007F03FE"/>
    <w:rsid w:val="007F21C9"/>
    <w:rsid w:val="007F5278"/>
    <w:rsid w:val="007F610A"/>
    <w:rsid w:val="007F6430"/>
    <w:rsid w:val="00802B85"/>
    <w:rsid w:val="008105FB"/>
    <w:rsid w:val="00811766"/>
    <w:rsid w:val="00812180"/>
    <w:rsid w:val="00812285"/>
    <w:rsid w:val="00813396"/>
    <w:rsid w:val="00814454"/>
    <w:rsid w:val="00814614"/>
    <w:rsid w:val="00817E83"/>
    <w:rsid w:val="00820B04"/>
    <w:rsid w:val="00821DA0"/>
    <w:rsid w:val="00821F09"/>
    <w:rsid w:val="00822C3A"/>
    <w:rsid w:val="008247AB"/>
    <w:rsid w:val="00824A8D"/>
    <w:rsid w:val="00824E11"/>
    <w:rsid w:val="00825243"/>
    <w:rsid w:val="00825549"/>
    <w:rsid w:val="008258B3"/>
    <w:rsid w:val="00831117"/>
    <w:rsid w:val="00831A91"/>
    <w:rsid w:val="00831C4A"/>
    <w:rsid w:val="00831D86"/>
    <w:rsid w:val="00831E36"/>
    <w:rsid w:val="00834015"/>
    <w:rsid w:val="0083493A"/>
    <w:rsid w:val="00835A78"/>
    <w:rsid w:val="0083612B"/>
    <w:rsid w:val="008364C1"/>
    <w:rsid w:val="00836742"/>
    <w:rsid w:val="008376D8"/>
    <w:rsid w:val="00841E18"/>
    <w:rsid w:val="00842AA2"/>
    <w:rsid w:val="00843283"/>
    <w:rsid w:val="00843C70"/>
    <w:rsid w:val="008447EB"/>
    <w:rsid w:val="0084510D"/>
    <w:rsid w:val="008464DE"/>
    <w:rsid w:val="00847210"/>
    <w:rsid w:val="008532E3"/>
    <w:rsid w:val="0085333E"/>
    <w:rsid w:val="0085479B"/>
    <w:rsid w:val="008548F4"/>
    <w:rsid w:val="00856950"/>
    <w:rsid w:val="00856FAF"/>
    <w:rsid w:val="00856FE8"/>
    <w:rsid w:val="008573BE"/>
    <w:rsid w:val="00861185"/>
    <w:rsid w:val="00861E32"/>
    <w:rsid w:val="00863E22"/>
    <w:rsid w:val="008657D7"/>
    <w:rsid w:val="00866A06"/>
    <w:rsid w:val="00870157"/>
    <w:rsid w:val="00872A34"/>
    <w:rsid w:val="00873AA8"/>
    <w:rsid w:val="00874316"/>
    <w:rsid w:val="00874536"/>
    <w:rsid w:val="00874828"/>
    <w:rsid w:val="00874EF3"/>
    <w:rsid w:val="00875015"/>
    <w:rsid w:val="00877895"/>
    <w:rsid w:val="008810DC"/>
    <w:rsid w:val="00887F62"/>
    <w:rsid w:val="008901D3"/>
    <w:rsid w:val="0089031E"/>
    <w:rsid w:val="00890402"/>
    <w:rsid w:val="00890759"/>
    <w:rsid w:val="00891130"/>
    <w:rsid w:val="00891343"/>
    <w:rsid w:val="0089204A"/>
    <w:rsid w:val="008938E7"/>
    <w:rsid w:val="00895948"/>
    <w:rsid w:val="00897058"/>
    <w:rsid w:val="008A03D8"/>
    <w:rsid w:val="008A0DA4"/>
    <w:rsid w:val="008A4344"/>
    <w:rsid w:val="008A5C94"/>
    <w:rsid w:val="008A649C"/>
    <w:rsid w:val="008A7BF0"/>
    <w:rsid w:val="008B0709"/>
    <w:rsid w:val="008B0801"/>
    <w:rsid w:val="008B15A9"/>
    <w:rsid w:val="008B2228"/>
    <w:rsid w:val="008B3B19"/>
    <w:rsid w:val="008B3C15"/>
    <w:rsid w:val="008B3DF9"/>
    <w:rsid w:val="008B593C"/>
    <w:rsid w:val="008B60DF"/>
    <w:rsid w:val="008B6589"/>
    <w:rsid w:val="008C0B86"/>
    <w:rsid w:val="008C1B8D"/>
    <w:rsid w:val="008C2446"/>
    <w:rsid w:val="008C28C7"/>
    <w:rsid w:val="008C3BA4"/>
    <w:rsid w:val="008C3CA0"/>
    <w:rsid w:val="008C41AF"/>
    <w:rsid w:val="008C4C1A"/>
    <w:rsid w:val="008C6488"/>
    <w:rsid w:val="008C7517"/>
    <w:rsid w:val="008D11A9"/>
    <w:rsid w:val="008D36D2"/>
    <w:rsid w:val="008D4CE6"/>
    <w:rsid w:val="008D52EB"/>
    <w:rsid w:val="008D79F6"/>
    <w:rsid w:val="008D7E60"/>
    <w:rsid w:val="008E34BF"/>
    <w:rsid w:val="008E382B"/>
    <w:rsid w:val="008F1C82"/>
    <w:rsid w:val="008F213B"/>
    <w:rsid w:val="008F35FC"/>
    <w:rsid w:val="008F3E07"/>
    <w:rsid w:val="008F5671"/>
    <w:rsid w:val="008F588B"/>
    <w:rsid w:val="008F5954"/>
    <w:rsid w:val="008F59B0"/>
    <w:rsid w:val="008F650E"/>
    <w:rsid w:val="008F7787"/>
    <w:rsid w:val="009006E2"/>
    <w:rsid w:val="00900B3F"/>
    <w:rsid w:val="00901F36"/>
    <w:rsid w:val="00903A0C"/>
    <w:rsid w:val="00907146"/>
    <w:rsid w:val="009148A9"/>
    <w:rsid w:val="00914E61"/>
    <w:rsid w:val="00915200"/>
    <w:rsid w:val="00915A77"/>
    <w:rsid w:val="00915B9C"/>
    <w:rsid w:val="0092199E"/>
    <w:rsid w:val="00923432"/>
    <w:rsid w:val="009244AC"/>
    <w:rsid w:val="0092495E"/>
    <w:rsid w:val="009259B5"/>
    <w:rsid w:val="0092682D"/>
    <w:rsid w:val="00927059"/>
    <w:rsid w:val="00930F4A"/>
    <w:rsid w:val="009324D2"/>
    <w:rsid w:val="00934C3A"/>
    <w:rsid w:val="009364FA"/>
    <w:rsid w:val="00941328"/>
    <w:rsid w:val="0094457B"/>
    <w:rsid w:val="009504F0"/>
    <w:rsid w:val="00950BBB"/>
    <w:rsid w:val="0095153A"/>
    <w:rsid w:val="00952262"/>
    <w:rsid w:val="00952DEE"/>
    <w:rsid w:val="0095493D"/>
    <w:rsid w:val="009568D0"/>
    <w:rsid w:val="009577A9"/>
    <w:rsid w:val="0096035D"/>
    <w:rsid w:val="00964DA9"/>
    <w:rsid w:val="009655D6"/>
    <w:rsid w:val="00966A12"/>
    <w:rsid w:val="00966A7D"/>
    <w:rsid w:val="009672FC"/>
    <w:rsid w:val="00967528"/>
    <w:rsid w:val="00967607"/>
    <w:rsid w:val="00967B89"/>
    <w:rsid w:val="009740F5"/>
    <w:rsid w:val="00974B31"/>
    <w:rsid w:val="00974F4B"/>
    <w:rsid w:val="00975C84"/>
    <w:rsid w:val="00980514"/>
    <w:rsid w:val="00980562"/>
    <w:rsid w:val="009805D8"/>
    <w:rsid w:val="0098078A"/>
    <w:rsid w:val="00981D3C"/>
    <w:rsid w:val="00983369"/>
    <w:rsid w:val="00983472"/>
    <w:rsid w:val="00983DD5"/>
    <w:rsid w:val="0098429E"/>
    <w:rsid w:val="00986027"/>
    <w:rsid w:val="00987DBC"/>
    <w:rsid w:val="00990898"/>
    <w:rsid w:val="00991A45"/>
    <w:rsid w:val="00992296"/>
    <w:rsid w:val="00992426"/>
    <w:rsid w:val="009928BB"/>
    <w:rsid w:val="00997131"/>
    <w:rsid w:val="009A0E3C"/>
    <w:rsid w:val="009A2F62"/>
    <w:rsid w:val="009A340F"/>
    <w:rsid w:val="009A3C2C"/>
    <w:rsid w:val="009A52B2"/>
    <w:rsid w:val="009A7349"/>
    <w:rsid w:val="009A76BF"/>
    <w:rsid w:val="009B14DA"/>
    <w:rsid w:val="009B15DF"/>
    <w:rsid w:val="009B1A8D"/>
    <w:rsid w:val="009B1C0B"/>
    <w:rsid w:val="009B2AEF"/>
    <w:rsid w:val="009B2E61"/>
    <w:rsid w:val="009B6503"/>
    <w:rsid w:val="009C1FF3"/>
    <w:rsid w:val="009C25E9"/>
    <w:rsid w:val="009C48C2"/>
    <w:rsid w:val="009C50E2"/>
    <w:rsid w:val="009C5A85"/>
    <w:rsid w:val="009C660D"/>
    <w:rsid w:val="009C66DB"/>
    <w:rsid w:val="009C6A9B"/>
    <w:rsid w:val="009C6AEE"/>
    <w:rsid w:val="009C777A"/>
    <w:rsid w:val="009C7C63"/>
    <w:rsid w:val="009C7F78"/>
    <w:rsid w:val="009D0196"/>
    <w:rsid w:val="009D0FAE"/>
    <w:rsid w:val="009D26B7"/>
    <w:rsid w:val="009D6E39"/>
    <w:rsid w:val="009E187D"/>
    <w:rsid w:val="009E56D4"/>
    <w:rsid w:val="009E5872"/>
    <w:rsid w:val="009E5C33"/>
    <w:rsid w:val="009E73BC"/>
    <w:rsid w:val="009F044A"/>
    <w:rsid w:val="009F08A1"/>
    <w:rsid w:val="009F1EF4"/>
    <w:rsid w:val="009F23F6"/>
    <w:rsid w:val="009F2424"/>
    <w:rsid w:val="009F541E"/>
    <w:rsid w:val="009F6117"/>
    <w:rsid w:val="009F61DF"/>
    <w:rsid w:val="009F6C54"/>
    <w:rsid w:val="00A001B7"/>
    <w:rsid w:val="00A021ED"/>
    <w:rsid w:val="00A0627B"/>
    <w:rsid w:val="00A068D2"/>
    <w:rsid w:val="00A07515"/>
    <w:rsid w:val="00A07780"/>
    <w:rsid w:val="00A108CF"/>
    <w:rsid w:val="00A13F76"/>
    <w:rsid w:val="00A14C7C"/>
    <w:rsid w:val="00A14ED0"/>
    <w:rsid w:val="00A16773"/>
    <w:rsid w:val="00A17AE6"/>
    <w:rsid w:val="00A20068"/>
    <w:rsid w:val="00A237AA"/>
    <w:rsid w:val="00A248C2"/>
    <w:rsid w:val="00A252A7"/>
    <w:rsid w:val="00A2769F"/>
    <w:rsid w:val="00A310BA"/>
    <w:rsid w:val="00A311DA"/>
    <w:rsid w:val="00A3164E"/>
    <w:rsid w:val="00A329C9"/>
    <w:rsid w:val="00A33DFE"/>
    <w:rsid w:val="00A3481C"/>
    <w:rsid w:val="00A34A9E"/>
    <w:rsid w:val="00A34B30"/>
    <w:rsid w:val="00A35FBC"/>
    <w:rsid w:val="00A40B91"/>
    <w:rsid w:val="00A41BB8"/>
    <w:rsid w:val="00A45C7A"/>
    <w:rsid w:val="00A46BF6"/>
    <w:rsid w:val="00A47243"/>
    <w:rsid w:val="00A47E9D"/>
    <w:rsid w:val="00A501BF"/>
    <w:rsid w:val="00A50917"/>
    <w:rsid w:val="00A520C7"/>
    <w:rsid w:val="00A55671"/>
    <w:rsid w:val="00A563AE"/>
    <w:rsid w:val="00A60950"/>
    <w:rsid w:val="00A61619"/>
    <w:rsid w:val="00A61BB5"/>
    <w:rsid w:val="00A6332F"/>
    <w:rsid w:val="00A642B5"/>
    <w:rsid w:val="00A65C48"/>
    <w:rsid w:val="00A70018"/>
    <w:rsid w:val="00A709EB"/>
    <w:rsid w:val="00A73041"/>
    <w:rsid w:val="00A73D64"/>
    <w:rsid w:val="00A744E1"/>
    <w:rsid w:val="00A75FDB"/>
    <w:rsid w:val="00A85207"/>
    <w:rsid w:val="00A87ED1"/>
    <w:rsid w:val="00A9093C"/>
    <w:rsid w:val="00A92E5F"/>
    <w:rsid w:val="00A9303A"/>
    <w:rsid w:val="00A94337"/>
    <w:rsid w:val="00A94CA4"/>
    <w:rsid w:val="00AA0586"/>
    <w:rsid w:val="00AA34DB"/>
    <w:rsid w:val="00AA4846"/>
    <w:rsid w:val="00AA4E49"/>
    <w:rsid w:val="00AA59FC"/>
    <w:rsid w:val="00AA5E00"/>
    <w:rsid w:val="00AA716D"/>
    <w:rsid w:val="00AB010E"/>
    <w:rsid w:val="00AB2CAD"/>
    <w:rsid w:val="00AB51EE"/>
    <w:rsid w:val="00AB7146"/>
    <w:rsid w:val="00AB7C43"/>
    <w:rsid w:val="00AC052B"/>
    <w:rsid w:val="00AC0A26"/>
    <w:rsid w:val="00AC26C2"/>
    <w:rsid w:val="00AC38A6"/>
    <w:rsid w:val="00AC479B"/>
    <w:rsid w:val="00AC7968"/>
    <w:rsid w:val="00AC7B1C"/>
    <w:rsid w:val="00AD067F"/>
    <w:rsid w:val="00AD0830"/>
    <w:rsid w:val="00AD131D"/>
    <w:rsid w:val="00AD40EB"/>
    <w:rsid w:val="00AD4E9C"/>
    <w:rsid w:val="00AE09F4"/>
    <w:rsid w:val="00AE3A79"/>
    <w:rsid w:val="00AE61F5"/>
    <w:rsid w:val="00AF2E4B"/>
    <w:rsid w:val="00AF4A5C"/>
    <w:rsid w:val="00AF4C35"/>
    <w:rsid w:val="00AF4F47"/>
    <w:rsid w:val="00AF521E"/>
    <w:rsid w:val="00AF53B1"/>
    <w:rsid w:val="00AF59C8"/>
    <w:rsid w:val="00AF6C78"/>
    <w:rsid w:val="00B008AF"/>
    <w:rsid w:val="00B03EC1"/>
    <w:rsid w:val="00B0599C"/>
    <w:rsid w:val="00B06267"/>
    <w:rsid w:val="00B066D6"/>
    <w:rsid w:val="00B10021"/>
    <w:rsid w:val="00B1008D"/>
    <w:rsid w:val="00B1378E"/>
    <w:rsid w:val="00B13AD7"/>
    <w:rsid w:val="00B15405"/>
    <w:rsid w:val="00B1642D"/>
    <w:rsid w:val="00B16FA4"/>
    <w:rsid w:val="00B170CF"/>
    <w:rsid w:val="00B17C81"/>
    <w:rsid w:val="00B21C0A"/>
    <w:rsid w:val="00B225C5"/>
    <w:rsid w:val="00B26BE9"/>
    <w:rsid w:val="00B26E58"/>
    <w:rsid w:val="00B27C12"/>
    <w:rsid w:val="00B303C5"/>
    <w:rsid w:val="00B30D30"/>
    <w:rsid w:val="00B3199E"/>
    <w:rsid w:val="00B323AA"/>
    <w:rsid w:val="00B32E91"/>
    <w:rsid w:val="00B35194"/>
    <w:rsid w:val="00B355A7"/>
    <w:rsid w:val="00B365E9"/>
    <w:rsid w:val="00B41646"/>
    <w:rsid w:val="00B41BA9"/>
    <w:rsid w:val="00B42756"/>
    <w:rsid w:val="00B42B20"/>
    <w:rsid w:val="00B44974"/>
    <w:rsid w:val="00B5086F"/>
    <w:rsid w:val="00B52AD2"/>
    <w:rsid w:val="00B531D9"/>
    <w:rsid w:val="00B5332B"/>
    <w:rsid w:val="00B53DB4"/>
    <w:rsid w:val="00B544F7"/>
    <w:rsid w:val="00B60BF4"/>
    <w:rsid w:val="00B63504"/>
    <w:rsid w:val="00B71C4B"/>
    <w:rsid w:val="00B71D41"/>
    <w:rsid w:val="00B72440"/>
    <w:rsid w:val="00B72C89"/>
    <w:rsid w:val="00B72F91"/>
    <w:rsid w:val="00B73D27"/>
    <w:rsid w:val="00B75F4C"/>
    <w:rsid w:val="00B76B84"/>
    <w:rsid w:val="00B77FBA"/>
    <w:rsid w:val="00B803B6"/>
    <w:rsid w:val="00B828DD"/>
    <w:rsid w:val="00B82B8A"/>
    <w:rsid w:val="00B838BF"/>
    <w:rsid w:val="00B85533"/>
    <w:rsid w:val="00B857B0"/>
    <w:rsid w:val="00B85824"/>
    <w:rsid w:val="00B86DA0"/>
    <w:rsid w:val="00B87CD8"/>
    <w:rsid w:val="00B918A6"/>
    <w:rsid w:val="00B92938"/>
    <w:rsid w:val="00B937D1"/>
    <w:rsid w:val="00B947BC"/>
    <w:rsid w:val="00B947E5"/>
    <w:rsid w:val="00B94E75"/>
    <w:rsid w:val="00B952B6"/>
    <w:rsid w:val="00B95557"/>
    <w:rsid w:val="00B95B27"/>
    <w:rsid w:val="00BA08D3"/>
    <w:rsid w:val="00BA0A86"/>
    <w:rsid w:val="00BA163D"/>
    <w:rsid w:val="00BA1725"/>
    <w:rsid w:val="00BA2374"/>
    <w:rsid w:val="00BA27E8"/>
    <w:rsid w:val="00BA38D7"/>
    <w:rsid w:val="00BA4DA0"/>
    <w:rsid w:val="00BA564E"/>
    <w:rsid w:val="00BB0758"/>
    <w:rsid w:val="00BB1EC5"/>
    <w:rsid w:val="00BB2BC9"/>
    <w:rsid w:val="00BB3402"/>
    <w:rsid w:val="00BB34CF"/>
    <w:rsid w:val="00BB3728"/>
    <w:rsid w:val="00BB52BC"/>
    <w:rsid w:val="00BB7AC2"/>
    <w:rsid w:val="00BC2609"/>
    <w:rsid w:val="00BC4F0B"/>
    <w:rsid w:val="00BC665C"/>
    <w:rsid w:val="00BC6BE6"/>
    <w:rsid w:val="00BD02AC"/>
    <w:rsid w:val="00BD31CC"/>
    <w:rsid w:val="00BD3226"/>
    <w:rsid w:val="00BD32C9"/>
    <w:rsid w:val="00BD3F3B"/>
    <w:rsid w:val="00BD5D5E"/>
    <w:rsid w:val="00BE076A"/>
    <w:rsid w:val="00BE2287"/>
    <w:rsid w:val="00BE3DC9"/>
    <w:rsid w:val="00BF0D5E"/>
    <w:rsid w:val="00BF22E8"/>
    <w:rsid w:val="00BF39D4"/>
    <w:rsid w:val="00BF4B52"/>
    <w:rsid w:val="00BF7D0C"/>
    <w:rsid w:val="00C0057F"/>
    <w:rsid w:val="00C009F1"/>
    <w:rsid w:val="00C01DF2"/>
    <w:rsid w:val="00C04539"/>
    <w:rsid w:val="00C0463C"/>
    <w:rsid w:val="00C0582E"/>
    <w:rsid w:val="00C05B04"/>
    <w:rsid w:val="00C1083B"/>
    <w:rsid w:val="00C12222"/>
    <w:rsid w:val="00C125D3"/>
    <w:rsid w:val="00C15B00"/>
    <w:rsid w:val="00C15F1C"/>
    <w:rsid w:val="00C16350"/>
    <w:rsid w:val="00C16410"/>
    <w:rsid w:val="00C1778E"/>
    <w:rsid w:val="00C17C35"/>
    <w:rsid w:val="00C206F8"/>
    <w:rsid w:val="00C23544"/>
    <w:rsid w:val="00C23A6C"/>
    <w:rsid w:val="00C302D3"/>
    <w:rsid w:val="00C3353B"/>
    <w:rsid w:val="00C3522F"/>
    <w:rsid w:val="00C41101"/>
    <w:rsid w:val="00C42AD0"/>
    <w:rsid w:val="00C4353B"/>
    <w:rsid w:val="00C43EAA"/>
    <w:rsid w:val="00C453FF"/>
    <w:rsid w:val="00C47F13"/>
    <w:rsid w:val="00C5005F"/>
    <w:rsid w:val="00C50884"/>
    <w:rsid w:val="00C50D93"/>
    <w:rsid w:val="00C515F9"/>
    <w:rsid w:val="00C52016"/>
    <w:rsid w:val="00C526FA"/>
    <w:rsid w:val="00C52F06"/>
    <w:rsid w:val="00C52F93"/>
    <w:rsid w:val="00C530E9"/>
    <w:rsid w:val="00C5341D"/>
    <w:rsid w:val="00C569E3"/>
    <w:rsid w:val="00C5706F"/>
    <w:rsid w:val="00C57B66"/>
    <w:rsid w:val="00C63B67"/>
    <w:rsid w:val="00C666B4"/>
    <w:rsid w:val="00C6767D"/>
    <w:rsid w:val="00C67827"/>
    <w:rsid w:val="00C73135"/>
    <w:rsid w:val="00C73C17"/>
    <w:rsid w:val="00C742CF"/>
    <w:rsid w:val="00C75E86"/>
    <w:rsid w:val="00C8046A"/>
    <w:rsid w:val="00C8206E"/>
    <w:rsid w:val="00C84E2D"/>
    <w:rsid w:val="00C84E69"/>
    <w:rsid w:val="00C8657D"/>
    <w:rsid w:val="00C870A8"/>
    <w:rsid w:val="00C8769D"/>
    <w:rsid w:val="00C87D47"/>
    <w:rsid w:val="00C9016E"/>
    <w:rsid w:val="00C93090"/>
    <w:rsid w:val="00C93ACC"/>
    <w:rsid w:val="00C94FEC"/>
    <w:rsid w:val="00C97235"/>
    <w:rsid w:val="00CA03DC"/>
    <w:rsid w:val="00CA248D"/>
    <w:rsid w:val="00CA5C5D"/>
    <w:rsid w:val="00CB1C1A"/>
    <w:rsid w:val="00CB2C87"/>
    <w:rsid w:val="00CB2E92"/>
    <w:rsid w:val="00CB4153"/>
    <w:rsid w:val="00CB7238"/>
    <w:rsid w:val="00CB7467"/>
    <w:rsid w:val="00CB767A"/>
    <w:rsid w:val="00CC0935"/>
    <w:rsid w:val="00CC0D5B"/>
    <w:rsid w:val="00CC2C32"/>
    <w:rsid w:val="00CC77F0"/>
    <w:rsid w:val="00CD00B1"/>
    <w:rsid w:val="00CD174B"/>
    <w:rsid w:val="00CD41CA"/>
    <w:rsid w:val="00CD46C4"/>
    <w:rsid w:val="00CD49EE"/>
    <w:rsid w:val="00CE32B0"/>
    <w:rsid w:val="00CE3869"/>
    <w:rsid w:val="00CF2A82"/>
    <w:rsid w:val="00CF3A35"/>
    <w:rsid w:val="00CF41A8"/>
    <w:rsid w:val="00CF6EB1"/>
    <w:rsid w:val="00CF6F8C"/>
    <w:rsid w:val="00CF757D"/>
    <w:rsid w:val="00D016D6"/>
    <w:rsid w:val="00D01D5F"/>
    <w:rsid w:val="00D031C6"/>
    <w:rsid w:val="00D0342B"/>
    <w:rsid w:val="00D0363D"/>
    <w:rsid w:val="00D06513"/>
    <w:rsid w:val="00D06A0B"/>
    <w:rsid w:val="00D06BCC"/>
    <w:rsid w:val="00D0788F"/>
    <w:rsid w:val="00D1692E"/>
    <w:rsid w:val="00D16E48"/>
    <w:rsid w:val="00D177FC"/>
    <w:rsid w:val="00D17DA3"/>
    <w:rsid w:val="00D2042B"/>
    <w:rsid w:val="00D21BCE"/>
    <w:rsid w:val="00D2402C"/>
    <w:rsid w:val="00D2437B"/>
    <w:rsid w:val="00D25059"/>
    <w:rsid w:val="00D278B6"/>
    <w:rsid w:val="00D301AA"/>
    <w:rsid w:val="00D34EB7"/>
    <w:rsid w:val="00D40B5F"/>
    <w:rsid w:val="00D40F3B"/>
    <w:rsid w:val="00D45AA9"/>
    <w:rsid w:val="00D46702"/>
    <w:rsid w:val="00D47753"/>
    <w:rsid w:val="00D47CF8"/>
    <w:rsid w:val="00D50648"/>
    <w:rsid w:val="00D51643"/>
    <w:rsid w:val="00D51DAA"/>
    <w:rsid w:val="00D5263D"/>
    <w:rsid w:val="00D52C75"/>
    <w:rsid w:val="00D543B8"/>
    <w:rsid w:val="00D55263"/>
    <w:rsid w:val="00D55E95"/>
    <w:rsid w:val="00D618A8"/>
    <w:rsid w:val="00D61B54"/>
    <w:rsid w:val="00D65385"/>
    <w:rsid w:val="00D65D59"/>
    <w:rsid w:val="00D72F3E"/>
    <w:rsid w:val="00D7357B"/>
    <w:rsid w:val="00D737F3"/>
    <w:rsid w:val="00D73A7E"/>
    <w:rsid w:val="00D73E03"/>
    <w:rsid w:val="00D74929"/>
    <w:rsid w:val="00D75496"/>
    <w:rsid w:val="00D775C1"/>
    <w:rsid w:val="00D7773F"/>
    <w:rsid w:val="00D812AB"/>
    <w:rsid w:val="00D81456"/>
    <w:rsid w:val="00D85105"/>
    <w:rsid w:val="00D856DD"/>
    <w:rsid w:val="00D86F64"/>
    <w:rsid w:val="00D9280B"/>
    <w:rsid w:val="00D97A66"/>
    <w:rsid w:val="00DA0532"/>
    <w:rsid w:val="00DA22F9"/>
    <w:rsid w:val="00DA50D5"/>
    <w:rsid w:val="00DB0D88"/>
    <w:rsid w:val="00DB133B"/>
    <w:rsid w:val="00DB2D4A"/>
    <w:rsid w:val="00DB488E"/>
    <w:rsid w:val="00DB52CC"/>
    <w:rsid w:val="00DC0324"/>
    <w:rsid w:val="00DC0C0E"/>
    <w:rsid w:val="00DC10E6"/>
    <w:rsid w:val="00DC2701"/>
    <w:rsid w:val="00DC3430"/>
    <w:rsid w:val="00DC4297"/>
    <w:rsid w:val="00DC5B69"/>
    <w:rsid w:val="00DC6379"/>
    <w:rsid w:val="00DC7E96"/>
    <w:rsid w:val="00DD3DE5"/>
    <w:rsid w:val="00DD481D"/>
    <w:rsid w:val="00DD5DFC"/>
    <w:rsid w:val="00DD7483"/>
    <w:rsid w:val="00DD78E3"/>
    <w:rsid w:val="00DE1536"/>
    <w:rsid w:val="00DE2116"/>
    <w:rsid w:val="00DE29BB"/>
    <w:rsid w:val="00DE32CB"/>
    <w:rsid w:val="00DE43A7"/>
    <w:rsid w:val="00DE60B1"/>
    <w:rsid w:val="00DE74ED"/>
    <w:rsid w:val="00DE7BF7"/>
    <w:rsid w:val="00DF1281"/>
    <w:rsid w:val="00DF315D"/>
    <w:rsid w:val="00DF3A6E"/>
    <w:rsid w:val="00DF498C"/>
    <w:rsid w:val="00DF59B8"/>
    <w:rsid w:val="00DF5AC1"/>
    <w:rsid w:val="00DF788C"/>
    <w:rsid w:val="00E00062"/>
    <w:rsid w:val="00E0155D"/>
    <w:rsid w:val="00E02F31"/>
    <w:rsid w:val="00E03F89"/>
    <w:rsid w:val="00E04FED"/>
    <w:rsid w:val="00E0628C"/>
    <w:rsid w:val="00E07BEC"/>
    <w:rsid w:val="00E10DAB"/>
    <w:rsid w:val="00E162B2"/>
    <w:rsid w:val="00E2360B"/>
    <w:rsid w:val="00E25D29"/>
    <w:rsid w:val="00E261D5"/>
    <w:rsid w:val="00E265F8"/>
    <w:rsid w:val="00E27A97"/>
    <w:rsid w:val="00E32292"/>
    <w:rsid w:val="00E34ED3"/>
    <w:rsid w:val="00E35450"/>
    <w:rsid w:val="00E40910"/>
    <w:rsid w:val="00E4533D"/>
    <w:rsid w:val="00E454E9"/>
    <w:rsid w:val="00E47CF1"/>
    <w:rsid w:val="00E50B6D"/>
    <w:rsid w:val="00E52825"/>
    <w:rsid w:val="00E53066"/>
    <w:rsid w:val="00E53131"/>
    <w:rsid w:val="00E5412F"/>
    <w:rsid w:val="00E554D2"/>
    <w:rsid w:val="00E56448"/>
    <w:rsid w:val="00E605E5"/>
    <w:rsid w:val="00E619D5"/>
    <w:rsid w:val="00E61ECB"/>
    <w:rsid w:val="00E645B5"/>
    <w:rsid w:val="00E65AC5"/>
    <w:rsid w:val="00E66CF3"/>
    <w:rsid w:val="00E673B4"/>
    <w:rsid w:val="00E6752D"/>
    <w:rsid w:val="00E6785B"/>
    <w:rsid w:val="00E72386"/>
    <w:rsid w:val="00E730FA"/>
    <w:rsid w:val="00E75096"/>
    <w:rsid w:val="00E750C8"/>
    <w:rsid w:val="00E76DDC"/>
    <w:rsid w:val="00E7747C"/>
    <w:rsid w:val="00E813A6"/>
    <w:rsid w:val="00E82D44"/>
    <w:rsid w:val="00E835DC"/>
    <w:rsid w:val="00E83D3D"/>
    <w:rsid w:val="00E84CA8"/>
    <w:rsid w:val="00E901A0"/>
    <w:rsid w:val="00E91BC9"/>
    <w:rsid w:val="00E97C68"/>
    <w:rsid w:val="00EA0BF3"/>
    <w:rsid w:val="00EA2387"/>
    <w:rsid w:val="00EA28E1"/>
    <w:rsid w:val="00EA44E0"/>
    <w:rsid w:val="00EA6F7A"/>
    <w:rsid w:val="00EA70A4"/>
    <w:rsid w:val="00EB240C"/>
    <w:rsid w:val="00EB3DC1"/>
    <w:rsid w:val="00EB704F"/>
    <w:rsid w:val="00EC062C"/>
    <w:rsid w:val="00EC06BF"/>
    <w:rsid w:val="00EC13F3"/>
    <w:rsid w:val="00EC2FF2"/>
    <w:rsid w:val="00EC3CBF"/>
    <w:rsid w:val="00EC4461"/>
    <w:rsid w:val="00EC490F"/>
    <w:rsid w:val="00EC4DFA"/>
    <w:rsid w:val="00EC6C5C"/>
    <w:rsid w:val="00EC7610"/>
    <w:rsid w:val="00ED0EB3"/>
    <w:rsid w:val="00ED53F8"/>
    <w:rsid w:val="00ED6795"/>
    <w:rsid w:val="00ED79E9"/>
    <w:rsid w:val="00EE16DD"/>
    <w:rsid w:val="00EE20B6"/>
    <w:rsid w:val="00EE2C1A"/>
    <w:rsid w:val="00EE5817"/>
    <w:rsid w:val="00EE5E55"/>
    <w:rsid w:val="00EE5FC9"/>
    <w:rsid w:val="00EF0042"/>
    <w:rsid w:val="00EF04CC"/>
    <w:rsid w:val="00EF1FB6"/>
    <w:rsid w:val="00EF283B"/>
    <w:rsid w:val="00EF336A"/>
    <w:rsid w:val="00EF4C20"/>
    <w:rsid w:val="00EF4F40"/>
    <w:rsid w:val="00EF7822"/>
    <w:rsid w:val="00F03FC0"/>
    <w:rsid w:val="00F04CE8"/>
    <w:rsid w:val="00F06698"/>
    <w:rsid w:val="00F06E2A"/>
    <w:rsid w:val="00F12A1A"/>
    <w:rsid w:val="00F146E8"/>
    <w:rsid w:val="00F16D39"/>
    <w:rsid w:val="00F17A51"/>
    <w:rsid w:val="00F2049F"/>
    <w:rsid w:val="00F23BE1"/>
    <w:rsid w:val="00F24FCF"/>
    <w:rsid w:val="00F27BD8"/>
    <w:rsid w:val="00F31EB4"/>
    <w:rsid w:val="00F340CA"/>
    <w:rsid w:val="00F344FA"/>
    <w:rsid w:val="00F371ED"/>
    <w:rsid w:val="00F40134"/>
    <w:rsid w:val="00F43B5C"/>
    <w:rsid w:val="00F44AEC"/>
    <w:rsid w:val="00F44B33"/>
    <w:rsid w:val="00F468FB"/>
    <w:rsid w:val="00F46EBC"/>
    <w:rsid w:val="00F50E2A"/>
    <w:rsid w:val="00F511E9"/>
    <w:rsid w:val="00F54089"/>
    <w:rsid w:val="00F5519A"/>
    <w:rsid w:val="00F55C3D"/>
    <w:rsid w:val="00F5683F"/>
    <w:rsid w:val="00F60555"/>
    <w:rsid w:val="00F60A72"/>
    <w:rsid w:val="00F61B56"/>
    <w:rsid w:val="00F65945"/>
    <w:rsid w:val="00F663A8"/>
    <w:rsid w:val="00F72E78"/>
    <w:rsid w:val="00F740A2"/>
    <w:rsid w:val="00F765D5"/>
    <w:rsid w:val="00F7745A"/>
    <w:rsid w:val="00F774FF"/>
    <w:rsid w:val="00F8132B"/>
    <w:rsid w:val="00F82261"/>
    <w:rsid w:val="00F82CA3"/>
    <w:rsid w:val="00F83D45"/>
    <w:rsid w:val="00F85A45"/>
    <w:rsid w:val="00F85BA4"/>
    <w:rsid w:val="00F92840"/>
    <w:rsid w:val="00F94C94"/>
    <w:rsid w:val="00F96A4D"/>
    <w:rsid w:val="00F973F5"/>
    <w:rsid w:val="00F977F6"/>
    <w:rsid w:val="00FA015A"/>
    <w:rsid w:val="00FA5AE6"/>
    <w:rsid w:val="00FB24DB"/>
    <w:rsid w:val="00FB34F2"/>
    <w:rsid w:val="00FB4CBB"/>
    <w:rsid w:val="00FB6952"/>
    <w:rsid w:val="00FB7AE1"/>
    <w:rsid w:val="00FB7EF8"/>
    <w:rsid w:val="00FC1FD0"/>
    <w:rsid w:val="00FC40E3"/>
    <w:rsid w:val="00FC4B16"/>
    <w:rsid w:val="00FD0129"/>
    <w:rsid w:val="00FD1B55"/>
    <w:rsid w:val="00FD23A0"/>
    <w:rsid w:val="00FD4E6B"/>
    <w:rsid w:val="00FD7C17"/>
    <w:rsid w:val="00FE204E"/>
    <w:rsid w:val="00FE32B0"/>
    <w:rsid w:val="00FE4C16"/>
    <w:rsid w:val="00FE4F39"/>
    <w:rsid w:val="00FE52CE"/>
    <w:rsid w:val="00FE544E"/>
    <w:rsid w:val="00FF07B2"/>
    <w:rsid w:val="00FF21A4"/>
    <w:rsid w:val="00FF43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934C3A"/>
    <w:rPr>
      <w:rFonts w:ascii="Koop Office" w:hAnsi="Koop Office"/>
      <w:sz w:val="22"/>
      <w:szCs w:val="24"/>
    </w:rPr>
  </w:style>
  <w:style w:type="paragraph" w:styleId="Nadpis1">
    <w:name w:val="heading 1"/>
    <w:basedOn w:val="Normln"/>
    <w:next w:val="Normln"/>
    <w:link w:val="Nadpis1Char"/>
    <w:uiPriority w:val="99"/>
    <w:qFormat/>
    <w:rsid w:val="00AF59C8"/>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AF59C8"/>
    <w:pPr>
      <w:keepNext/>
      <w:numPr>
        <w:ilvl w:val="1"/>
        <w:numId w:val="1"/>
      </w:numPr>
      <w:spacing w:before="240" w:after="60"/>
      <w:outlineLvl w:val="1"/>
    </w:pPr>
    <w:rPr>
      <w:bCs/>
      <w:iCs/>
      <w:sz w:val="28"/>
      <w:szCs w:val="28"/>
    </w:rPr>
  </w:style>
  <w:style w:type="paragraph" w:styleId="Nadpis3">
    <w:name w:val="heading 3"/>
    <w:basedOn w:val="Normln"/>
    <w:next w:val="Normln"/>
    <w:link w:val="Nadpis3Char"/>
    <w:uiPriority w:val="99"/>
    <w:qFormat/>
    <w:rsid w:val="00AF59C8"/>
    <w:pPr>
      <w:keepNext/>
      <w:numPr>
        <w:ilvl w:val="2"/>
        <w:numId w:val="1"/>
      </w:numPr>
      <w:spacing w:before="240" w:after="60"/>
      <w:outlineLvl w:val="2"/>
    </w:pPr>
    <w:rPr>
      <w:b/>
      <w:bCs/>
      <w:szCs w:val="26"/>
    </w:rPr>
  </w:style>
  <w:style w:type="paragraph" w:styleId="Nadpis4">
    <w:name w:val="heading 4"/>
    <w:basedOn w:val="Normln"/>
    <w:next w:val="Normln"/>
    <w:link w:val="Nadpis4Char"/>
    <w:uiPriority w:val="99"/>
    <w:qFormat/>
    <w:rsid w:val="00AF59C8"/>
    <w:pPr>
      <w:keepNext/>
      <w:numPr>
        <w:ilvl w:val="3"/>
        <w:numId w:val="1"/>
      </w:numPr>
      <w:spacing w:before="240" w:after="60"/>
      <w:outlineLvl w:val="3"/>
    </w:pPr>
    <w:rPr>
      <w:bCs/>
      <w:szCs w:val="28"/>
    </w:rPr>
  </w:style>
  <w:style w:type="paragraph" w:styleId="Nadpis5">
    <w:name w:val="heading 5"/>
    <w:basedOn w:val="Normln"/>
    <w:next w:val="Normln"/>
    <w:link w:val="Nadpis5Char"/>
    <w:uiPriority w:val="99"/>
    <w:qFormat/>
    <w:rsid w:val="008A03D8"/>
    <w:p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9"/>
    <w:qFormat/>
    <w:rsid w:val="008A03D8"/>
    <w:pPr>
      <w:spacing w:before="240" w:after="60" w:line="276" w:lineRule="auto"/>
      <w:outlineLvl w:val="5"/>
    </w:pPr>
    <w:rPr>
      <w:rFonts w:ascii="Calibri" w:hAnsi="Calibri"/>
      <w:b/>
      <w:bCs/>
      <w:szCs w:val="22"/>
    </w:rPr>
  </w:style>
  <w:style w:type="paragraph" w:styleId="Nadpis7">
    <w:name w:val="heading 7"/>
    <w:basedOn w:val="Normln"/>
    <w:next w:val="Normln"/>
    <w:link w:val="Nadpis7Char"/>
    <w:uiPriority w:val="99"/>
    <w:qFormat/>
    <w:rsid w:val="008A03D8"/>
    <w:pPr>
      <w:spacing w:before="240" w:after="60"/>
      <w:outlineLvl w:val="6"/>
    </w:pPr>
    <w:rPr>
      <w:rFonts w:ascii="Calibri" w:hAnsi="Calibri"/>
      <w:sz w:val="24"/>
    </w:rPr>
  </w:style>
  <w:style w:type="paragraph" w:styleId="Nadpis8">
    <w:name w:val="heading 8"/>
    <w:basedOn w:val="Normln"/>
    <w:next w:val="Normln"/>
    <w:link w:val="Nadpis8Char"/>
    <w:uiPriority w:val="99"/>
    <w:qFormat/>
    <w:rsid w:val="008A03D8"/>
    <w:pPr>
      <w:spacing w:before="240" w:after="60"/>
      <w:outlineLvl w:val="7"/>
    </w:pPr>
    <w:rPr>
      <w:rFonts w:ascii="Times New Roman" w:hAnsi="Times New Roman"/>
      <w:i/>
      <w:iCs/>
      <w:sz w:val="24"/>
    </w:rPr>
  </w:style>
  <w:style w:type="paragraph" w:styleId="Nadpis9">
    <w:name w:val="heading 9"/>
    <w:basedOn w:val="Normln"/>
    <w:next w:val="Normln"/>
    <w:link w:val="Nadpis9Char"/>
    <w:uiPriority w:val="99"/>
    <w:qFormat/>
    <w:rsid w:val="008A03D8"/>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A03D8"/>
    <w:rPr>
      <w:rFonts w:ascii="Koop Office" w:hAnsi="Koop Office" w:cs="Times New Roman"/>
      <w:kern w:val="32"/>
      <w:sz w:val="32"/>
      <w:lang w:val="cs-CZ" w:eastAsia="cs-CZ"/>
    </w:rPr>
  </w:style>
  <w:style w:type="character" w:customStyle="1" w:styleId="Nadpis2Char">
    <w:name w:val="Nadpis 2 Char"/>
    <w:link w:val="Nadpis2"/>
    <w:uiPriority w:val="99"/>
    <w:locked/>
    <w:rsid w:val="008A03D8"/>
    <w:rPr>
      <w:rFonts w:ascii="Koop Office" w:hAnsi="Koop Office" w:cs="Times New Roman"/>
      <w:sz w:val="28"/>
      <w:lang w:val="cs-CZ" w:eastAsia="cs-CZ"/>
    </w:rPr>
  </w:style>
  <w:style w:type="character" w:customStyle="1" w:styleId="Nadpis3Char">
    <w:name w:val="Nadpis 3 Char"/>
    <w:link w:val="Nadpis3"/>
    <w:uiPriority w:val="99"/>
    <w:locked/>
    <w:rsid w:val="008A03D8"/>
    <w:rPr>
      <w:rFonts w:ascii="Koop Office" w:hAnsi="Koop Office" w:cs="Times New Roman"/>
      <w:b/>
      <w:sz w:val="26"/>
      <w:lang w:val="cs-CZ" w:eastAsia="cs-CZ"/>
    </w:rPr>
  </w:style>
  <w:style w:type="character" w:customStyle="1" w:styleId="Nadpis4Char">
    <w:name w:val="Nadpis 4 Char"/>
    <w:link w:val="Nadpis4"/>
    <w:uiPriority w:val="99"/>
    <w:locked/>
    <w:rsid w:val="008A03D8"/>
    <w:rPr>
      <w:rFonts w:ascii="Koop Office" w:hAnsi="Koop Office" w:cs="Times New Roman"/>
      <w:sz w:val="28"/>
      <w:lang w:val="cs-CZ" w:eastAsia="cs-CZ"/>
    </w:rPr>
  </w:style>
  <w:style w:type="character" w:customStyle="1" w:styleId="Nadpis5Char">
    <w:name w:val="Nadpis 5 Char"/>
    <w:link w:val="Nadpis5"/>
    <w:uiPriority w:val="99"/>
    <w:locked/>
    <w:rsid w:val="008A03D8"/>
    <w:rPr>
      <w:rFonts w:ascii="Calibri" w:hAnsi="Calibri" w:cs="Times New Roman"/>
      <w:b/>
      <w:i/>
      <w:sz w:val="26"/>
    </w:rPr>
  </w:style>
  <w:style w:type="character" w:customStyle="1" w:styleId="Nadpis6Char">
    <w:name w:val="Nadpis 6 Char"/>
    <w:link w:val="Nadpis6"/>
    <w:uiPriority w:val="99"/>
    <w:locked/>
    <w:rsid w:val="008A03D8"/>
    <w:rPr>
      <w:rFonts w:ascii="Calibri" w:hAnsi="Calibri" w:cs="Times New Roman"/>
      <w:b/>
      <w:sz w:val="22"/>
    </w:rPr>
  </w:style>
  <w:style w:type="character" w:customStyle="1" w:styleId="Nadpis7Char">
    <w:name w:val="Nadpis 7 Char"/>
    <w:link w:val="Nadpis7"/>
    <w:uiPriority w:val="99"/>
    <w:locked/>
    <w:rsid w:val="008A03D8"/>
    <w:rPr>
      <w:rFonts w:ascii="Calibri" w:hAnsi="Calibri" w:cs="Times New Roman"/>
      <w:sz w:val="24"/>
    </w:rPr>
  </w:style>
  <w:style w:type="character" w:customStyle="1" w:styleId="Nadpis8Char">
    <w:name w:val="Nadpis 8 Char"/>
    <w:link w:val="Nadpis8"/>
    <w:uiPriority w:val="99"/>
    <w:locked/>
    <w:rsid w:val="008A03D8"/>
    <w:rPr>
      <w:rFonts w:cs="Times New Roman"/>
      <w:i/>
      <w:sz w:val="24"/>
    </w:rPr>
  </w:style>
  <w:style w:type="character" w:customStyle="1" w:styleId="Nadpis9Char">
    <w:name w:val="Nadpis 9 Char"/>
    <w:link w:val="Nadpis9"/>
    <w:uiPriority w:val="99"/>
    <w:locked/>
    <w:rsid w:val="008A03D8"/>
    <w:rPr>
      <w:rFonts w:ascii="Arial" w:hAnsi="Arial" w:cs="Times New Roman"/>
      <w:sz w:val="22"/>
    </w:rPr>
  </w:style>
  <w:style w:type="paragraph" w:styleId="Zhlav">
    <w:name w:val="header"/>
    <w:basedOn w:val="Normln"/>
    <w:link w:val="ZhlavChar"/>
    <w:uiPriority w:val="99"/>
    <w:rsid w:val="00AF59C8"/>
    <w:pPr>
      <w:tabs>
        <w:tab w:val="center" w:pos="4536"/>
        <w:tab w:val="right" w:pos="9072"/>
      </w:tabs>
    </w:pPr>
  </w:style>
  <w:style w:type="character" w:customStyle="1" w:styleId="ZhlavChar">
    <w:name w:val="Záhlaví Char"/>
    <w:link w:val="Zhlav"/>
    <w:uiPriority w:val="99"/>
    <w:locked/>
    <w:rsid w:val="008A03D8"/>
    <w:rPr>
      <w:rFonts w:ascii="Koop Office" w:hAnsi="Koop Office" w:cs="Times New Roman"/>
      <w:sz w:val="24"/>
    </w:rPr>
  </w:style>
  <w:style w:type="paragraph" w:styleId="Zpat">
    <w:name w:val="footer"/>
    <w:basedOn w:val="Normln"/>
    <w:link w:val="ZpatChar"/>
    <w:uiPriority w:val="99"/>
    <w:rsid w:val="00AF59C8"/>
    <w:pPr>
      <w:tabs>
        <w:tab w:val="center" w:pos="4536"/>
        <w:tab w:val="right" w:pos="9072"/>
      </w:tabs>
    </w:pPr>
  </w:style>
  <w:style w:type="character" w:customStyle="1" w:styleId="ZpatChar">
    <w:name w:val="Zápatí Char"/>
    <w:link w:val="Zpat"/>
    <w:uiPriority w:val="99"/>
    <w:locked/>
    <w:rsid w:val="008A03D8"/>
    <w:rPr>
      <w:rFonts w:ascii="Koop Office" w:hAnsi="Koop Office" w:cs="Times New Roman"/>
      <w:sz w:val="24"/>
    </w:rPr>
  </w:style>
  <w:style w:type="table" w:styleId="Mkatabulky">
    <w:name w:val="Table Grid"/>
    <w:basedOn w:val="Normlntabulka"/>
    <w:uiPriority w:val="99"/>
    <w:rsid w:val="00516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AF59C8"/>
    <w:rPr>
      <w:rFonts w:ascii="Koop Office" w:hAnsi="Koop Office" w:cs="Times New Roman"/>
      <w:color w:val="0000FF"/>
      <w:u w:val="single"/>
    </w:rPr>
  </w:style>
  <w:style w:type="paragraph" w:styleId="Obsah1">
    <w:name w:val="toc 1"/>
    <w:basedOn w:val="Normln"/>
    <w:next w:val="Normln"/>
    <w:autoRedefine/>
    <w:uiPriority w:val="99"/>
    <w:semiHidden/>
    <w:rsid w:val="00AF59C8"/>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uiPriority w:val="99"/>
    <w:semiHidden/>
    <w:rsid w:val="00AF59C8"/>
    <w:rPr>
      <w:bCs/>
      <w:sz w:val="20"/>
      <w:szCs w:val="22"/>
    </w:rPr>
  </w:style>
  <w:style w:type="paragraph" w:styleId="Obsah3">
    <w:name w:val="toc 3"/>
    <w:basedOn w:val="Normln"/>
    <w:next w:val="Normln"/>
    <w:autoRedefine/>
    <w:uiPriority w:val="99"/>
    <w:semiHidden/>
    <w:rsid w:val="00AF59C8"/>
    <w:rPr>
      <w:sz w:val="20"/>
      <w:szCs w:val="22"/>
    </w:rPr>
  </w:style>
  <w:style w:type="paragraph" w:styleId="Obsah4">
    <w:name w:val="toc 4"/>
    <w:basedOn w:val="Normln"/>
    <w:next w:val="Normln"/>
    <w:autoRedefine/>
    <w:uiPriority w:val="99"/>
    <w:semiHidden/>
    <w:rsid w:val="00AF59C8"/>
    <w:rPr>
      <w:szCs w:val="22"/>
    </w:rPr>
  </w:style>
  <w:style w:type="paragraph" w:customStyle="1" w:styleId="Podnadpis">
    <w:name w:val="Podnadpis"/>
    <w:basedOn w:val="Normln"/>
    <w:uiPriority w:val="99"/>
    <w:rsid w:val="00AF59C8"/>
    <w:rPr>
      <w:b/>
    </w:rPr>
  </w:style>
  <w:style w:type="character" w:styleId="slostrnky">
    <w:name w:val="page number"/>
    <w:uiPriority w:val="99"/>
    <w:rsid w:val="00250903"/>
    <w:rPr>
      <w:rFonts w:cs="Times New Roman"/>
    </w:rPr>
  </w:style>
  <w:style w:type="paragraph" w:customStyle="1" w:styleId="Default">
    <w:name w:val="Default"/>
    <w:uiPriority w:val="99"/>
    <w:rsid w:val="00517364"/>
    <w:pPr>
      <w:autoSpaceDE w:val="0"/>
      <w:autoSpaceDN w:val="0"/>
      <w:adjustRightInd w:val="0"/>
    </w:pPr>
    <w:rPr>
      <w:rFonts w:ascii="Koop Office" w:hAnsi="Koop Office" w:cs="Koop Office"/>
      <w:color w:val="000000"/>
      <w:sz w:val="24"/>
      <w:szCs w:val="24"/>
    </w:rPr>
  </w:style>
  <w:style w:type="paragraph" w:styleId="Zkladntext">
    <w:name w:val="Body Text"/>
    <w:basedOn w:val="Normln"/>
    <w:link w:val="ZkladntextChar"/>
    <w:uiPriority w:val="99"/>
    <w:rsid w:val="008A03D8"/>
    <w:pPr>
      <w:tabs>
        <w:tab w:val="left" w:pos="-720"/>
      </w:tabs>
      <w:spacing w:before="120"/>
      <w:jc w:val="both"/>
    </w:pPr>
    <w:rPr>
      <w:rFonts w:ascii="Arial" w:hAnsi="Arial"/>
      <w:sz w:val="20"/>
    </w:rPr>
  </w:style>
  <w:style w:type="character" w:customStyle="1" w:styleId="ZkladntextChar">
    <w:name w:val="Základní text Char"/>
    <w:link w:val="Zkladntext"/>
    <w:uiPriority w:val="99"/>
    <w:locked/>
    <w:rsid w:val="008A03D8"/>
    <w:rPr>
      <w:rFonts w:ascii="Arial" w:hAnsi="Arial" w:cs="Times New Roman"/>
      <w:sz w:val="24"/>
    </w:rPr>
  </w:style>
  <w:style w:type="paragraph" w:customStyle="1" w:styleId="Tabulkadolokyhlavika">
    <w:name w:val="Tabulka doložky hlavička"/>
    <w:basedOn w:val="Normln"/>
    <w:uiPriority w:val="99"/>
    <w:rsid w:val="008A03D8"/>
    <w:pPr>
      <w:keepNext/>
      <w:jc w:val="center"/>
    </w:pPr>
    <w:rPr>
      <w:rFonts w:ascii="Arial" w:hAnsi="Arial" w:cs="Arial"/>
      <w:b/>
      <w:color w:val="000000"/>
      <w:sz w:val="16"/>
      <w:szCs w:val="16"/>
    </w:rPr>
  </w:style>
  <w:style w:type="paragraph" w:customStyle="1" w:styleId="Tabulkadoloky1sloupec">
    <w:name w:val="Tabulka doložky 1. sloupec"/>
    <w:basedOn w:val="Normln"/>
    <w:uiPriority w:val="99"/>
    <w:rsid w:val="008A03D8"/>
    <w:pPr>
      <w:jc w:val="center"/>
    </w:pPr>
    <w:rPr>
      <w:rFonts w:ascii="Times New Roman" w:hAnsi="Times New Roman" w:cs="Arial"/>
      <w:color w:val="000000"/>
      <w:sz w:val="16"/>
      <w:szCs w:val="16"/>
    </w:rPr>
  </w:style>
  <w:style w:type="paragraph" w:customStyle="1" w:styleId="Tabulkadoloky2sloupec">
    <w:name w:val="Tabulka doložky 2.sloupec"/>
    <w:basedOn w:val="Normln"/>
    <w:uiPriority w:val="99"/>
    <w:rsid w:val="008A03D8"/>
    <w:rPr>
      <w:rFonts w:ascii="Times New Roman" w:hAnsi="Times New Roman" w:cs="Arial"/>
      <w:color w:val="000000"/>
      <w:sz w:val="16"/>
      <w:szCs w:val="16"/>
    </w:rPr>
  </w:style>
  <w:style w:type="paragraph" w:styleId="Zkladntext2">
    <w:name w:val="Body Text 2"/>
    <w:basedOn w:val="Normln"/>
    <w:link w:val="Zkladntext2Char"/>
    <w:uiPriority w:val="99"/>
    <w:rsid w:val="008A03D8"/>
    <w:pPr>
      <w:spacing w:after="120" w:line="480" w:lineRule="auto"/>
    </w:pPr>
    <w:rPr>
      <w:rFonts w:ascii="Times New Roman" w:hAnsi="Times New Roman"/>
      <w:sz w:val="24"/>
    </w:rPr>
  </w:style>
  <w:style w:type="character" w:customStyle="1" w:styleId="Zkladntext2Char">
    <w:name w:val="Základní text 2 Char"/>
    <w:link w:val="Zkladntext2"/>
    <w:uiPriority w:val="99"/>
    <w:locked/>
    <w:rsid w:val="008A03D8"/>
    <w:rPr>
      <w:rFonts w:cs="Times New Roman"/>
      <w:sz w:val="24"/>
    </w:rPr>
  </w:style>
  <w:style w:type="paragraph" w:styleId="Textbubliny">
    <w:name w:val="Balloon Text"/>
    <w:basedOn w:val="Normln"/>
    <w:link w:val="TextbublinyChar"/>
    <w:uiPriority w:val="99"/>
    <w:rsid w:val="008A03D8"/>
    <w:rPr>
      <w:rFonts w:ascii="Tahoma" w:hAnsi="Tahoma"/>
      <w:sz w:val="16"/>
      <w:szCs w:val="16"/>
    </w:rPr>
  </w:style>
  <w:style w:type="character" w:customStyle="1" w:styleId="TextbublinyChar">
    <w:name w:val="Text bubliny Char"/>
    <w:link w:val="Textbubliny"/>
    <w:uiPriority w:val="99"/>
    <w:locked/>
    <w:rsid w:val="008A03D8"/>
    <w:rPr>
      <w:rFonts w:ascii="Tahoma" w:hAnsi="Tahoma" w:cs="Times New Roman"/>
      <w:sz w:val="16"/>
    </w:rPr>
  </w:style>
  <w:style w:type="paragraph" w:customStyle="1" w:styleId="Styl1">
    <w:name w:val="Styl1"/>
    <w:basedOn w:val="Normln"/>
    <w:uiPriority w:val="99"/>
    <w:rsid w:val="008A03D8"/>
    <w:pPr>
      <w:keepNext/>
      <w:jc w:val="both"/>
    </w:pPr>
    <w:rPr>
      <w:rFonts w:ascii="Times New Roman" w:hAnsi="Times New Roman"/>
      <w:b/>
      <w:bCs/>
      <w:sz w:val="18"/>
      <w:szCs w:val="18"/>
    </w:rPr>
  </w:style>
  <w:style w:type="paragraph" w:customStyle="1" w:styleId="Texttabulkykraj">
    <w:name w:val="Text tabulky kraj"/>
    <w:uiPriority w:val="99"/>
    <w:rsid w:val="008A03D8"/>
    <w:pPr>
      <w:jc w:val="center"/>
    </w:pPr>
    <w:rPr>
      <w:rFonts w:ascii="Arial" w:hAnsi="Arial" w:cs="Arial"/>
      <w:color w:val="000000"/>
      <w:sz w:val="16"/>
      <w:szCs w:val="16"/>
    </w:rPr>
  </w:style>
  <w:style w:type="character" w:customStyle="1" w:styleId="StylTitulekArialCharChar">
    <w:name w:val="Styl Titulek + Arial Char Char"/>
    <w:uiPriority w:val="99"/>
    <w:rsid w:val="008A03D8"/>
    <w:rPr>
      <w:rFonts w:ascii="Arial" w:hAnsi="Arial"/>
      <w:b/>
      <w:lang w:val="cs-CZ"/>
    </w:rPr>
  </w:style>
  <w:style w:type="paragraph" w:styleId="Zkladntext3">
    <w:name w:val="Body Text 3"/>
    <w:basedOn w:val="Normln"/>
    <w:link w:val="Zkladntext3Char"/>
    <w:uiPriority w:val="99"/>
    <w:rsid w:val="008A03D8"/>
    <w:pPr>
      <w:spacing w:after="120"/>
    </w:pPr>
    <w:rPr>
      <w:rFonts w:ascii="Times New Roman" w:hAnsi="Times New Roman"/>
      <w:sz w:val="16"/>
      <w:szCs w:val="16"/>
    </w:rPr>
  </w:style>
  <w:style w:type="character" w:customStyle="1" w:styleId="Zkladntext3Char">
    <w:name w:val="Základní text 3 Char"/>
    <w:link w:val="Zkladntext3"/>
    <w:uiPriority w:val="99"/>
    <w:locked/>
    <w:rsid w:val="008A03D8"/>
    <w:rPr>
      <w:rFonts w:cs="Times New Roman"/>
      <w:sz w:val="16"/>
    </w:rPr>
  </w:style>
  <w:style w:type="paragraph" w:styleId="Zkladntextodsazen">
    <w:name w:val="Body Text Indent"/>
    <w:basedOn w:val="Normln"/>
    <w:link w:val="ZkladntextodsazenChar"/>
    <w:uiPriority w:val="99"/>
    <w:rsid w:val="008A03D8"/>
    <w:pPr>
      <w:spacing w:after="120"/>
      <w:ind w:left="283"/>
    </w:pPr>
    <w:rPr>
      <w:rFonts w:ascii="Times New Roman" w:hAnsi="Times New Roman"/>
      <w:sz w:val="24"/>
    </w:rPr>
  </w:style>
  <w:style w:type="character" w:customStyle="1" w:styleId="ZkladntextodsazenChar">
    <w:name w:val="Základní text odsazený Char"/>
    <w:link w:val="Zkladntextodsazen"/>
    <w:uiPriority w:val="99"/>
    <w:locked/>
    <w:rsid w:val="008A03D8"/>
    <w:rPr>
      <w:rFonts w:cs="Times New Roman"/>
      <w:sz w:val="24"/>
    </w:rPr>
  </w:style>
  <w:style w:type="paragraph" w:customStyle="1" w:styleId="bododstVPP">
    <w:name w:val="bod odst. VPP"/>
    <w:basedOn w:val="Normln"/>
    <w:uiPriority w:val="99"/>
    <w:rsid w:val="008A03D8"/>
    <w:pPr>
      <w:widowControl w:val="0"/>
      <w:tabs>
        <w:tab w:val="left" w:pos="181"/>
      </w:tabs>
      <w:jc w:val="both"/>
      <w:outlineLvl w:val="3"/>
    </w:pPr>
    <w:rPr>
      <w:rFonts w:ascii="Arial" w:hAnsi="Arial" w:cs="Arial"/>
      <w:sz w:val="14"/>
      <w:szCs w:val="14"/>
    </w:rPr>
  </w:style>
  <w:style w:type="paragraph" w:styleId="Normlnweb">
    <w:name w:val="Normal (Web)"/>
    <w:basedOn w:val="Normln"/>
    <w:uiPriority w:val="99"/>
    <w:rsid w:val="008A03D8"/>
    <w:pPr>
      <w:spacing w:before="100" w:after="100"/>
    </w:pPr>
    <w:rPr>
      <w:rFonts w:ascii="Arial Unicode MS" w:hAnsi="Arial Unicode MS"/>
      <w:sz w:val="24"/>
    </w:rPr>
  </w:style>
  <w:style w:type="character" w:customStyle="1" w:styleId="zvraznntextVPP">
    <w:name w:val="zvýrazněný text VPP"/>
    <w:uiPriority w:val="99"/>
    <w:rsid w:val="008A03D8"/>
    <w:rPr>
      <w:rFonts w:ascii="Arial" w:hAnsi="Arial"/>
      <w:b/>
      <w:color w:val="auto"/>
      <w:sz w:val="14"/>
      <w:vertAlign w:val="baseline"/>
    </w:rPr>
  </w:style>
  <w:style w:type="paragraph" w:customStyle="1" w:styleId="vkladpojmVPP">
    <w:name w:val="výklad pojmů VPP"/>
    <w:basedOn w:val="Normln"/>
    <w:uiPriority w:val="99"/>
    <w:rsid w:val="008A03D8"/>
    <w:pPr>
      <w:spacing w:before="160"/>
      <w:jc w:val="both"/>
    </w:pPr>
    <w:rPr>
      <w:rFonts w:ascii="Arial" w:hAnsi="Arial" w:cs="Arial"/>
      <w:sz w:val="14"/>
      <w:szCs w:val="14"/>
    </w:rPr>
  </w:style>
  <w:style w:type="paragraph" w:customStyle="1" w:styleId="Rozvrendokumentu1">
    <w:name w:val="Rozvržení dokumentu1"/>
    <w:basedOn w:val="Normln"/>
    <w:link w:val="RozvrendokumentuChar"/>
    <w:uiPriority w:val="99"/>
    <w:rsid w:val="008A03D8"/>
    <w:pPr>
      <w:shd w:val="clear" w:color="auto" w:fill="000080"/>
    </w:pPr>
    <w:rPr>
      <w:rFonts w:ascii="Tahoma" w:hAnsi="Tahoma"/>
      <w:sz w:val="20"/>
      <w:szCs w:val="20"/>
    </w:rPr>
  </w:style>
  <w:style w:type="character" w:customStyle="1" w:styleId="RozvrendokumentuChar">
    <w:name w:val="Rozvržení dokumentu Char"/>
    <w:link w:val="Rozvrendokumentu1"/>
    <w:uiPriority w:val="99"/>
    <w:locked/>
    <w:rsid w:val="008A03D8"/>
    <w:rPr>
      <w:rFonts w:ascii="Tahoma" w:hAnsi="Tahoma"/>
      <w:shd w:val="clear" w:color="auto" w:fill="000080"/>
    </w:rPr>
  </w:style>
  <w:style w:type="paragraph" w:customStyle="1" w:styleId="NormlnZarovnatdobloku">
    <w:name w:val="Normální + Zarovnat do bloku"/>
    <w:aliases w:val="Před:  3 b."/>
    <w:basedOn w:val="Zkladntextodsazen"/>
    <w:uiPriority w:val="99"/>
    <w:rsid w:val="008A03D8"/>
    <w:pPr>
      <w:numPr>
        <w:numId w:val="4"/>
      </w:numPr>
      <w:tabs>
        <w:tab w:val="left" w:pos="426"/>
      </w:tabs>
      <w:spacing w:after="0"/>
      <w:jc w:val="both"/>
    </w:pPr>
    <w:rPr>
      <w:rFonts w:ascii="Arial" w:hAnsi="Arial"/>
      <w:sz w:val="28"/>
      <w:szCs w:val="20"/>
    </w:rPr>
  </w:style>
  <w:style w:type="paragraph" w:styleId="Textkomente">
    <w:name w:val="annotation text"/>
    <w:basedOn w:val="Normln"/>
    <w:link w:val="TextkomenteChar"/>
    <w:uiPriority w:val="99"/>
    <w:rsid w:val="008A03D8"/>
    <w:rPr>
      <w:rFonts w:ascii="Arial" w:hAnsi="Arial"/>
      <w:sz w:val="20"/>
      <w:szCs w:val="20"/>
    </w:rPr>
  </w:style>
  <w:style w:type="character" w:customStyle="1" w:styleId="TextkomenteChar">
    <w:name w:val="Text komentáře Char"/>
    <w:link w:val="Textkomente"/>
    <w:uiPriority w:val="99"/>
    <w:locked/>
    <w:rsid w:val="008A03D8"/>
    <w:rPr>
      <w:rFonts w:ascii="Arial" w:hAnsi="Arial" w:cs="Times New Roman"/>
    </w:rPr>
  </w:style>
  <w:style w:type="paragraph" w:customStyle="1" w:styleId="Texttabulky">
    <w:name w:val="Text tabulky"/>
    <w:uiPriority w:val="99"/>
    <w:rsid w:val="008A03D8"/>
    <w:pPr>
      <w:jc w:val="both"/>
    </w:pPr>
    <w:rPr>
      <w:rFonts w:ascii="Arial" w:hAnsi="Arial"/>
      <w:color w:val="000000"/>
      <w:sz w:val="16"/>
    </w:rPr>
  </w:style>
  <w:style w:type="paragraph" w:customStyle="1" w:styleId="slodstlVPP">
    <w:name w:val="čísl. odst. čl. VPP"/>
    <w:next w:val="Normln"/>
    <w:uiPriority w:val="99"/>
    <w:rsid w:val="008A03D8"/>
    <w:pPr>
      <w:numPr>
        <w:ilvl w:val="2"/>
        <w:numId w:val="5"/>
      </w:numPr>
      <w:tabs>
        <w:tab w:val="left" w:pos="425"/>
      </w:tabs>
      <w:spacing w:before="162"/>
      <w:jc w:val="both"/>
      <w:outlineLvl w:val="2"/>
    </w:pPr>
    <w:rPr>
      <w:rFonts w:ascii="Arial" w:hAnsi="Arial" w:cs="Arial"/>
      <w:sz w:val="14"/>
      <w:szCs w:val="14"/>
    </w:rPr>
  </w:style>
  <w:style w:type="paragraph" w:customStyle="1" w:styleId="lnekVPP">
    <w:name w:val="článek VPP"/>
    <w:next w:val="Normln"/>
    <w:uiPriority w:val="99"/>
    <w:rsid w:val="008A03D8"/>
    <w:pPr>
      <w:keepNext/>
      <w:numPr>
        <w:ilvl w:val="1"/>
        <w:numId w:val="5"/>
      </w:numPr>
      <w:spacing w:before="200"/>
      <w:jc w:val="center"/>
      <w:outlineLvl w:val="1"/>
    </w:pPr>
    <w:rPr>
      <w:rFonts w:ascii="Arial" w:hAnsi="Arial" w:cs="Arial"/>
      <w:b/>
      <w:bCs/>
      <w:sz w:val="14"/>
      <w:szCs w:val="14"/>
    </w:rPr>
  </w:style>
  <w:style w:type="paragraph" w:customStyle="1" w:styleId="podbodVPPsodr">
    <w:name w:val="podbod VPP s odr."/>
    <w:uiPriority w:val="99"/>
    <w:rsid w:val="008A03D8"/>
    <w:pPr>
      <w:numPr>
        <w:ilvl w:val="4"/>
        <w:numId w:val="5"/>
      </w:numPr>
      <w:tabs>
        <w:tab w:val="left" w:pos="295"/>
      </w:tabs>
      <w:jc w:val="both"/>
      <w:outlineLvl w:val="4"/>
    </w:pPr>
    <w:rPr>
      <w:rFonts w:ascii="Arial" w:hAnsi="Arial" w:cs="Arial"/>
      <w:sz w:val="14"/>
      <w:szCs w:val="14"/>
    </w:rPr>
  </w:style>
  <w:style w:type="paragraph" w:customStyle="1" w:styleId="bodVPPsvekmipsmeny">
    <w:name w:val="bod VPP s vekými písmeny"/>
    <w:basedOn w:val="slodstlVPP"/>
    <w:next w:val="bododstVPP"/>
    <w:uiPriority w:val="99"/>
    <w:rsid w:val="008A03D8"/>
    <w:pPr>
      <w:numPr>
        <w:ilvl w:val="7"/>
      </w:numPr>
      <w:spacing w:before="0"/>
      <w:ind w:left="360" w:hanging="360"/>
      <w:outlineLvl w:val="7"/>
    </w:pPr>
  </w:style>
  <w:style w:type="paragraph" w:customStyle="1" w:styleId="lnek1VPP">
    <w:name w:val="Článek 1. VPP"/>
    <w:next w:val="Normln"/>
    <w:uiPriority w:val="99"/>
    <w:rsid w:val="008A03D8"/>
    <w:pPr>
      <w:keepNext/>
      <w:numPr>
        <w:numId w:val="5"/>
      </w:numPr>
      <w:jc w:val="center"/>
      <w:outlineLvl w:val="0"/>
    </w:pPr>
  </w:style>
  <w:style w:type="paragraph" w:customStyle="1" w:styleId="STVPP">
    <w:name w:val="ČÁST VPP"/>
    <w:basedOn w:val="ST1VPP"/>
    <w:next w:val="lnekVPP"/>
    <w:uiPriority w:val="99"/>
    <w:rsid w:val="008A03D8"/>
    <w:pPr>
      <w:numPr>
        <w:ilvl w:val="6"/>
      </w:numPr>
      <w:spacing w:before="200"/>
      <w:ind w:left="360"/>
      <w:outlineLvl w:val="6"/>
    </w:pPr>
  </w:style>
  <w:style w:type="paragraph" w:customStyle="1" w:styleId="ST1VPP">
    <w:name w:val="ČÁST 1 VPP"/>
    <w:next w:val="Normln"/>
    <w:uiPriority w:val="99"/>
    <w:rsid w:val="008A03D8"/>
    <w:pPr>
      <w:keepNext/>
      <w:numPr>
        <w:ilvl w:val="5"/>
        <w:numId w:val="5"/>
      </w:numPr>
      <w:jc w:val="center"/>
      <w:outlineLvl w:val="5"/>
    </w:pPr>
    <w:rPr>
      <w:rFonts w:ascii="Arial" w:hAnsi="Arial" w:cs="Arial"/>
      <w:b/>
      <w:bCs/>
      <w:caps/>
      <w:sz w:val="17"/>
      <w:szCs w:val="17"/>
    </w:rPr>
  </w:style>
  <w:style w:type="paragraph" w:customStyle="1" w:styleId="Zkladntext31">
    <w:name w:val="Základní text 31"/>
    <w:basedOn w:val="Normln"/>
    <w:uiPriority w:val="99"/>
    <w:rsid w:val="008A03D8"/>
    <w:pPr>
      <w:tabs>
        <w:tab w:val="left" w:pos="-720"/>
      </w:tabs>
      <w:spacing w:line="360" w:lineRule="auto"/>
    </w:pPr>
    <w:rPr>
      <w:rFonts w:ascii="Times New Roman" w:hAnsi="Times New Roman"/>
      <w:sz w:val="20"/>
      <w:szCs w:val="20"/>
    </w:rPr>
  </w:style>
  <w:style w:type="character" w:styleId="Sledovanodkaz">
    <w:name w:val="FollowedHyperlink"/>
    <w:uiPriority w:val="99"/>
    <w:rsid w:val="008A03D8"/>
    <w:rPr>
      <w:rFonts w:cs="Times New Roman"/>
      <w:color w:val="800080"/>
      <w:u w:val="single"/>
    </w:rPr>
  </w:style>
  <w:style w:type="paragraph" w:customStyle="1" w:styleId="slovnChar">
    <w:name w:val="číslování Char"/>
    <w:basedOn w:val="Normln"/>
    <w:uiPriority w:val="99"/>
    <w:rsid w:val="008A03D8"/>
    <w:pPr>
      <w:numPr>
        <w:numId w:val="6"/>
      </w:numPr>
      <w:spacing w:before="60"/>
      <w:jc w:val="both"/>
    </w:pPr>
    <w:rPr>
      <w:rFonts w:ascii="Arial" w:hAnsi="Arial"/>
      <w:sz w:val="20"/>
      <w:szCs w:val="20"/>
    </w:rPr>
  </w:style>
  <w:style w:type="paragraph" w:styleId="Zkladntextodsazen2">
    <w:name w:val="Body Text Indent 2"/>
    <w:basedOn w:val="Normln"/>
    <w:link w:val="Zkladntextodsazen2Char"/>
    <w:uiPriority w:val="99"/>
    <w:rsid w:val="008A03D8"/>
    <w:pPr>
      <w:spacing w:after="120" w:line="480" w:lineRule="auto"/>
      <w:ind w:left="283"/>
    </w:pPr>
    <w:rPr>
      <w:rFonts w:ascii="Times New Roman" w:hAnsi="Times New Roman"/>
      <w:sz w:val="24"/>
    </w:rPr>
  </w:style>
  <w:style w:type="character" w:customStyle="1" w:styleId="Zkladntextodsazen2Char">
    <w:name w:val="Základní text odsazený 2 Char"/>
    <w:link w:val="Zkladntextodsazen2"/>
    <w:uiPriority w:val="99"/>
    <w:locked/>
    <w:rsid w:val="008A03D8"/>
    <w:rPr>
      <w:rFonts w:cs="Times New Roman"/>
      <w:sz w:val="24"/>
    </w:rPr>
  </w:style>
  <w:style w:type="paragraph" w:styleId="Zkladntextodsazen3">
    <w:name w:val="Body Text Indent 3"/>
    <w:basedOn w:val="Normln"/>
    <w:link w:val="Zkladntextodsazen3Char"/>
    <w:uiPriority w:val="99"/>
    <w:rsid w:val="008A03D8"/>
    <w:pPr>
      <w:spacing w:after="120"/>
      <w:ind w:left="283"/>
    </w:pPr>
    <w:rPr>
      <w:rFonts w:ascii="Times New Roman" w:hAnsi="Times New Roman"/>
      <w:sz w:val="16"/>
      <w:szCs w:val="16"/>
    </w:rPr>
  </w:style>
  <w:style w:type="character" w:customStyle="1" w:styleId="Zkladntextodsazen3Char">
    <w:name w:val="Základní text odsazený 3 Char"/>
    <w:link w:val="Zkladntextodsazen3"/>
    <w:uiPriority w:val="99"/>
    <w:locked/>
    <w:rsid w:val="008A03D8"/>
    <w:rPr>
      <w:rFonts w:cs="Times New Roman"/>
      <w:sz w:val="16"/>
    </w:rPr>
  </w:style>
  <w:style w:type="paragraph" w:customStyle="1" w:styleId="StylJ">
    <w:name w:val="StylJ"/>
    <w:basedOn w:val="Normln"/>
    <w:uiPriority w:val="99"/>
    <w:rsid w:val="008A03D8"/>
    <w:rPr>
      <w:rFonts w:ascii="Times New Roman" w:hAnsi="Times New Roman"/>
      <w:sz w:val="24"/>
    </w:rPr>
  </w:style>
  <w:style w:type="paragraph" w:styleId="Odstavecseseznamem">
    <w:name w:val="List Paragraph"/>
    <w:basedOn w:val="Normln"/>
    <w:uiPriority w:val="34"/>
    <w:qFormat/>
    <w:rsid w:val="008A03D8"/>
    <w:pPr>
      <w:spacing w:after="200" w:line="276" w:lineRule="auto"/>
      <w:ind w:left="720"/>
      <w:contextualSpacing/>
    </w:pPr>
    <w:rPr>
      <w:rFonts w:ascii="Calibri" w:hAnsi="Calibri"/>
      <w:szCs w:val="22"/>
    </w:rPr>
  </w:style>
  <w:style w:type="table" w:styleId="Stednseznam2zvraznn1">
    <w:name w:val="Medium List 2 Accent 1"/>
    <w:basedOn w:val="Normlntabulka"/>
    <w:uiPriority w:val="99"/>
    <w:rsid w:val="008A03D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tednseznam1zvraznn11">
    <w:name w:val="Střední seznam 1 – zvýraznění 11"/>
    <w:uiPriority w:val="99"/>
    <w:rsid w:val="008A03D8"/>
    <w:rPr>
      <w:rFonts w:ascii="Calibri" w:hAnsi="Calibri"/>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styleId="Zstupntext">
    <w:name w:val="Placeholder Text"/>
    <w:uiPriority w:val="99"/>
    <w:semiHidden/>
    <w:rsid w:val="008A03D8"/>
    <w:rPr>
      <w:rFonts w:cs="Times New Roman"/>
      <w:color w:val="808080"/>
    </w:rPr>
  </w:style>
  <w:style w:type="paragraph" w:customStyle="1" w:styleId="BodyText21">
    <w:name w:val="Body Text 21"/>
    <w:basedOn w:val="Normln"/>
    <w:uiPriority w:val="99"/>
    <w:rsid w:val="008A03D8"/>
    <w:pPr>
      <w:overflowPunct w:val="0"/>
      <w:autoSpaceDE w:val="0"/>
      <w:autoSpaceDN w:val="0"/>
      <w:adjustRightInd w:val="0"/>
      <w:jc w:val="both"/>
      <w:textAlignment w:val="baseline"/>
    </w:pPr>
    <w:rPr>
      <w:rFonts w:ascii="Arial" w:hAnsi="Arial"/>
      <w:spacing w:val="-3"/>
      <w:sz w:val="20"/>
      <w:szCs w:val="20"/>
    </w:rPr>
  </w:style>
  <w:style w:type="paragraph" w:customStyle="1" w:styleId="Zkladntext21">
    <w:name w:val="Základní text 21"/>
    <w:basedOn w:val="Normln"/>
    <w:uiPriority w:val="99"/>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b/>
      <w:spacing w:val="-2"/>
      <w:sz w:val="18"/>
      <w:szCs w:val="20"/>
    </w:rPr>
  </w:style>
  <w:style w:type="paragraph" w:customStyle="1" w:styleId="Zkladntextodsazen21">
    <w:name w:val="Základní text odsazený 21"/>
    <w:basedOn w:val="Normln"/>
    <w:uiPriority w:val="99"/>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spacing w:val="-2"/>
      <w:sz w:val="18"/>
      <w:szCs w:val="20"/>
    </w:rPr>
  </w:style>
  <w:style w:type="paragraph" w:customStyle="1" w:styleId="Zkladntext32">
    <w:name w:val="Základní text 32"/>
    <w:basedOn w:val="Normln"/>
    <w:rsid w:val="008A03D8"/>
    <w:pPr>
      <w:tabs>
        <w:tab w:val="left" w:pos="-720"/>
      </w:tabs>
      <w:overflowPunct w:val="0"/>
      <w:autoSpaceDE w:val="0"/>
      <w:autoSpaceDN w:val="0"/>
      <w:adjustRightInd w:val="0"/>
      <w:spacing w:line="360" w:lineRule="auto"/>
      <w:textAlignment w:val="baseline"/>
    </w:pPr>
    <w:rPr>
      <w:rFonts w:ascii="Times New Roman" w:hAnsi="Times New Roman"/>
      <w:sz w:val="20"/>
      <w:szCs w:val="20"/>
    </w:rPr>
  </w:style>
  <w:style w:type="paragraph" w:styleId="Textvbloku">
    <w:name w:val="Block Text"/>
    <w:basedOn w:val="Normln"/>
    <w:uiPriority w:val="99"/>
    <w:rsid w:val="00D7357B"/>
    <w:pPr>
      <w:tabs>
        <w:tab w:val="left" w:pos="-720"/>
        <w:tab w:val="left" w:pos="426"/>
      </w:tabs>
      <w:spacing w:line="360" w:lineRule="auto"/>
      <w:ind w:left="284" w:right="27"/>
      <w:jc w:val="both"/>
    </w:pPr>
    <w:rPr>
      <w:rFonts w:ascii="Arial" w:hAnsi="Arial" w:cs="Arial"/>
      <w:i/>
      <w:sz w:val="20"/>
      <w:szCs w:val="20"/>
      <w:u w:val="dotted"/>
    </w:rPr>
  </w:style>
  <w:style w:type="paragraph" w:styleId="Nzev">
    <w:name w:val="Title"/>
    <w:basedOn w:val="Normln"/>
    <w:next w:val="Normln"/>
    <w:link w:val="NzevChar"/>
    <w:uiPriority w:val="99"/>
    <w:qFormat/>
    <w:rsid w:val="00A068D2"/>
    <w:pPr>
      <w:suppressAutoHyphens/>
      <w:jc w:val="center"/>
    </w:pPr>
    <w:rPr>
      <w:rFonts w:ascii="Times New Roman" w:hAnsi="Times New Roman"/>
      <w:b/>
      <w:sz w:val="24"/>
      <w:szCs w:val="20"/>
      <w:lang w:eastAsia="ar-SA"/>
    </w:rPr>
  </w:style>
  <w:style w:type="character" w:customStyle="1" w:styleId="NzevChar">
    <w:name w:val="Název Char"/>
    <w:link w:val="Nzev"/>
    <w:uiPriority w:val="99"/>
    <w:locked/>
    <w:rsid w:val="00A068D2"/>
    <w:rPr>
      <w:rFonts w:cs="Times New Roman"/>
      <w:b/>
      <w:sz w:val="24"/>
      <w:lang w:eastAsia="ar-SA" w:bidi="ar-SA"/>
    </w:rPr>
  </w:style>
  <w:style w:type="character" w:styleId="Odkaznakoment">
    <w:name w:val="annotation reference"/>
    <w:uiPriority w:val="99"/>
    <w:rsid w:val="00A068D2"/>
    <w:rPr>
      <w:rFonts w:cs="Times New Roman"/>
      <w:sz w:val="16"/>
    </w:rPr>
  </w:style>
  <w:style w:type="paragraph" w:styleId="Podtitul">
    <w:name w:val="Subtitle"/>
    <w:basedOn w:val="Normln"/>
    <w:next w:val="Normln"/>
    <w:link w:val="PodtitulChar"/>
    <w:uiPriority w:val="99"/>
    <w:qFormat/>
    <w:rsid w:val="00A068D2"/>
    <w:pPr>
      <w:numPr>
        <w:ilvl w:val="1"/>
      </w:numPr>
    </w:pPr>
    <w:rPr>
      <w:rFonts w:ascii="Cambria" w:hAnsi="Cambria"/>
      <w:i/>
      <w:iCs/>
      <w:color w:val="4F81BD"/>
      <w:spacing w:val="15"/>
      <w:sz w:val="24"/>
    </w:rPr>
  </w:style>
  <w:style w:type="character" w:customStyle="1" w:styleId="PodtitulChar">
    <w:name w:val="Podtitul Char"/>
    <w:link w:val="Podtitul"/>
    <w:uiPriority w:val="99"/>
    <w:locked/>
    <w:rsid w:val="00A068D2"/>
    <w:rPr>
      <w:rFonts w:ascii="Cambria" w:hAnsi="Cambria" w:cs="Times New Roman"/>
      <w:i/>
      <w:iCs/>
      <w:color w:val="4F81BD"/>
      <w:spacing w:val="15"/>
      <w:sz w:val="24"/>
      <w:szCs w:val="24"/>
    </w:rPr>
  </w:style>
  <w:style w:type="paragraph" w:styleId="Pedmtkomente">
    <w:name w:val="annotation subject"/>
    <w:basedOn w:val="Textkomente"/>
    <w:next w:val="Textkomente"/>
    <w:link w:val="PedmtkomenteChar"/>
    <w:uiPriority w:val="99"/>
    <w:rsid w:val="00E673B4"/>
    <w:rPr>
      <w:rFonts w:ascii="Koop Office" w:hAnsi="Koop Office"/>
      <w:b/>
      <w:bCs/>
    </w:rPr>
  </w:style>
  <w:style w:type="character" w:customStyle="1" w:styleId="PedmtkomenteChar">
    <w:name w:val="Předmět komentáře Char"/>
    <w:link w:val="Pedmtkomente"/>
    <w:uiPriority w:val="99"/>
    <w:locked/>
    <w:rsid w:val="00E673B4"/>
    <w:rPr>
      <w:rFonts w:ascii="Koop Office" w:hAnsi="Koop Office" w:cs="Times New Roman"/>
      <w:b/>
      <w:bCs/>
    </w:rPr>
  </w:style>
  <w:style w:type="paragraph" w:styleId="Prosttext">
    <w:name w:val="Plain Text"/>
    <w:basedOn w:val="Normln"/>
    <w:link w:val="ProsttextChar"/>
    <w:uiPriority w:val="99"/>
    <w:rsid w:val="001B75B2"/>
    <w:rPr>
      <w:rFonts w:ascii="Consolas" w:hAnsi="Consolas"/>
      <w:sz w:val="21"/>
      <w:szCs w:val="21"/>
      <w:lang w:eastAsia="en-US"/>
    </w:rPr>
  </w:style>
  <w:style w:type="character" w:customStyle="1" w:styleId="ProsttextChar">
    <w:name w:val="Prostý text Char"/>
    <w:link w:val="Prosttext"/>
    <w:uiPriority w:val="99"/>
    <w:locked/>
    <w:rsid w:val="001B75B2"/>
    <w:rPr>
      <w:rFonts w:ascii="Consolas" w:hAnsi="Consolas" w:cs="Times New Roman"/>
      <w:sz w:val="21"/>
      <w:szCs w:val="21"/>
      <w:lang w:eastAsia="en-US"/>
    </w:rPr>
  </w:style>
  <w:style w:type="paragraph" w:styleId="Revize">
    <w:name w:val="Revision"/>
    <w:hidden/>
    <w:uiPriority w:val="99"/>
    <w:semiHidden/>
    <w:rsid w:val="002504F1"/>
    <w:rPr>
      <w:rFonts w:ascii="Koop Office" w:hAnsi="Koop Office"/>
      <w:sz w:val="22"/>
      <w:szCs w:val="24"/>
    </w:rPr>
  </w:style>
  <w:style w:type="paragraph" w:customStyle="1" w:styleId="Styl10bTunZarovnatdobloku">
    <w:name w:val="Styl 10 b. Tučné Zarovnat do bloku"/>
    <w:basedOn w:val="Normln"/>
    <w:autoRedefine/>
    <w:uiPriority w:val="99"/>
    <w:rsid w:val="00DC6379"/>
    <w:pPr>
      <w:numPr>
        <w:numId w:val="13"/>
      </w:numPr>
      <w:spacing w:before="120"/>
      <w:jc w:val="both"/>
    </w:pPr>
    <w:rPr>
      <w:b/>
      <w:bCs/>
      <w:sz w:val="20"/>
      <w:szCs w:val="20"/>
    </w:rPr>
  </w:style>
  <w:style w:type="paragraph" w:customStyle="1" w:styleId="Styl10bZarovnatdobloku">
    <w:name w:val="Styl 10 b. Zarovnat do bloku"/>
    <w:basedOn w:val="Normln"/>
    <w:autoRedefine/>
    <w:uiPriority w:val="99"/>
    <w:rsid w:val="00B3199E"/>
    <w:pPr>
      <w:tabs>
        <w:tab w:val="left" w:pos="426"/>
      </w:tabs>
      <w:jc w:val="both"/>
    </w:pPr>
    <w:rPr>
      <w:sz w:val="20"/>
      <w:szCs w:val="20"/>
    </w:rPr>
  </w:style>
  <w:style w:type="paragraph" w:styleId="Nadpisobsahu">
    <w:name w:val="TOC Heading"/>
    <w:basedOn w:val="Nadpis1"/>
    <w:next w:val="Normln"/>
    <w:uiPriority w:val="99"/>
    <w:qFormat/>
    <w:rsid w:val="00D34EB7"/>
    <w:pPr>
      <w:keepLines/>
      <w:numPr>
        <w:numId w:val="0"/>
      </w:numPr>
      <w:spacing w:before="480" w:after="0" w:line="240" w:lineRule="auto"/>
      <w:outlineLvl w:val="9"/>
    </w:pPr>
    <w:rPr>
      <w:rFonts w:ascii="Cambria" w:hAnsi="Cambria"/>
      <w:b/>
      <w:color w:val="365F91"/>
      <w:kern w:val="0"/>
      <w:sz w:val="28"/>
      <w:szCs w:val="28"/>
      <w:lang w:eastAsia="en-US"/>
    </w:rPr>
  </w:style>
  <w:style w:type="paragraph" w:customStyle="1" w:styleId="odrkaa">
    <w:name w:val="odrážka a)"/>
    <w:basedOn w:val="Normln"/>
    <w:autoRedefine/>
    <w:uiPriority w:val="99"/>
    <w:rsid w:val="00D34EB7"/>
    <w:pPr>
      <w:numPr>
        <w:numId w:val="17"/>
      </w:numPr>
      <w:tabs>
        <w:tab w:val="left" w:pos="284"/>
        <w:tab w:val="left" w:pos="9072"/>
      </w:tabs>
    </w:pPr>
    <w:rPr>
      <w:sz w:val="20"/>
      <w:szCs w:val="20"/>
      <w:lang w:eastAsia="en-US"/>
    </w:rPr>
  </w:style>
  <w:style w:type="paragraph" w:customStyle="1" w:styleId="podpisy">
    <w:name w:val="podpisy"/>
    <w:basedOn w:val="Normln"/>
    <w:uiPriority w:val="99"/>
    <w:rsid w:val="00DA50D5"/>
    <w:pPr>
      <w:jc w:val="center"/>
    </w:pPr>
    <w:rPr>
      <w:rFonts w:ascii="Times New Roman" w:hAnsi="Times New Roman"/>
      <w:sz w:val="20"/>
      <w:szCs w:val="20"/>
    </w:rPr>
  </w:style>
  <w:style w:type="numbering" w:customStyle="1" w:styleId="Odrky-rove1">
    <w:name w:val="Odrážky - úroveň 1"/>
    <w:rsid w:val="008138DF"/>
    <w:pPr>
      <w:numPr>
        <w:numId w:val="3"/>
      </w:numPr>
    </w:pPr>
  </w:style>
  <w:style w:type="numbering" w:customStyle="1" w:styleId="StylVcerovovKoopOffice9b">
    <w:name w:val="Styl Víceúrovňové Koop Office 9 b."/>
    <w:rsid w:val="008138DF"/>
    <w:pPr>
      <w:numPr>
        <w:numId w:val="7"/>
      </w:numPr>
    </w:pPr>
  </w:style>
  <w:style w:type="numbering" w:customStyle="1" w:styleId="Odrka-rove2">
    <w:name w:val="Odrážka - úroveň 2"/>
    <w:rsid w:val="008138DF"/>
    <w:pPr>
      <w:numPr>
        <w:numId w:val="2"/>
      </w:numPr>
    </w:pPr>
  </w:style>
  <w:style w:type="paragraph" w:customStyle="1" w:styleId="Zkladntext33">
    <w:name w:val="Základní text 33"/>
    <w:basedOn w:val="Normln"/>
    <w:rsid w:val="000A4036"/>
    <w:pPr>
      <w:tabs>
        <w:tab w:val="left" w:pos="-720"/>
      </w:tabs>
      <w:spacing w:line="360" w:lineRule="auto"/>
    </w:pPr>
    <w:rPr>
      <w:rFonts w:ascii="Times New Roman" w:hAnsi="Times New Roman"/>
      <w:sz w:val="20"/>
      <w:szCs w:val="20"/>
    </w:rPr>
  </w:style>
  <w:style w:type="paragraph" w:customStyle="1" w:styleId="slovn-rove1">
    <w:name w:val="Číslování - úroveň 1"/>
    <w:basedOn w:val="Normln"/>
    <w:qFormat/>
    <w:rsid w:val="001A60A6"/>
    <w:pPr>
      <w:keepNext/>
      <w:numPr>
        <w:numId w:val="34"/>
      </w:numPr>
      <w:spacing w:before="120" w:after="120"/>
      <w:jc w:val="both"/>
    </w:pPr>
    <w:rPr>
      <w:b/>
      <w:sz w:val="20"/>
    </w:rPr>
  </w:style>
  <w:style w:type="paragraph" w:customStyle="1" w:styleId="slovn-rove2">
    <w:name w:val="číslování - úroveň 2"/>
    <w:basedOn w:val="slovn-rove1"/>
    <w:link w:val="slovn-rove2Char"/>
    <w:qFormat/>
    <w:rsid w:val="001A60A6"/>
    <w:pPr>
      <w:numPr>
        <w:ilvl w:val="1"/>
      </w:numPr>
      <w:tabs>
        <w:tab w:val="left" w:pos="454"/>
      </w:tabs>
    </w:pPr>
  </w:style>
  <w:style w:type="paragraph" w:customStyle="1" w:styleId="slovn-rove3">
    <w:name w:val="číslování - úroveň 3"/>
    <w:basedOn w:val="slovn-rove2"/>
    <w:qFormat/>
    <w:rsid w:val="001A60A6"/>
    <w:pPr>
      <w:numPr>
        <w:ilvl w:val="2"/>
      </w:numPr>
      <w:tabs>
        <w:tab w:val="clear" w:pos="425"/>
        <w:tab w:val="num" w:pos="360"/>
        <w:tab w:val="left" w:pos="510"/>
        <w:tab w:val="num" w:pos="720"/>
      </w:tabs>
      <w:spacing w:after="0"/>
      <w:ind w:left="720" w:hanging="720"/>
    </w:pPr>
  </w:style>
  <w:style w:type="character" w:customStyle="1" w:styleId="slovn-rove2Char">
    <w:name w:val="číslování - úroveň 2 Char"/>
    <w:link w:val="slovn-rove2"/>
    <w:rsid w:val="001A60A6"/>
    <w:rPr>
      <w:rFonts w:ascii="Koop Office" w:hAnsi="Koop Office"/>
      <w:b/>
      <w:szCs w:val="24"/>
    </w:rPr>
  </w:style>
  <w:style w:type="paragraph" w:customStyle="1" w:styleId="slovn-rove1-netun">
    <w:name w:val="Číslování - úroveň 1 - netučné"/>
    <w:basedOn w:val="slovn-rove1"/>
    <w:link w:val="slovn-rove1-netunChar"/>
    <w:qFormat/>
    <w:rsid w:val="003A3192"/>
    <w:pPr>
      <w:keepNext w:val="0"/>
      <w:numPr>
        <w:numId w:val="0"/>
      </w:numPr>
      <w:tabs>
        <w:tab w:val="num" w:pos="360"/>
      </w:tabs>
      <w:spacing w:after="0"/>
      <w:ind w:left="360" w:hanging="360"/>
    </w:pPr>
    <w:rPr>
      <w:b w:val="0"/>
    </w:rPr>
  </w:style>
  <w:style w:type="character" w:customStyle="1" w:styleId="slovn-rove1-netunChar">
    <w:name w:val="Číslování - úroveň 1 - netučné Char"/>
    <w:link w:val="slovn-rove1-netun"/>
    <w:rsid w:val="003A3192"/>
    <w:rPr>
      <w:rFonts w:ascii="Koop Office" w:hAnsi="Koop Office"/>
      <w:szCs w:val="24"/>
    </w:rPr>
  </w:style>
  <w:style w:type="paragraph" w:customStyle="1" w:styleId="slovn-rove1-netunb">
    <w:name w:val="Číslování - úroveň 1 - netučné b"/>
    <w:basedOn w:val="Normln"/>
    <w:qFormat/>
    <w:rsid w:val="003A3192"/>
    <w:pPr>
      <w:numPr>
        <w:numId w:val="41"/>
      </w:numPr>
      <w:spacing w:before="120" w:after="120"/>
      <w:jc w:val="both"/>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Nadpis1Char">
    <w:name w:val="Odrky-rove1"/>
    <w:pPr>
      <w:numPr>
        <w:numId w:val="3"/>
      </w:numPr>
    </w:pPr>
  </w:style>
  <w:style w:type="numbering" w:customStyle="1" w:styleId="Nadpis2Char">
    <w:name w:val="StylVcerovovKoopOffice9b"/>
    <w:pPr>
      <w:numPr>
        <w:numId w:val="7"/>
      </w:numPr>
    </w:pPr>
  </w:style>
  <w:style w:type="numbering" w:customStyle="1" w:styleId="Nadpis3Char">
    <w:name w:val="Odrka-rove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93336">
      <w:marLeft w:val="0"/>
      <w:marRight w:val="0"/>
      <w:marTop w:val="0"/>
      <w:marBottom w:val="0"/>
      <w:divBdr>
        <w:top w:val="none" w:sz="0" w:space="0" w:color="auto"/>
        <w:left w:val="none" w:sz="0" w:space="0" w:color="auto"/>
        <w:bottom w:val="none" w:sz="0" w:space="0" w:color="auto"/>
        <w:right w:val="none" w:sz="0" w:space="0" w:color="auto"/>
      </w:divBdr>
    </w:div>
    <w:div w:id="134493337">
      <w:marLeft w:val="0"/>
      <w:marRight w:val="0"/>
      <w:marTop w:val="0"/>
      <w:marBottom w:val="0"/>
      <w:divBdr>
        <w:top w:val="none" w:sz="0" w:space="0" w:color="auto"/>
        <w:left w:val="none" w:sz="0" w:space="0" w:color="auto"/>
        <w:bottom w:val="none" w:sz="0" w:space="0" w:color="auto"/>
        <w:right w:val="none" w:sz="0" w:space="0" w:color="auto"/>
      </w:divBdr>
    </w:div>
    <w:div w:id="134493338">
      <w:marLeft w:val="0"/>
      <w:marRight w:val="0"/>
      <w:marTop w:val="0"/>
      <w:marBottom w:val="0"/>
      <w:divBdr>
        <w:top w:val="none" w:sz="0" w:space="0" w:color="auto"/>
        <w:left w:val="none" w:sz="0" w:space="0" w:color="auto"/>
        <w:bottom w:val="none" w:sz="0" w:space="0" w:color="auto"/>
        <w:right w:val="none" w:sz="0" w:space="0" w:color="auto"/>
      </w:divBdr>
    </w:div>
    <w:div w:id="134493339">
      <w:marLeft w:val="0"/>
      <w:marRight w:val="0"/>
      <w:marTop w:val="0"/>
      <w:marBottom w:val="0"/>
      <w:divBdr>
        <w:top w:val="none" w:sz="0" w:space="0" w:color="auto"/>
        <w:left w:val="none" w:sz="0" w:space="0" w:color="auto"/>
        <w:bottom w:val="none" w:sz="0" w:space="0" w:color="auto"/>
        <w:right w:val="none" w:sz="0" w:space="0" w:color="auto"/>
      </w:divBdr>
    </w:div>
    <w:div w:id="134493340">
      <w:marLeft w:val="0"/>
      <w:marRight w:val="0"/>
      <w:marTop w:val="0"/>
      <w:marBottom w:val="0"/>
      <w:divBdr>
        <w:top w:val="none" w:sz="0" w:space="0" w:color="auto"/>
        <w:left w:val="none" w:sz="0" w:space="0" w:color="auto"/>
        <w:bottom w:val="none" w:sz="0" w:space="0" w:color="auto"/>
        <w:right w:val="none" w:sz="0" w:space="0" w:color="auto"/>
      </w:divBdr>
    </w:div>
    <w:div w:id="134493341">
      <w:marLeft w:val="0"/>
      <w:marRight w:val="0"/>
      <w:marTop w:val="0"/>
      <w:marBottom w:val="0"/>
      <w:divBdr>
        <w:top w:val="none" w:sz="0" w:space="0" w:color="auto"/>
        <w:left w:val="none" w:sz="0" w:space="0" w:color="auto"/>
        <w:bottom w:val="none" w:sz="0" w:space="0" w:color="auto"/>
        <w:right w:val="none" w:sz="0" w:space="0" w:color="auto"/>
      </w:divBdr>
    </w:div>
    <w:div w:id="134493342">
      <w:marLeft w:val="0"/>
      <w:marRight w:val="0"/>
      <w:marTop w:val="0"/>
      <w:marBottom w:val="0"/>
      <w:divBdr>
        <w:top w:val="none" w:sz="0" w:space="0" w:color="auto"/>
        <w:left w:val="none" w:sz="0" w:space="0" w:color="auto"/>
        <w:bottom w:val="none" w:sz="0" w:space="0" w:color="auto"/>
        <w:right w:val="none" w:sz="0" w:space="0" w:color="auto"/>
      </w:divBdr>
    </w:div>
    <w:div w:id="1344933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i.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odatelna@koop.cz"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fojtik\Local%20Settings\Temporary%20Internet%20Files\OLK14\M7312-15%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413DF-76EF-42BC-B344-CEFD1BD29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M7312-15 </Template>
  <TotalTime>1054</TotalTime>
  <Pages>6</Pages>
  <Words>2548</Words>
  <Characters>15035</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INTERNÍ SDĚLENÍ</vt:lpstr>
    </vt:vector>
  </TitlesOfParts>
  <Company>Microsoft</Company>
  <LinksUpToDate>false</LinksUpToDate>
  <CharactersWithSpaces>17548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INTERNÍ SDĚLENÍ</dc:title>
  <dc:subject/>
  <dc:creator>dfojtik</dc:creator>
  <cp:keywords/>
  <dc:description/>
  <cp:lastModifiedBy>Gajdečková Jitka</cp:lastModifiedBy>
  <cp:revision>357</cp:revision>
  <cp:lastPrinted>2015-10-20T09:31:00Z</cp:lastPrinted>
  <dcterms:created xsi:type="dcterms:W3CDTF">2014-01-06T14:09:00Z</dcterms:created>
  <dcterms:modified xsi:type="dcterms:W3CDTF">2018-01-23T07:26:00Z</dcterms:modified>
</cp:coreProperties>
</file>