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871" w:rsidRPr="000139C2" w:rsidRDefault="00D82871" w:rsidP="00161AB9">
      <w:pPr>
        <w:jc w:val="both"/>
      </w:pPr>
      <w:r w:rsidRPr="000139C2">
        <w:rPr>
          <w:b/>
        </w:rPr>
        <w:t xml:space="preserve">SMLOUVA O DODÁVKÁCH </w:t>
      </w:r>
      <w:r w:rsidR="001B4434" w:rsidRPr="000139C2">
        <w:rPr>
          <w:b/>
        </w:rPr>
        <w:t>TEPELNÉ ENERGIE</w:t>
      </w:r>
      <w:r w:rsidRPr="000139C2">
        <w:rPr>
          <w:b/>
        </w:rPr>
        <w:t xml:space="preserve"> </w:t>
      </w:r>
      <w:r w:rsidR="00A7190F">
        <w:rPr>
          <w:b/>
        </w:rPr>
        <w:t>č</w:t>
      </w:r>
      <w:r w:rsidR="005B6CFE" w:rsidRPr="000139C2">
        <w:rPr>
          <w:b/>
        </w:rPr>
        <w:t xml:space="preserve">.  </w:t>
      </w:r>
      <w:r w:rsidR="00C61D6E" w:rsidRPr="00C61D6E">
        <w:rPr>
          <w:b/>
        </w:rPr>
        <w:t>320883_3</w:t>
      </w:r>
      <w:r w:rsidRPr="000139C2">
        <w:rPr>
          <w:b/>
        </w:rPr>
        <w:t xml:space="preserve"> </w:t>
      </w:r>
      <w:r w:rsidRPr="000139C2">
        <w:t xml:space="preserve">(dále jen "Smlouva") byla uzavřena podle zákona č. 458/2000 Sb. o podmínkách podnikání a výkonu státní správy v energetických </w:t>
      </w:r>
      <w:bookmarkStart w:id="0" w:name="_GoBack"/>
      <w:bookmarkEnd w:id="0"/>
      <w:r w:rsidRPr="000139C2">
        <w:t>odvětvích (dále jen “</w:t>
      </w:r>
      <w:r w:rsidRPr="000139C2">
        <w:rPr>
          <w:b/>
        </w:rPr>
        <w:t>Energetický zákon</w:t>
      </w:r>
      <w:r w:rsidRPr="000139C2">
        <w:t>”) mezi následujícími smluvními stranami:</w:t>
      </w:r>
    </w:p>
    <w:p w:rsidR="00D82871" w:rsidRPr="000139C2" w:rsidRDefault="00D82871" w:rsidP="00161AB9">
      <w:pPr>
        <w:jc w:val="both"/>
      </w:pPr>
    </w:p>
    <w:p w:rsidR="00494E08" w:rsidRPr="000139C2" w:rsidRDefault="00996778" w:rsidP="00161AB9">
      <w:pPr>
        <w:jc w:val="both"/>
      </w:pPr>
      <w:proofErr w:type="spellStart"/>
      <w:r w:rsidRPr="000139C2">
        <w:rPr>
          <w:b/>
        </w:rPr>
        <w:t>Alpiq</w:t>
      </w:r>
      <w:proofErr w:type="spellEnd"/>
      <w:r w:rsidRPr="000139C2">
        <w:rPr>
          <w:b/>
        </w:rPr>
        <w:t xml:space="preserve"> </w:t>
      </w:r>
      <w:proofErr w:type="spellStart"/>
      <w:r w:rsidRPr="000139C2">
        <w:rPr>
          <w:b/>
        </w:rPr>
        <w:t>Generation</w:t>
      </w:r>
      <w:proofErr w:type="spellEnd"/>
      <w:r w:rsidRPr="000139C2">
        <w:rPr>
          <w:b/>
        </w:rPr>
        <w:t xml:space="preserve"> (CZ) s.r.o.</w:t>
      </w:r>
      <w:r w:rsidRPr="000139C2">
        <w:t>, se sídlem Kladno, Dubská 257, PSČ 272 03, z</w:t>
      </w:r>
      <w:r w:rsidRPr="000139C2">
        <w:rPr>
          <w:snapToGrid w:val="0"/>
        </w:rPr>
        <w:t>apsaná v obchodním rejstříku vedeném Městským soudem v Praze, v oddílu C, vložce 90495, pod IČ 26735</w:t>
      </w:r>
      <w:r w:rsidR="00B54AEF" w:rsidRPr="000139C2">
        <w:rPr>
          <w:snapToGrid w:val="0"/>
        </w:rPr>
        <w:t xml:space="preserve">865, </w:t>
      </w:r>
      <w:r w:rsidR="00A60601">
        <w:rPr>
          <w:snapToGrid w:val="0"/>
        </w:rPr>
        <w:t xml:space="preserve">zastoupená </w:t>
      </w:r>
      <w:r w:rsidR="00B54AEF" w:rsidRPr="000139C2">
        <w:rPr>
          <w:snapToGrid w:val="0"/>
        </w:rPr>
        <w:t>I</w:t>
      </w:r>
      <w:r w:rsidRPr="000139C2">
        <w:rPr>
          <w:snapToGrid w:val="0"/>
        </w:rPr>
        <w:t>ng. Milan</w:t>
      </w:r>
      <w:r w:rsidR="00494E08" w:rsidRPr="000139C2">
        <w:rPr>
          <w:snapToGrid w:val="0"/>
        </w:rPr>
        <w:t>em</w:t>
      </w:r>
      <w:r w:rsidRPr="000139C2">
        <w:rPr>
          <w:snapToGrid w:val="0"/>
        </w:rPr>
        <w:t xml:space="preserve"> </w:t>
      </w:r>
      <w:proofErr w:type="spellStart"/>
      <w:r w:rsidRPr="000139C2">
        <w:rPr>
          <w:snapToGrid w:val="0"/>
        </w:rPr>
        <w:t>Prajzler</w:t>
      </w:r>
      <w:r w:rsidR="00494E08" w:rsidRPr="000139C2">
        <w:rPr>
          <w:snapToGrid w:val="0"/>
        </w:rPr>
        <w:t>em</w:t>
      </w:r>
      <w:proofErr w:type="spellEnd"/>
      <w:r w:rsidR="000139C2">
        <w:rPr>
          <w:snapToGrid w:val="0"/>
        </w:rPr>
        <w:t xml:space="preserve"> </w:t>
      </w:r>
      <w:r w:rsidR="00A60601">
        <w:rPr>
          <w:snapToGrid w:val="0"/>
        </w:rPr>
        <w:t xml:space="preserve">a Ing. </w:t>
      </w:r>
      <w:r w:rsidR="00A7190F">
        <w:rPr>
          <w:snapToGrid w:val="0"/>
        </w:rPr>
        <w:t>Viktorem Kalinou</w:t>
      </w:r>
      <w:r w:rsidRPr="000139C2">
        <w:rPr>
          <w:snapToGrid w:val="0"/>
        </w:rPr>
        <w:t>, jednatel</w:t>
      </w:r>
      <w:r w:rsidR="00494E08" w:rsidRPr="000139C2">
        <w:rPr>
          <w:snapToGrid w:val="0"/>
        </w:rPr>
        <w:t>i</w:t>
      </w:r>
      <w:r w:rsidRPr="000139C2">
        <w:t xml:space="preserve"> </w:t>
      </w:r>
    </w:p>
    <w:p w:rsidR="00D82871" w:rsidRPr="000139C2" w:rsidRDefault="00D82871" w:rsidP="00161AB9">
      <w:pPr>
        <w:jc w:val="both"/>
      </w:pPr>
      <w:r w:rsidRPr="000139C2">
        <w:t>(dále jen "</w:t>
      </w:r>
      <w:r w:rsidRPr="000139C2">
        <w:rPr>
          <w:b/>
        </w:rPr>
        <w:t>Dodavatel</w:t>
      </w:r>
      <w:r w:rsidRPr="000139C2">
        <w:t>")</w:t>
      </w:r>
    </w:p>
    <w:p w:rsidR="00D82871" w:rsidRPr="000139C2" w:rsidRDefault="00D82871" w:rsidP="00161AB9">
      <w:pPr>
        <w:jc w:val="both"/>
      </w:pPr>
    </w:p>
    <w:p w:rsidR="00D82871" w:rsidRPr="000139C2" w:rsidRDefault="00D82871" w:rsidP="00161AB9">
      <w:pPr>
        <w:jc w:val="both"/>
      </w:pPr>
      <w:r w:rsidRPr="000139C2">
        <w:t>a</w:t>
      </w:r>
    </w:p>
    <w:p w:rsidR="00D82871" w:rsidRPr="000139C2" w:rsidRDefault="00D82871" w:rsidP="00161AB9">
      <w:pPr>
        <w:jc w:val="both"/>
      </w:pPr>
    </w:p>
    <w:p w:rsidR="00D82871" w:rsidRPr="000139C2" w:rsidRDefault="00C61D6E" w:rsidP="00161AB9">
      <w:pPr>
        <w:jc w:val="both"/>
      </w:pPr>
      <w:r w:rsidRPr="00C61D6E">
        <w:rPr>
          <w:rStyle w:val="Siln"/>
        </w:rPr>
        <w:t>Zlínský kraj</w:t>
      </w:r>
      <w:r w:rsidR="00D770F4" w:rsidRPr="00C61D6E">
        <w:t>, se sídlem</w:t>
      </w:r>
      <w:r w:rsidRPr="00C61D6E">
        <w:t xml:space="preserve">  třída Tomáše Bati 21, </w:t>
      </w:r>
      <w:proofErr w:type="gramStart"/>
      <w:r w:rsidRPr="00C61D6E">
        <w:t xml:space="preserve">Zlín </w:t>
      </w:r>
      <w:r w:rsidR="0057244C" w:rsidRPr="00C61D6E">
        <w:rPr>
          <w:bCs/>
        </w:rPr>
        <w:t>, PSČ</w:t>
      </w:r>
      <w:proofErr w:type="gramEnd"/>
      <w:r w:rsidR="0057244C" w:rsidRPr="00C61D6E">
        <w:rPr>
          <w:bCs/>
        </w:rPr>
        <w:t xml:space="preserve"> </w:t>
      </w:r>
      <w:r w:rsidRPr="00C61D6E">
        <w:rPr>
          <w:rStyle w:val="Siln"/>
          <w:b w:val="0"/>
        </w:rPr>
        <w:t>76001</w:t>
      </w:r>
      <w:r w:rsidR="005866E5" w:rsidRPr="00C61D6E">
        <w:t xml:space="preserve">, </w:t>
      </w:r>
      <w:r w:rsidR="005866E5" w:rsidRPr="00C61D6E">
        <w:rPr>
          <w:snapToGrid w:val="0"/>
        </w:rPr>
        <w:t>IČ</w:t>
      </w:r>
      <w:r w:rsidR="00DF17B9" w:rsidRPr="00C61D6E">
        <w:rPr>
          <w:snapToGrid w:val="0"/>
        </w:rPr>
        <w:t xml:space="preserve"> </w:t>
      </w:r>
      <w:r w:rsidRPr="00C61D6E">
        <w:rPr>
          <w:rStyle w:val="Siln"/>
          <w:b w:val="0"/>
        </w:rPr>
        <w:t>70891320</w:t>
      </w:r>
      <w:r w:rsidR="00DF17B9" w:rsidRPr="00C61D6E">
        <w:rPr>
          <w:snapToGrid w:val="0"/>
        </w:rPr>
        <w:t>,</w:t>
      </w:r>
      <w:r w:rsidRPr="00C61D6E">
        <w:rPr>
          <w:snapToGrid w:val="0"/>
        </w:rPr>
        <w:t xml:space="preserve"> DIČ CZ70891320</w:t>
      </w:r>
      <w:r w:rsidR="00DF17B9" w:rsidRPr="00C61D6E">
        <w:rPr>
          <w:snapToGrid w:val="0"/>
        </w:rPr>
        <w:t xml:space="preserve"> </w:t>
      </w:r>
      <w:r w:rsidR="00A60601" w:rsidRPr="00C61D6E">
        <w:rPr>
          <w:snapToGrid w:val="0"/>
        </w:rPr>
        <w:t xml:space="preserve">zastoupená </w:t>
      </w:r>
      <w:r w:rsidRPr="00C61D6E">
        <w:rPr>
          <w:rStyle w:val="Siln"/>
          <w:b w:val="0"/>
        </w:rPr>
        <w:t xml:space="preserve">MVDr. Stanislavem </w:t>
      </w:r>
      <w:proofErr w:type="spellStart"/>
      <w:r w:rsidRPr="00C61D6E">
        <w:rPr>
          <w:rStyle w:val="Siln"/>
          <w:b w:val="0"/>
        </w:rPr>
        <w:t>Mišákem</w:t>
      </w:r>
      <w:proofErr w:type="spellEnd"/>
      <w:r w:rsidRPr="00C61D6E">
        <w:rPr>
          <w:rStyle w:val="Siln"/>
          <w:b w:val="0"/>
        </w:rPr>
        <w:t>, hejtmanem</w:t>
      </w:r>
      <w:r w:rsidR="00395825">
        <w:t xml:space="preserve"> </w:t>
      </w:r>
      <w:r w:rsidR="00D82871" w:rsidRPr="000139C2">
        <w:t>(dále jen "</w:t>
      </w:r>
      <w:r w:rsidR="00D82871" w:rsidRPr="000139C2">
        <w:rPr>
          <w:b/>
        </w:rPr>
        <w:t>Odběratel</w:t>
      </w:r>
      <w:r w:rsidR="00D82871" w:rsidRPr="000139C2">
        <w:t>")</w:t>
      </w:r>
    </w:p>
    <w:p w:rsidR="00D82871" w:rsidRPr="000139C2" w:rsidRDefault="00D82871" w:rsidP="00161AB9">
      <w:pPr>
        <w:jc w:val="both"/>
      </w:pPr>
    </w:p>
    <w:p w:rsidR="00D82871" w:rsidRPr="000139C2" w:rsidRDefault="00D82871" w:rsidP="00161AB9">
      <w:pPr>
        <w:jc w:val="both"/>
      </w:pPr>
      <w:r w:rsidRPr="000139C2">
        <w:t>(společně dále jen „</w:t>
      </w:r>
      <w:r w:rsidRPr="000139C2">
        <w:rPr>
          <w:b/>
        </w:rPr>
        <w:t>Smluvní strany</w:t>
      </w:r>
      <w:r w:rsidRPr="000139C2">
        <w:t>“)</w:t>
      </w:r>
    </w:p>
    <w:p w:rsidR="00D82871" w:rsidRPr="000139C2" w:rsidRDefault="00D82871" w:rsidP="00161AB9">
      <w:pPr>
        <w:jc w:val="both"/>
      </w:pPr>
    </w:p>
    <w:p w:rsidR="00D82871" w:rsidRPr="000139C2" w:rsidRDefault="00D82871" w:rsidP="00161AB9">
      <w:pPr>
        <w:jc w:val="both"/>
      </w:pPr>
    </w:p>
    <w:p w:rsidR="00D82871" w:rsidRPr="000139C2" w:rsidRDefault="00D82871" w:rsidP="00161AB9">
      <w:pPr>
        <w:jc w:val="both"/>
        <w:rPr>
          <w:b/>
        </w:rPr>
      </w:pPr>
      <w:r w:rsidRPr="000139C2">
        <w:rPr>
          <w:b/>
        </w:rPr>
        <w:t>VZHLEDEM K TOMU, ŽE</w:t>
      </w:r>
    </w:p>
    <w:p w:rsidR="00D82871" w:rsidRPr="000139C2" w:rsidRDefault="00D82871" w:rsidP="00161AB9">
      <w:pPr>
        <w:jc w:val="both"/>
        <w:rPr>
          <w:b/>
          <w:szCs w:val="22"/>
        </w:rPr>
      </w:pPr>
    </w:p>
    <w:p w:rsidR="00494E08" w:rsidRPr="000139C2" w:rsidRDefault="00494E08" w:rsidP="00494E08">
      <w:pPr>
        <w:numPr>
          <w:ilvl w:val="0"/>
          <w:numId w:val="1"/>
        </w:numPr>
        <w:tabs>
          <w:tab w:val="left" w:pos="720"/>
        </w:tabs>
        <w:ind w:left="720" w:hanging="720"/>
        <w:jc w:val="both"/>
        <w:rPr>
          <w:szCs w:val="22"/>
        </w:rPr>
      </w:pPr>
      <w:r w:rsidRPr="000139C2">
        <w:rPr>
          <w:szCs w:val="22"/>
        </w:rPr>
        <w:t>Dodavatel je držitelem licence pro výrobu tepelné energie č. 310909214; a rozvod tepelné energie č. 320909212;</w:t>
      </w:r>
    </w:p>
    <w:p w:rsidR="00494E08" w:rsidRPr="000139C2" w:rsidRDefault="00494E08" w:rsidP="00494E08">
      <w:pPr>
        <w:tabs>
          <w:tab w:val="left" w:pos="720"/>
        </w:tabs>
        <w:jc w:val="both"/>
        <w:rPr>
          <w:szCs w:val="22"/>
        </w:rPr>
      </w:pPr>
    </w:p>
    <w:p w:rsidR="00D82871" w:rsidRPr="000139C2" w:rsidRDefault="00D82871" w:rsidP="00161AB9">
      <w:pPr>
        <w:numPr>
          <w:ilvl w:val="0"/>
          <w:numId w:val="1"/>
        </w:numPr>
        <w:tabs>
          <w:tab w:val="left" w:pos="720"/>
        </w:tabs>
        <w:ind w:left="720" w:hanging="720"/>
        <w:jc w:val="both"/>
      </w:pPr>
      <w:r w:rsidRPr="000139C2">
        <w:t>Odběratel si přeje kupovat tep</w:t>
      </w:r>
      <w:r w:rsidR="001B4434" w:rsidRPr="000139C2">
        <w:t>e</w:t>
      </w:r>
      <w:r w:rsidRPr="000139C2">
        <w:t>l</w:t>
      </w:r>
      <w:r w:rsidR="001B4434" w:rsidRPr="000139C2">
        <w:t xml:space="preserve">nou energii ve smyslu ustanovení </w:t>
      </w:r>
      <w:r w:rsidR="00494E08" w:rsidRPr="000139C2">
        <w:t xml:space="preserve">bodu 3 </w:t>
      </w:r>
      <w:r w:rsidR="001B4434" w:rsidRPr="000139C2">
        <w:t xml:space="preserve">písm. c), odst. (2), § </w:t>
      </w:r>
      <w:r w:rsidR="00443DCF">
        <w:t> </w:t>
      </w:r>
      <w:r w:rsidR="001B4434" w:rsidRPr="000139C2">
        <w:t>2 Energetického zákona (dále jen „</w:t>
      </w:r>
      <w:r w:rsidR="001B4434" w:rsidRPr="000139C2">
        <w:rPr>
          <w:b/>
        </w:rPr>
        <w:t>Tepelná energie“</w:t>
      </w:r>
      <w:r w:rsidR="001B4434" w:rsidRPr="000139C2">
        <w:t>)</w:t>
      </w:r>
      <w:r w:rsidRPr="000139C2">
        <w:t xml:space="preserve"> od Dodavatele;</w:t>
      </w:r>
    </w:p>
    <w:p w:rsidR="00D82871" w:rsidRPr="000139C2" w:rsidRDefault="00D82871" w:rsidP="00161AB9">
      <w:pPr>
        <w:numPr>
          <w:ilvl w:val="12"/>
          <w:numId w:val="0"/>
        </w:numPr>
        <w:jc w:val="both"/>
      </w:pPr>
    </w:p>
    <w:p w:rsidR="00D82871" w:rsidRPr="000139C2" w:rsidRDefault="00F568B7" w:rsidP="00F568B7">
      <w:pPr>
        <w:numPr>
          <w:ilvl w:val="0"/>
          <w:numId w:val="1"/>
        </w:numPr>
        <w:tabs>
          <w:tab w:val="left" w:pos="720"/>
        </w:tabs>
        <w:ind w:left="720" w:hanging="720"/>
        <w:jc w:val="both"/>
      </w:pPr>
      <w:r w:rsidRPr="00F568B7">
        <w:t xml:space="preserve">Odběratel je odběratelem tepelné energie ve smyslu bodu 5. písm. c), odst. (2), § 2 Energetického zákona, tj. dodanou Tepelnou energii buď přímo </w:t>
      </w:r>
      <w:r w:rsidR="001C7BEE" w:rsidRPr="00F568B7">
        <w:t>spotřebovává, nebo</w:t>
      </w:r>
      <w:r w:rsidRPr="00F568B7">
        <w:t xml:space="preserve"> dopravuje, transformuje a dodává k dalšímu využití jiné fyzické či právnické osobě;</w:t>
      </w:r>
    </w:p>
    <w:p w:rsidR="00D82871" w:rsidRPr="000139C2" w:rsidRDefault="00D82871" w:rsidP="00161AB9">
      <w:pPr>
        <w:jc w:val="both"/>
      </w:pPr>
    </w:p>
    <w:p w:rsidR="008519F5" w:rsidRPr="000139C2" w:rsidRDefault="00D82871" w:rsidP="00161AB9">
      <w:pPr>
        <w:numPr>
          <w:ilvl w:val="0"/>
          <w:numId w:val="1"/>
        </w:numPr>
        <w:tabs>
          <w:tab w:val="left" w:pos="720"/>
        </w:tabs>
        <w:ind w:left="720" w:hanging="720"/>
        <w:jc w:val="both"/>
      </w:pPr>
      <w:r w:rsidRPr="000139C2">
        <w:t xml:space="preserve">Dodavatel je ochoten </w:t>
      </w:r>
      <w:r w:rsidR="001B4434" w:rsidRPr="000139C2">
        <w:t>Tepelnou energii</w:t>
      </w:r>
      <w:r w:rsidRPr="000139C2">
        <w:t xml:space="preserve"> Odběrateli dodávat, a to za podmínek stanovených v </w:t>
      </w:r>
      <w:r w:rsidR="00443DCF">
        <w:t> </w:t>
      </w:r>
      <w:r w:rsidRPr="000139C2">
        <w:t>této Smlouvě a Energetickém zákoně</w:t>
      </w:r>
      <w:r w:rsidR="008519F5" w:rsidRPr="000139C2">
        <w:t>;</w:t>
      </w:r>
    </w:p>
    <w:p w:rsidR="008519F5" w:rsidRPr="000139C2" w:rsidRDefault="008519F5" w:rsidP="00161AB9">
      <w:pPr>
        <w:jc w:val="both"/>
      </w:pPr>
    </w:p>
    <w:p w:rsidR="00D82871" w:rsidRPr="000139C2" w:rsidRDefault="00A667D6" w:rsidP="00161AB9">
      <w:pPr>
        <w:numPr>
          <w:ilvl w:val="0"/>
          <w:numId w:val="1"/>
        </w:numPr>
        <w:tabs>
          <w:tab w:val="left" w:pos="720"/>
        </w:tabs>
        <w:ind w:left="720" w:hanging="720"/>
        <w:jc w:val="both"/>
      </w:pPr>
      <w:r w:rsidRPr="000139C2">
        <w:t>Odběratel řádně požádal o odběr Tepelné energie ve formě tzv. Přihlášky k odběru Tepelné energie</w:t>
      </w:r>
      <w:r w:rsidR="008519F5" w:rsidRPr="000139C2">
        <w:t>;</w:t>
      </w:r>
    </w:p>
    <w:p w:rsidR="00D82871" w:rsidRPr="000139C2" w:rsidRDefault="00D82871" w:rsidP="00161AB9">
      <w:pPr>
        <w:jc w:val="both"/>
      </w:pPr>
    </w:p>
    <w:p w:rsidR="00D82871" w:rsidRPr="000139C2" w:rsidRDefault="00D82871" w:rsidP="00161AB9">
      <w:pPr>
        <w:jc w:val="both"/>
        <w:rPr>
          <w:b/>
        </w:rPr>
      </w:pPr>
      <w:r w:rsidRPr="000139C2">
        <w:rPr>
          <w:b/>
        </w:rPr>
        <w:t xml:space="preserve">SE SMLUVNÍ STRANY DOHODLY TAKTO: </w:t>
      </w:r>
    </w:p>
    <w:p w:rsidR="00D82871" w:rsidRPr="000139C2" w:rsidRDefault="00D82871" w:rsidP="00161AB9">
      <w:pPr>
        <w:jc w:val="both"/>
        <w:rPr>
          <w:b/>
        </w:rPr>
      </w:pPr>
    </w:p>
    <w:p w:rsidR="00D82871" w:rsidRPr="000139C2" w:rsidRDefault="00D82871" w:rsidP="00161AB9">
      <w:pPr>
        <w:pStyle w:val="Nadpis1"/>
        <w:jc w:val="both"/>
      </w:pPr>
      <w:r w:rsidRPr="000139C2">
        <w:t>Předmět Smlouvy</w:t>
      </w:r>
    </w:p>
    <w:p w:rsidR="00D82871" w:rsidRPr="000139C2" w:rsidRDefault="00D82871" w:rsidP="00161AB9">
      <w:pPr>
        <w:pStyle w:val="Nadpis2"/>
        <w:jc w:val="both"/>
      </w:pPr>
      <w:bookmarkStart w:id="1" w:name="_Ref232921736"/>
      <w:r w:rsidRPr="000139C2">
        <w:t xml:space="preserve">Dodavatel dodá Odběrateli </w:t>
      </w:r>
      <w:r w:rsidR="001B4434" w:rsidRPr="000139C2">
        <w:t>Tepelnou energii</w:t>
      </w:r>
      <w:r w:rsidRPr="000139C2">
        <w:t xml:space="preserve"> v odběrných místech</w:t>
      </w:r>
      <w:r w:rsidR="006179E2" w:rsidRPr="000139C2">
        <w:t xml:space="preserve"> a v kvalitativních parametrech</w:t>
      </w:r>
      <w:r w:rsidRPr="000139C2">
        <w:t xml:space="preserve">, která jsou popsána v </w:t>
      </w:r>
      <w:r w:rsidR="008519F5" w:rsidRPr="000139C2">
        <w:t>P</w:t>
      </w:r>
      <w:r w:rsidRPr="000139C2">
        <w:t>říloze č. 1 této Smlouvy (dále jen "</w:t>
      </w:r>
      <w:r w:rsidRPr="000139C2">
        <w:rPr>
          <w:b/>
        </w:rPr>
        <w:t>Odběrná místa</w:t>
      </w:r>
      <w:r w:rsidRPr="000139C2">
        <w:t>")</w:t>
      </w:r>
      <w:r w:rsidR="00EE5E1B">
        <w:t xml:space="preserve"> </w:t>
      </w:r>
      <w:r w:rsidR="00EE5E1B" w:rsidRPr="00C7290C">
        <w:t xml:space="preserve">a v množství </w:t>
      </w:r>
      <w:r w:rsidR="000D65C0">
        <w:t>dle</w:t>
      </w:r>
      <w:r w:rsidR="000D65C0" w:rsidRPr="00C7290C">
        <w:t xml:space="preserve"> </w:t>
      </w:r>
      <w:r w:rsidR="00EE5E1B" w:rsidRPr="00C7290C">
        <w:t xml:space="preserve">čl. </w:t>
      </w:r>
      <w:r w:rsidR="0027253A">
        <w:fldChar w:fldCharType="begin"/>
      </w:r>
      <w:r w:rsidR="0027253A">
        <w:instrText xml:space="preserve"> REF _Ref310243778 \r \h  \* MERGEFORMAT </w:instrText>
      </w:r>
      <w:r w:rsidR="0027253A">
        <w:fldChar w:fldCharType="separate"/>
      </w:r>
      <w:r w:rsidR="00C31D98">
        <w:t>3</w:t>
      </w:r>
      <w:r w:rsidR="0027253A">
        <w:fldChar w:fldCharType="end"/>
      </w:r>
      <w:r w:rsidR="0083194D" w:rsidRPr="00C7290C">
        <w:t xml:space="preserve"> </w:t>
      </w:r>
      <w:r w:rsidR="00EE5E1B" w:rsidRPr="00C7290C">
        <w:t>této Smlouvy</w:t>
      </w:r>
      <w:r w:rsidRPr="000139C2">
        <w:t>. Ustanovení této Smlouvy se uplatní pro všechna Odběrná místa.</w:t>
      </w:r>
      <w:bookmarkEnd w:id="1"/>
    </w:p>
    <w:p w:rsidR="00D82871" w:rsidRPr="000139C2" w:rsidRDefault="00D82871" w:rsidP="00161AB9">
      <w:pPr>
        <w:pStyle w:val="Nadpis2"/>
        <w:jc w:val="both"/>
      </w:pPr>
      <w:r w:rsidRPr="000139C2">
        <w:t xml:space="preserve">Odběratel odebere a zaplatí v souladu s touto Smlouvou </w:t>
      </w:r>
      <w:r w:rsidR="00CA0141">
        <w:t>veškerou</w:t>
      </w:r>
      <w:r w:rsidRPr="000139C2">
        <w:t xml:space="preserve"> </w:t>
      </w:r>
      <w:r w:rsidR="00494E08" w:rsidRPr="000139C2">
        <w:t>T</w:t>
      </w:r>
      <w:r w:rsidR="001B4434" w:rsidRPr="000139C2">
        <w:t>epelnou energii</w:t>
      </w:r>
      <w:r w:rsidRPr="000139C2">
        <w:t xml:space="preserve"> dodan</w:t>
      </w:r>
      <w:r w:rsidR="001B4434" w:rsidRPr="000139C2">
        <w:t>ou</w:t>
      </w:r>
      <w:r w:rsidRPr="000139C2">
        <w:t xml:space="preserve"> Dodavatelem podle </w:t>
      </w:r>
      <w:proofErr w:type="gramStart"/>
      <w:r w:rsidRPr="000139C2">
        <w:t xml:space="preserve">čl. </w:t>
      </w:r>
      <w:r w:rsidR="0044095D" w:rsidRPr="000139C2">
        <w:fldChar w:fldCharType="begin"/>
      </w:r>
      <w:r w:rsidR="007044A5" w:rsidRPr="000139C2">
        <w:instrText xml:space="preserve"> REF _Ref232921736 \r \h </w:instrText>
      </w:r>
      <w:r w:rsidR="00161AB9" w:rsidRPr="000139C2">
        <w:instrText xml:space="preserve"> \* MERGEFORMAT </w:instrText>
      </w:r>
      <w:r w:rsidR="0044095D" w:rsidRPr="000139C2">
        <w:fldChar w:fldCharType="separate"/>
      </w:r>
      <w:r w:rsidR="00C31D98">
        <w:t>1.1</w:t>
      </w:r>
      <w:r w:rsidR="0044095D" w:rsidRPr="000139C2">
        <w:fldChar w:fldCharType="end"/>
      </w:r>
      <w:r w:rsidR="007044A5" w:rsidRPr="000139C2">
        <w:t xml:space="preserve"> </w:t>
      </w:r>
      <w:r w:rsidRPr="000139C2">
        <w:t>této</w:t>
      </w:r>
      <w:proofErr w:type="gramEnd"/>
      <w:r w:rsidRPr="000139C2">
        <w:t xml:space="preserve"> Smlouvy.</w:t>
      </w:r>
    </w:p>
    <w:p w:rsidR="00D82871" w:rsidRPr="000139C2" w:rsidRDefault="00D82871" w:rsidP="00161AB9">
      <w:pPr>
        <w:pStyle w:val="Nadpis1"/>
        <w:jc w:val="both"/>
      </w:pPr>
      <w:r w:rsidRPr="000139C2">
        <w:t xml:space="preserve">Technické podmínky dodávky </w:t>
      </w:r>
      <w:r w:rsidR="001B4434" w:rsidRPr="000139C2">
        <w:t>Tepelné energie</w:t>
      </w:r>
      <w:r w:rsidRPr="000139C2">
        <w:t xml:space="preserve">, kvalitativní parametry </w:t>
      </w:r>
    </w:p>
    <w:p w:rsidR="008E3321" w:rsidRPr="000139C2" w:rsidRDefault="00D82871" w:rsidP="008E3321">
      <w:pPr>
        <w:pStyle w:val="Nadpis2"/>
        <w:jc w:val="both"/>
      </w:pPr>
      <w:r w:rsidRPr="000139C2">
        <w:t xml:space="preserve">Dodávka </w:t>
      </w:r>
      <w:r w:rsidR="001B4434" w:rsidRPr="000139C2">
        <w:t>Tepelné energie</w:t>
      </w:r>
      <w:r w:rsidRPr="000139C2">
        <w:t xml:space="preserve"> je splněna a vlastnictví a nebezpečí škody k</w:t>
      </w:r>
      <w:r w:rsidR="001B4434" w:rsidRPr="000139C2">
        <w:t> </w:t>
      </w:r>
      <w:r w:rsidRPr="000139C2">
        <w:t>Tep</w:t>
      </w:r>
      <w:r w:rsidR="001B4434" w:rsidRPr="000139C2">
        <w:t>e</w:t>
      </w:r>
      <w:r w:rsidRPr="000139C2">
        <w:t>l</w:t>
      </w:r>
      <w:r w:rsidR="001B4434" w:rsidRPr="000139C2">
        <w:t>né energii</w:t>
      </w:r>
      <w:r w:rsidRPr="000139C2">
        <w:t xml:space="preserve"> přechází z Dodavatele na Odběratele přechodem </w:t>
      </w:r>
      <w:r w:rsidR="001B4434" w:rsidRPr="000139C2">
        <w:t>Tepelné energie</w:t>
      </w:r>
      <w:r w:rsidRPr="000139C2">
        <w:t xml:space="preserve"> </w:t>
      </w:r>
      <w:r w:rsidR="00B4327D">
        <w:t>z</w:t>
      </w:r>
      <w:r w:rsidR="003C798F">
        <w:t>e zařízení ve</w:t>
      </w:r>
      <w:r w:rsidR="00B4327D">
        <w:t xml:space="preserve"> vlastnictví</w:t>
      </w:r>
      <w:r w:rsidRPr="000139C2">
        <w:t xml:space="preserve"> Dodavatele </w:t>
      </w:r>
      <w:r w:rsidR="00471DC3" w:rsidRPr="000139C2">
        <w:t xml:space="preserve">v Odběrném místě </w:t>
      </w:r>
      <w:r w:rsidR="00173C81" w:rsidRPr="000139C2">
        <w:t xml:space="preserve">do </w:t>
      </w:r>
      <w:r w:rsidR="003C798F">
        <w:t xml:space="preserve">zařízení ve </w:t>
      </w:r>
      <w:r w:rsidR="00B4327D">
        <w:t>vlastnictví</w:t>
      </w:r>
      <w:r w:rsidR="00173C81" w:rsidRPr="000139C2">
        <w:t xml:space="preserve"> Odběratele</w:t>
      </w:r>
      <w:r w:rsidR="00EA7876" w:rsidRPr="000139C2">
        <w:t>.</w:t>
      </w:r>
    </w:p>
    <w:p w:rsidR="00D82871" w:rsidRPr="000139C2" w:rsidRDefault="00D82871" w:rsidP="00161AB9">
      <w:pPr>
        <w:pStyle w:val="Nadpis2"/>
        <w:jc w:val="both"/>
      </w:pPr>
      <w:r w:rsidRPr="000139C2">
        <w:t xml:space="preserve">Nosným médiem </w:t>
      </w:r>
      <w:r w:rsidR="009D1FBF" w:rsidRPr="000139C2">
        <w:t>T</w:t>
      </w:r>
      <w:r w:rsidR="001B4434" w:rsidRPr="000139C2">
        <w:t>epelné energie</w:t>
      </w:r>
      <w:r w:rsidRPr="000139C2">
        <w:t xml:space="preserve"> bude v souladu s Přílohou </w:t>
      </w:r>
      <w:proofErr w:type="gramStart"/>
      <w:r w:rsidRPr="000139C2">
        <w:t xml:space="preserve">č.1 </w:t>
      </w:r>
      <w:r w:rsidR="002D4D83">
        <w:t>pára</w:t>
      </w:r>
      <w:proofErr w:type="gramEnd"/>
      <w:r w:rsidRPr="000139C2">
        <w:t xml:space="preserve"> (pro dodávku </w:t>
      </w:r>
      <w:r w:rsidR="009D1FBF" w:rsidRPr="000139C2">
        <w:t>T</w:t>
      </w:r>
      <w:r w:rsidR="001B4434" w:rsidRPr="000139C2">
        <w:t>epelné energie</w:t>
      </w:r>
      <w:r w:rsidRPr="000139C2">
        <w:t xml:space="preserve"> v </w:t>
      </w:r>
      <w:r w:rsidR="002D4D83">
        <w:t>páře</w:t>
      </w:r>
      <w:r w:rsidRPr="000139C2">
        <w:t>)</w:t>
      </w:r>
      <w:r w:rsidRPr="00F568B7">
        <w:t xml:space="preserve">. </w:t>
      </w:r>
      <w:r w:rsidRPr="000139C2">
        <w:t xml:space="preserve">Měrnou jednotkou </w:t>
      </w:r>
      <w:r w:rsidR="001A3C01" w:rsidRPr="000139C2">
        <w:t>T</w:t>
      </w:r>
      <w:r w:rsidR="001B4434" w:rsidRPr="000139C2">
        <w:t>epelné energie</w:t>
      </w:r>
      <w:r w:rsidRPr="000139C2">
        <w:t xml:space="preserve"> jsou gigajouly (dále „</w:t>
      </w:r>
      <w:r w:rsidRPr="000139C2">
        <w:rPr>
          <w:b/>
        </w:rPr>
        <w:t>GJ</w:t>
      </w:r>
      <w:r w:rsidRPr="000139C2">
        <w:t>“).</w:t>
      </w:r>
    </w:p>
    <w:p w:rsidR="00D82871" w:rsidRPr="000139C2" w:rsidRDefault="00B71BBF" w:rsidP="00161AB9">
      <w:pPr>
        <w:pStyle w:val="Nadpis2"/>
        <w:jc w:val="both"/>
      </w:pPr>
      <w:bookmarkStart w:id="2" w:name="_Ref232838685"/>
      <w:r>
        <w:lastRenderedPageBreak/>
        <w:t xml:space="preserve">Voda, vzniklá kondenzací páry v odběrném tepelném zařízení Odběratele (dále „kondenzát“), je </w:t>
      </w:r>
      <w:r w:rsidR="00D82871" w:rsidRPr="000139C2">
        <w:t>majetkem Dodavatele a Odběratel se zavazuje v</w:t>
      </w:r>
      <w:r w:rsidR="00BD6F14" w:rsidRPr="000139C2">
        <w:t xml:space="preserve">racet </w:t>
      </w:r>
      <w:r>
        <w:t xml:space="preserve">kondenzát </w:t>
      </w:r>
      <w:r w:rsidR="00BD6F14" w:rsidRPr="000139C2">
        <w:t>Dodavateli, pokud se Dodav</w:t>
      </w:r>
      <w:r w:rsidR="009D1FBF" w:rsidRPr="000139C2">
        <w:t>a</w:t>
      </w:r>
      <w:r w:rsidR="00BD6F14" w:rsidRPr="000139C2">
        <w:t>tel s Odběratelem nedohodnou jinak.</w:t>
      </w:r>
      <w:bookmarkEnd w:id="2"/>
      <w:r w:rsidR="00494E08" w:rsidRPr="000139C2">
        <w:t xml:space="preserve"> Odběratel je </w:t>
      </w:r>
      <w:r w:rsidR="0083194D">
        <w:t xml:space="preserve">rovněž </w:t>
      </w:r>
      <w:r w:rsidR="00494E08" w:rsidRPr="000139C2">
        <w:t xml:space="preserve">povinen </w:t>
      </w:r>
      <w:r>
        <w:t xml:space="preserve">kondenzát </w:t>
      </w:r>
      <w:r w:rsidR="00494E08" w:rsidRPr="000139C2">
        <w:t>neznehodnocovat, tedy chovat se tak, aby byly zacho</w:t>
      </w:r>
      <w:r>
        <w:t>vány v podstatných ohledech jeho</w:t>
      </w:r>
      <w:r w:rsidR="00494E08" w:rsidRPr="000139C2">
        <w:t xml:space="preserve"> chemické parametry.</w:t>
      </w:r>
      <w:r>
        <w:t xml:space="preserve"> Nevrací-li Odběratel veškerý kondenzát zpět Dodavateli</w:t>
      </w:r>
      <w:r w:rsidR="00E753B2">
        <w:t xml:space="preserve"> po dohodě s</w:t>
      </w:r>
      <w:r w:rsidR="00653A1A">
        <w:t> </w:t>
      </w:r>
      <w:r w:rsidR="00E753B2">
        <w:t>ním</w:t>
      </w:r>
      <w:r w:rsidR="00653A1A">
        <w:t xml:space="preserve"> (např. v důsledku jeho </w:t>
      </w:r>
      <w:r w:rsidR="00675DC8">
        <w:t>ztrát v odběrném</w:t>
      </w:r>
      <w:r w:rsidR="00653A1A">
        <w:t xml:space="preserve"> </w:t>
      </w:r>
      <w:r w:rsidR="00675DC8">
        <w:t xml:space="preserve">místě </w:t>
      </w:r>
      <w:r w:rsidR="00653A1A">
        <w:t>nebo při dalším využívání kondenzátu</w:t>
      </w:r>
      <w:r w:rsidR="00675DC8">
        <w:t xml:space="preserve"> pro jiné účely</w:t>
      </w:r>
      <w:r w:rsidR="00653A1A">
        <w:t>)</w:t>
      </w:r>
      <w:r>
        <w:t xml:space="preserve">, vyúčtuje Dodavatel </w:t>
      </w:r>
      <w:r w:rsidR="00E753B2">
        <w:t xml:space="preserve">za množství nevráceného kondenzátu </w:t>
      </w:r>
      <w:r>
        <w:t xml:space="preserve">alespoň jednou ročně Odběrateli cenu podle Ceníku. Pro takový případ si Odběratel s Dodavatelem dohodl v příloze </w:t>
      </w:r>
      <w:proofErr w:type="gramStart"/>
      <w:r>
        <w:t>č.1 této</w:t>
      </w:r>
      <w:proofErr w:type="gramEnd"/>
      <w:r>
        <w:t xml:space="preserve"> smlouvy podíl </w:t>
      </w:r>
      <w:r w:rsidR="00E753B2">
        <w:t xml:space="preserve">nevráceného </w:t>
      </w:r>
      <w:r>
        <w:t>kondenzátu</w:t>
      </w:r>
      <w:r w:rsidR="00E753B2">
        <w:t xml:space="preserve"> na veškerém kondenzátu</w:t>
      </w:r>
      <w:r>
        <w:t>, který nevrací</w:t>
      </w:r>
      <w:r w:rsidR="00E753B2">
        <w:t xml:space="preserve"> zpět</w:t>
      </w:r>
      <w:r>
        <w:t>.</w:t>
      </w:r>
    </w:p>
    <w:p w:rsidR="00F76BB3" w:rsidRPr="000139C2" w:rsidRDefault="000D65C0" w:rsidP="00F76BB3">
      <w:pPr>
        <w:pStyle w:val="Nadpis1"/>
        <w:jc w:val="both"/>
        <w:rPr>
          <w:i w:val="0"/>
        </w:rPr>
      </w:pPr>
      <w:bookmarkStart w:id="3" w:name="_Ref310243778"/>
      <w:bookmarkStart w:id="4" w:name="_Ref232831199"/>
      <w:r>
        <w:t>Plánování</w:t>
      </w:r>
      <w:r w:rsidRPr="000139C2">
        <w:t xml:space="preserve"> </w:t>
      </w:r>
      <w:r w:rsidR="00F76BB3" w:rsidRPr="000139C2">
        <w:t>dodávek Tepelné energie</w:t>
      </w:r>
      <w:bookmarkEnd w:id="3"/>
    </w:p>
    <w:p w:rsidR="005B6CFE" w:rsidRPr="009923C8" w:rsidRDefault="00D82871" w:rsidP="00E64048">
      <w:pPr>
        <w:pStyle w:val="Nadpis2"/>
        <w:numPr>
          <w:ilvl w:val="0"/>
          <w:numId w:val="0"/>
        </w:numPr>
        <w:ind w:left="1134"/>
        <w:jc w:val="both"/>
      </w:pPr>
      <w:bookmarkStart w:id="5" w:name="_Ref325620689"/>
      <w:r w:rsidRPr="000139C2">
        <w:t xml:space="preserve">Do </w:t>
      </w:r>
      <w:r w:rsidR="00A23A41" w:rsidRPr="000139C2">
        <w:t>3</w:t>
      </w:r>
      <w:r w:rsidR="00A23A41">
        <w:t>0</w:t>
      </w:r>
      <w:r w:rsidRPr="000139C2">
        <w:t xml:space="preserve">. </w:t>
      </w:r>
      <w:r w:rsidR="00A23A41">
        <w:t>dubna</w:t>
      </w:r>
      <w:r w:rsidR="00A23A41" w:rsidRPr="000139C2">
        <w:t xml:space="preserve"> </w:t>
      </w:r>
      <w:r w:rsidRPr="000139C2">
        <w:t xml:space="preserve">každého </w:t>
      </w:r>
      <w:r w:rsidR="00EE5E1B">
        <w:t xml:space="preserve">celého </w:t>
      </w:r>
      <w:r w:rsidRPr="000139C2">
        <w:t>roku trvání této Smlouvy Odběratel</w:t>
      </w:r>
      <w:r w:rsidR="00A23A41">
        <w:t xml:space="preserve"> v</w:t>
      </w:r>
      <w:r w:rsidR="003C798F">
        <w:t> </w:t>
      </w:r>
      <w:r w:rsidR="00A23A41">
        <w:t>případě</w:t>
      </w:r>
      <w:r w:rsidR="003C798F">
        <w:t>,</w:t>
      </w:r>
      <w:r w:rsidR="00A23A41">
        <w:t xml:space="preserve"> že o to Dodavatel požádá,</w:t>
      </w:r>
      <w:r w:rsidRPr="000139C2">
        <w:t xml:space="preserve"> </w:t>
      </w:r>
      <w:r w:rsidR="008A7341">
        <w:t xml:space="preserve">písemně předloží předpokládaný odběr Tepelné energie </w:t>
      </w:r>
      <w:r w:rsidR="000D65C0">
        <w:t xml:space="preserve">následujícího roku v měsíčním členění </w:t>
      </w:r>
      <w:r w:rsidR="008A7341">
        <w:t>včetně předpokládaných změn v odběru s uvedením termínu změny.</w:t>
      </w:r>
      <w:bookmarkEnd w:id="4"/>
      <w:bookmarkEnd w:id="5"/>
    </w:p>
    <w:p w:rsidR="00D82871" w:rsidRPr="000139C2" w:rsidRDefault="00D82871" w:rsidP="00161AB9">
      <w:pPr>
        <w:pStyle w:val="Nadpis1"/>
        <w:jc w:val="both"/>
      </w:pPr>
      <w:r w:rsidRPr="000139C2">
        <w:t>Cena</w:t>
      </w:r>
    </w:p>
    <w:p w:rsidR="005500DC" w:rsidRPr="000139C2" w:rsidRDefault="005500DC" w:rsidP="00161AB9">
      <w:pPr>
        <w:pStyle w:val="Nadpis2"/>
        <w:jc w:val="both"/>
      </w:pPr>
      <w:r w:rsidRPr="000139C2">
        <w:t>Cena za dodávku Tepelné energie</w:t>
      </w:r>
      <w:r w:rsidR="00522F32" w:rsidRPr="000139C2">
        <w:t xml:space="preserve"> do Odběrného místa</w:t>
      </w:r>
      <w:r w:rsidRPr="000139C2">
        <w:t xml:space="preserve"> je stanovena ceníkem Dodavatele (dále jen „</w:t>
      </w:r>
      <w:r w:rsidRPr="000139C2">
        <w:rPr>
          <w:b/>
        </w:rPr>
        <w:t>Ceník</w:t>
      </w:r>
      <w:r w:rsidRPr="000139C2">
        <w:t xml:space="preserve">“). Ceník platný </w:t>
      </w:r>
      <w:r w:rsidR="00931450">
        <w:t xml:space="preserve">ke dni podpisu Smlouvy </w:t>
      </w:r>
      <w:r w:rsidRPr="000139C2">
        <w:t>je přilo</w:t>
      </w:r>
      <w:r w:rsidR="006F00F6" w:rsidRPr="000139C2">
        <w:t>žen v P</w:t>
      </w:r>
      <w:r w:rsidRPr="000139C2">
        <w:t>říloze č.</w:t>
      </w:r>
      <w:r w:rsidR="00494E08" w:rsidRPr="000139C2">
        <w:t xml:space="preserve"> </w:t>
      </w:r>
      <w:r w:rsidR="000C44B3">
        <w:t>4 Smlouvy.</w:t>
      </w:r>
    </w:p>
    <w:p w:rsidR="00D82871" w:rsidRPr="000139C2" w:rsidRDefault="00D82871" w:rsidP="00161AB9">
      <w:pPr>
        <w:pStyle w:val="Nadpis2"/>
        <w:jc w:val="both"/>
      </w:pPr>
      <w:r w:rsidRPr="000139C2">
        <w:t xml:space="preserve">Nejpozději do </w:t>
      </w:r>
      <w:r w:rsidR="008A7341">
        <w:t>25. listopadu</w:t>
      </w:r>
      <w:r w:rsidRPr="000139C2">
        <w:t xml:space="preserve"> každého roku bude Dodavatelem stanovena na základě nákladů na výrobu a rozvod </w:t>
      </w:r>
      <w:r w:rsidR="001B4434" w:rsidRPr="000139C2">
        <w:t>Tepelné energie</w:t>
      </w:r>
      <w:r w:rsidRPr="000139C2">
        <w:t xml:space="preserve"> a přiměřeného zisku Dodavatele </w:t>
      </w:r>
      <w:r w:rsidR="00A63A03">
        <w:t xml:space="preserve">předběžná </w:t>
      </w:r>
      <w:r w:rsidRPr="000139C2">
        <w:t xml:space="preserve">cena za dodávku </w:t>
      </w:r>
      <w:r w:rsidR="001B4434" w:rsidRPr="000139C2">
        <w:t>Tepelné energie</w:t>
      </w:r>
      <w:r w:rsidRPr="000139C2">
        <w:t xml:space="preserve"> platná od 1.</w:t>
      </w:r>
      <w:r w:rsidR="00ED5FC7">
        <w:t xml:space="preserve"> </w:t>
      </w:r>
      <w:r w:rsidRPr="000139C2">
        <w:t>ledna následujícího roku</w:t>
      </w:r>
      <w:r w:rsidR="00DC288D" w:rsidRPr="000139C2">
        <w:t>, a to v souladu s pravidly věcného usměrňování cen tepelné energie upravenými příslušnými účinnými právními předpisy</w:t>
      </w:r>
      <w:r w:rsidR="00494E08" w:rsidRPr="000139C2">
        <w:t xml:space="preserve"> a cenovými rozhodnutími Energetického regulačního úřadu,</w:t>
      </w:r>
      <w:r w:rsidR="003669EA" w:rsidRPr="000139C2">
        <w:t xml:space="preserve"> a </w:t>
      </w:r>
      <w:r w:rsidR="00494E08" w:rsidRPr="000139C2">
        <w:t xml:space="preserve">to </w:t>
      </w:r>
      <w:r w:rsidR="003669EA" w:rsidRPr="000139C2">
        <w:t>formou nového Ceníku</w:t>
      </w:r>
      <w:r w:rsidRPr="000139C2">
        <w:t xml:space="preserve">. Takto stanovená cena </w:t>
      </w:r>
      <w:r w:rsidR="0083194D">
        <w:t xml:space="preserve">za dodávku </w:t>
      </w:r>
      <w:r w:rsidR="001B4434" w:rsidRPr="000139C2">
        <w:t>Tepelné energie</w:t>
      </w:r>
      <w:r w:rsidRPr="000139C2">
        <w:t xml:space="preserve"> může být v </w:t>
      </w:r>
      <w:r w:rsidR="00443DCF">
        <w:t> </w:t>
      </w:r>
      <w:r w:rsidRPr="000139C2">
        <w:t>průběhu roku</w:t>
      </w:r>
      <w:r w:rsidR="00ED5FC7">
        <w:t xml:space="preserve"> nebo po skončení roku</w:t>
      </w:r>
      <w:r w:rsidRPr="000139C2">
        <w:t xml:space="preserve"> Dodavatelem upravena</w:t>
      </w:r>
      <w:r w:rsidR="003914F2" w:rsidRPr="000139C2">
        <w:t xml:space="preserve"> v souladu s pravidly věcného usměrňování cen tepelné energie.</w:t>
      </w:r>
    </w:p>
    <w:p w:rsidR="00D82871" w:rsidRDefault="00D82871" w:rsidP="00161AB9">
      <w:pPr>
        <w:pStyle w:val="Nadpis2"/>
        <w:jc w:val="both"/>
      </w:pPr>
      <w:r w:rsidRPr="000139C2">
        <w:t xml:space="preserve">Veškeré ceny za </w:t>
      </w:r>
      <w:r w:rsidR="0083194D">
        <w:t xml:space="preserve">dodávku </w:t>
      </w:r>
      <w:r w:rsidR="00DC288D" w:rsidRPr="000139C2">
        <w:t>T</w:t>
      </w:r>
      <w:r w:rsidR="0083194D">
        <w:t>epelné</w:t>
      </w:r>
      <w:r w:rsidR="001B4434" w:rsidRPr="000139C2">
        <w:t xml:space="preserve"> energii</w:t>
      </w:r>
      <w:r w:rsidRPr="000139C2">
        <w:t xml:space="preserve"> uváděné v této Smlouvě, není-li uvedeno jinak, nezahrnují daň z přidané hodnoty</w:t>
      </w:r>
      <w:r w:rsidR="007F001B" w:rsidRPr="0059627A">
        <w:t xml:space="preserve"> v souladu se zákonem č. 235/2004 Sb., o dani z přidané hodnoty, ve znění pozdějších předpisů (dále jen "Zákon o DPH"), a další případně aplikovatelné daně a poplatky</w:t>
      </w:r>
      <w:r w:rsidRPr="000139C2">
        <w:t>.</w:t>
      </w:r>
    </w:p>
    <w:p w:rsidR="00BD580D" w:rsidRPr="00131866" w:rsidRDefault="00BD580D" w:rsidP="008E74C0">
      <w:pPr>
        <w:pStyle w:val="Nadpis2"/>
        <w:jc w:val="both"/>
      </w:pPr>
      <w:r w:rsidRPr="00131866">
        <w:t xml:space="preserve">Cena tepelné energie v odběrném místě je stanovena a účtována formou jednosložkové ceny vztažené na jednotkové množství tepelné energie. Cena je kalkulována v cenové lokalitě Zlín pro kalendářní rok a pro odběrná místa na stejné úrovni předání jako cena předběžná. Předběžná cena tepelné energie vychází z předpokládaného množství tepla v daném roce. Po uplynutí kalendářního roku bude provedeno vyúčtování ceny tepelné energie na základě výsledné kalkulace, která bude zohledňovat skutečně dodané množství tepla v daném roce, skutečně vynaložené oprávněné náklady a přiměřený zisk. Výslednou cenu </w:t>
      </w:r>
      <w:r w:rsidR="00336A05" w:rsidRPr="00131866">
        <w:t>T</w:t>
      </w:r>
      <w:r w:rsidRPr="00131866">
        <w:t>epelné energie oznámí dodavatel odběrateli nejpozději do 1. února po uplynutí kalendářního roku.</w:t>
      </w:r>
    </w:p>
    <w:p w:rsidR="00D82871" w:rsidRPr="000139C2" w:rsidRDefault="00D82871" w:rsidP="00161AB9">
      <w:pPr>
        <w:pStyle w:val="Nadpis1"/>
        <w:jc w:val="both"/>
      </w:pPr>
      <w:r w:rsidRPr="000139C2">
        <w:t>Platby a fakturace</w:t>
      </w:r>
    </w:p>
    <w:p w:rsidR="00D82871" w:rsidRPr="000139C2" w:rsidRDefault="00D82871" w:rsidP="00161AB9">
      <w:pPr>
        <w:pStyle w:val="Nadpis2"/>
        <w:jc w:val="both"/>
      </w:pPr>
      <w:r w:rsidRPr="000139C2">
        <w:t>Odběratel bude platit veškeré platby podle této Smlouvy bankovním převodem na účet Dodavatele uvedený na faktuře vystavené Dodavatelem v souladu s touto Smlouvou. Variabilní symbol b</w:t>
      </w:r>
      <w:r w:rsidR="00336A05">
        <w:t>ude uvedený na faktuře. Faktura</w:t>
      </w:r>
      <w:r w:rsidRPr="000139C2">
        <w:t xml:space="preserve"> </w:t>
      </w:r>
      <w:r w:rsidR="00580247">
        <w:t xml:space="preserve">nebo záloha </w:t>
      </w:r>
      <w:r w:rsidRPr="000139C2">
        <w:t>se považuje za zaplacenou připsáním příslušné částky na účet Dodavatele uvedený v tomto článku.</w:t>
      </w:r>
    </w:p>
    <w:p w:rsidR="00D82871" w:rsidRPr="000139C2" w:rsidRDefault="00D82871" w:rsidP="00161AB9">
      <w:pPr>
        <w:pStyle w:val="Nadpis2"/>
        <w:jc w:val="both"/>
      </w:pPr>
      <w:r w:rsidRPr="000139C2">
        <w:lastRenderedPageBreak/>
        <w:t xml:space="preserve">Platby za </w:t>
      </w:r>
      <w:r w:rsidR="0083194D">
        <w:t xml:space="preserve">dodávku </w:t>
      </w:r>
      <w:r w:rsidR="00DC288D" w:rsidRPr="000139C2">
        <w:t>T</w:t>
      </w:r>
      <w:r w:rsidR="001B4434" w:rsidRPr="000139C2">
        <w:t>epeln</w:t>
      </w:r>
      <w:r w:rsidR="0083194D">
        <w:t>é energie</w:t>
      </w:r>
      <w:r w:rsidRPr="000139C2">
        <w:t xml:space="preserve"> bude Dodavatel fakturovat Odběrateli měsíčně podle skutečné dodávky </w:t>
      </w:r>
      <w:r w:rsidR="00DC288D" w:rsidRPr="000139C2">
        <w:t>T</w:t>
      </w:r>
      <w:r w:rsidR="001B4434" w:rsidRPr="000139C2">
        <w:t>epelné energie</w:t>
      </w:r>
      <w:r w:rsidR="008E74C0">
        <w:t xml:space="preserve"> v předběžné ceně</w:t>
      </w:r>
      <w:r w:rsidRPr="000139C2">
        <w:t xml:space="preserve">, přičemž na všechna Odběrná místa vždy vystaví jednu fakturu. </w:t>
      </w:r>
    </w:p>
    <w:p w:rsidR="00580247" w:rsidRDefault="00580247" w:rsidP="00580247">
      <w:pPr>
        <w:pStyle w:val="Nadpis2"/>
        <w:jc w:val="both"/>
      </w:pPr>
      <w:bookmarkStart w:id="6" w:name="_Ref232838642"/>
      <w:r>
        <w:t xml:space="preserve">Dodavatel je oprávněn požadovat, aby Odběratel platil zálohu do výše odběru za poslední uzavřený měsíc, případně za předchozí (co do množství odebraného tepla) srovnatelný měsíc. Zálohu za první měsíc dodávek Dodavatel stanoví na základě předpokládané výše dodávek. Výši zálohy v každém kalendářním měsíci, bude-li Dodavatel požadovat její zaplacení, písemně oznámí Dodavatel Odběrateli formou zálohové faktury nejpozději 5. </w:t>
      </w:r>
      <w:r w:rsidR="00443DCF">
        <w:t> </w:t>
      </w:r>
      <w:r>
        <w:t>den měsíce, pro který se tato splátka stanoví. Záloha bude splatná vždy 15. den příslušného kalendářního měsíce. V případě, že uvedený den není pracovním dnem, bude záloha uhrazena nejbližší následující pracovní den.</w:t>
      </w:r>
    </w:p>
    <w:p w:rsidR="00D82871" w:rsidRPr="000139C2" w:rsidRDefault="00580247" w:rsidP="00580247">
      <w:pPr>
        <w:pStyle w:val="Nadpis2"/>
        <w:jc w:val="both"/>
      </w:pPr>
      <w:bookmarkStart w:id="7" w:name="_Ref432686130"/>
      <w:r w:rsidRPr="00580247">
        <w:t xml:space="preserve">V případě, že Dodavatel bude požadovat placení zálohy, provede Dodavatel </w:t>
      </w:r>
      <w:r>
        <w:t>v</w:t>
      </w:r>
      <w:r w:rsidR="00D82871" w:rsidRPr="000139C2">
        <w:t xml:space="preserve">yúčtování ceny dodávky </w:t>
      </w:r>
      <w:r w:rsidR="00A41DFF" w:rsidRPr="000139C2">
        <w:t>T</w:t>
      </w:r>
      <w:r w:rsidR="001B4434" w:rsidRPr="000139C2">
        <w:t>epelné energie</w:t>
      </w:r>
      <w:r w:rsidR="00D82871" w:rsidRPr="000139C2">
        <w:t xml:space="preserve"> za kalendářní měsíc</w:t>
      </w:r>
      <w:r w:rsidR="007F001B">
        <w:t>,</w:t>
      </w:r>
      <w:r w:rsidR="00D82871" w:rsidRPr="000139C2">
        <w:t xml:space="preserve"> </w:t>
      </w:r>
      <w:r w:rsidR="00C80DFB">
        <w:t>včetně daně z</w:t>
      </w:r>
      <w:r w:rsidR="0073216C">
        <w:t> </w:t>
      </w:r>
      <w:r w:rsidR="00C80DFB">
        <w:t>přidané hodnoty v </w:t>
      </w:r>
      <w:r w:rsidR="00D82871" w:rsidRPr="000139C2">
        <w:t xml:space="preserve">souladu se </w:t>
      </w:r>
      <w:r w:rsidR="007F001B">
        <w:t>Z</w:t>
      </w:r>
      <w:r w:rsidR="00D82871" w:rsidRPr="000139C2">
        <w:t>ákonem o DPH</w:t>
      </w:r>
      <w:r w:rsidR="000139C2" w:rsidRPr="000139C2">
        <w:t xml:space="preserve"> a dalších aplikovatelných poplatků a daní</w:t>
      </w:r>
      <w:r w:rsidR="00D82871" w:rsidRPr="000139C2">
        <w:t xml:space="preserve">, měsíční fakturou, která bude daňovým dokladem. </w:t>
      </w:r>
      <w:r w:rsidR="007F001B" w:rsidRPr="00873B6F">
        <w:t xml:space="preserve">Úhradou </w:t>
      </w:r>
      <w:r w:rsidR="007F001B">
        <w:t>z</w:t>
      </w:r>
      <w:r w:rsidR="007F001B" w:rsidRPr="005C485E">
        <w:t xml:space="preserve">áloh není dotčen závazek </w:t>
      </w:r>
      <w:r w:rsidR="007F001B">
        <w:t>Odběratele</w:t>
      </w:r>
      <w:r w:rsidR="007F001B" w:rsidRPr="00882D40">
        <w:t xml:space="preserve"> </w:t>
      </w:r>
      <w:r w:rsidR="007F001B" w:rsidRPr="005C485E">
        <w:t xml:space="preserve">hradit platbu za </w:t>
      </w:r>
      <w:r w:rsidR="007F001B">
        <w:t xml:space="preserve">skutečně dodané množství Tepelné energie naměřené a vyúčtované Dodavatelem v souladu s touto Smlouvou, které nebylo uhrazeno zálohovými platbami. Konečnou </w:t>
      </w:r>
      <w:r w:rsidR="00D82871" w:rsidRPr="000139C2">
        <w:t xml:space="preserve">fakturu odešle Dodavatel Odběrateli </w:t>
      </w:r>
      <w:r w:rsidR="000139C2" w:rsidRPr="000139C2">
        <w:t xml:space="preserve">do </w:t>
      </w:r>
      <w:r w:rsidR="001868E0">
        <w:t>patnácti (</w:t>
      </w:r>
      <w:r w:rsidR="000139C2" w:rsidRPr="000139C2">
        <w:t>15</w:t>
      </w:r>
      <w:r w:rsidR="001868E0">
        <w:t>)</w:t>
      </w:r>
      <w:r w:rsidR="000139C2" w:rsidRPr="000139C2">
        <w:t xml:space="preserve"> dnů ode dne zdanitelného plnění, uvedeného na konečné faktuře</w:t>
      </w:r>
      <w:bookmarkEnd w:id="6"/>
      <w:r w:rsidR="001868E0" w:rsidRPr="000139C2">
        <w:t>. V</w:t>
      </w:r>
      <w:r w:rsidR="001868E0">
        <w:t xml:space="preserve"> případě, že </w:t>
      </w:r>
      <w:r w:rsidR="001868E0" w:rsidRPr="000139C2">
        <w:t xml:space="preserve">konečná faktura bude obsahovat nedoplatek, uhradí </w:t>
      </w:r>
      <w:r w:rsidR="001868E0">
        <w:t xml:space="preserve">Odběratel </w:t>
      </w:r>
      <w:r w:rsidR="001868E0" w:rsidRPr="000139C2">
        <w:t xml:space="preserve">takový nedoplatek nejpozději do </w:t>
      </w:r>
      <w:r w:rsidR="009923C8">
        <w:t xml:space="preserve">jednadvaceti </w:t>
      </w:r>
      <w:r w:rsidR="001868E0">
        <w:t>(</w:t>
      </w:r>
      <w:r w:rsidR="009923C8">
        <w:t>2</w:t>
      </w:r>
      <w:r w:rsidR="001868E0" w:rsidRPr="000139C2">
        <w:t>1</w:t>
      </w:r>
      <w:r w:rsidR="001868E0">
        <w:t>)</w:t>
      </w:r>
      <w:r w:rsidR="001868E0" w:rsidRPr="000139C2">
        <w:t xml:space="preserve"> dnů ode dne </w:t>
      </w:r>
      <w:r w:rsidR="00665FC0">
        <w:t>vystavení</w:t>
      </w:r>
      <w:r w:rsidR="00665FC0" w:rsidRPr="000139C2">
        <w:t xml:space="preserve"> </w:t>
      </w:r>
      <w:r w:rsidR="001868E0" w:rsidRPr="000139C2">
        <w:t xml:space="preserve">faktury. </w:t>
      </w:r>
      <w:r w:rsidR="001868E0" w:rsidRPr="004A50D7">
        <w:t>Případné přeplatky</w:t>
      </w:r>
      <w:r w:rsidR="001868E0" w:rsidRPr="005C485E">
        <w:t xml:space="preserve"> uhradí </w:t>
      </w:r>
      <w:r w:rsidR="001868E0" w:rsidRPr="00C619D1">
        <w:t xml:space="preserve">Dodavatel </w:t>
      </w:r>
      <w:r w:rsidR="001868E0" w:rsidRPr="005C485E">
        <w:t xml:space="preserve">nejpozději do </w:t>
      </w:r>
      <w:r w:rsidR="009923C8">
        <w:t xml:space="preserve">jednadvaceti </w:t>
      </w:r>
      <w:r w:rsidR="001868E0">
        <w:t>(</w:t>
      </w:r>
      <w:r w:rsidR="009923C8">
        <w:t>2</w:t>
      </w:r>
      <w:r w:rsidR="001868E0" w:rsidRPr="005C485E">
        <w:t>1</w:t>
      </w:r>
      <w:r w:rsidR="001868E0">
        <w:t>)</w:t>
      </w:r>
      <w:r w:rsidR="001868E0" w:rsidRPr="005C485E">
        <w:t xml:space="preserve"> dnů ode dne </w:t>
      </w:r>
      <w:r w:rsidR="001868E0">
        <w:t>vystavení</w:t>
      </w:r>
      <w:r w:rsidR="001868E0" w:rsidRPr="005C485E">
        <w:t xml:space="preserve"> faktury</w:t>
      </w:r>
      <w:r w:rsidR="001868E0" w:rsidRPr="004A50D7">
        <w:t xml:space="preserve"> </w:t>
      </w:r>
      <w:r w:rsidR="001868E0">
        <w:t>po započtení případných</w:t>
      </w:r>
      <w:r w:rsidR="001868E0" w:rsidRPr="005C485E">
        <w:t xml:space="preserve"> finanční</w:t>
      </w:r>
      <w:r w:rsidR="001868E0">
        <w:t>ch</w:t>
      </w:r>
      <w:r w:rsidR="001868E0" w:rsidRPr="005C485E">
        <w:t xml:space="preserve"> závazk</w:t>
      </w:r>
      <w:r w:rsidR="001868E0">
        <w:t>ů Odběratele vůči Dodavateli.</w:t>
      </w:r>
      <w:bookmarkEnd w:id="7"/>
    </w:p>
    <w:p w:rsidR="001868E0" w:rsidRPr="00F134B4" w:rsidRDefault="001868E0" w:rsidP="001868E0">
      <w:pPr>
        <w:pStyle w:val="Nadpis2"/>
        <w:jc w:val="both"/>
      </w:pPr>
      <w:bookmarkStart w:id="8" w:name="_Ref431887842"/>
      <w:r w:rsidRPr="00F134B4">
        <w:t>V</w:t>
      </w:r>
      <w:r w:rsidRPr="000139C2">
        <w:t xml:space="preserve"> případě, že Dodavatel nebude požadovat placení zálohy, </w:t>
      </w:r>
      <w:r>
        <w:t>v</w:t>
      </w:r>
      <w:r w:rsidRPr="000139C2">
        <w:t xml:space="preserve">yúčtování ceny dodávky Tepelné energie za kalendářní měsíc, </w:t>
      </w:r>
      <w:r>
        <w:t>včetně daně z přidané hodnoty v </w:t>
      </w:r>
      <w:r w:rsidRPr="000139C2">
        <w:t xml:space="preserve">souladu se Zákonem o DPH a dalších aplikovatelných poplatků a daní, provede Dodavatel měsíční fakturou, která bude daňovým dokladem. Tuto fakturu odešle Dodavatel Odběrateli do </w:t>
      </w:r>
      <w:r>
        <w:t>patnácti (</w:t>
      </w:r>
      <w:r w:rsidRPr="000139C2">
        <w:t>15</w:t>
      </w:r>
      <w:r>
        <w:t>) </w:t>
      </w:r>
      <w:r w:rsidRPr="000139C2">
        <w:t xml:space="preserve">dnů ode dne zdanitelného plnění, uvedeného na konečné faktuře, </w:t>
      </w:r>
      <w:r w:rsidRPr="00F134B4">
        <w:t xml:space="preserve">Odběratel tuto fakturu uhradí nejpozději </w:t>
      </w:r>
      <w:r w:rsidRPr="00B66CF7">
        <w:t xml:space="preserve">do </w:t>
      </w:r>
      <w:r w:rsidR="00F134B4" w:rsidRPr="002E6AA9">
        <w:t>jednadvaceti</w:t>
      </w:r>
      <w:r w:rsidRPr="002E6AA9">
        <w:t xml:space="preserve"> (</w:t>
      </w:r>
      <w:r w:rsidR="00F134B4" w:rsidRPr="002E6AA9">
        <w:t>2</w:t>
      </w:r>
      <w:r w:rsidRPr="002E6AA9">
        <w:t>1) dnů</w:t>
      </w:r>
      <w:r w:rsidRPr="00F134B4">
        <w:t xml:space="preserve"> ode dne </w:t>
      </w:r>
      <w:r w:rsidR="00535326">
        <w:t xml:space="preserve">jejího </w:t>
      </w:r>
      <w:r w:rsidR="00812A2E">
        <w:t>vystavení</w:t>
      </w:r>
      <w:r w:rsidRPr="00F134B4">
        <w:t>.</w:t>
      </w:r>
      <w:bookmarkEnd w:id="8"/>
    </w:p>
    <w:p w:rsidR="00D82871" w:rsidRPr="000139C2" w:rsidRDefault="00D82871" w:rsidP="00161AB9">
      <w:pPr>
        <w:pStyle w:val="Nadpis2"/>
        <w:jc w:val="both"/>
      </w:pPr>
      <w:r w:rsidRPr="000139C2">
        <w:t>Pokud Odběratel rozporuje částku vyfakturovanou Dodavatelem, písemně oznámí rozporovanou částku a důvod rozporování této částky a zaplatí nerozporovanou částku faktury ve lhůtě její splatnosti. Odběratel a Dodavatel projednají takovýto spor</w:t>
      </w:r>
      <w:r w:rsidR="00262B63">
        <w:t>,</w:t>
      </w:r>
      <w:r w:rsidRPr="000139C2">
        <w:t xml:space="preserve"> a pokud se nedohodnou do </w:t>
      </w:r>
      <w:r w:rsidR="001868E0">
        <w:t>třiceti (</w:t>
      </w:r>
      <w:r w:rsidRPr="000139C2">
        <w:t>30</w:t>
      </w:r>
      <w:r w:rsidR="001868E0">
        <w:t>)</w:t>
      </w:r>
      <w:r w:rsidRPr="000139C2">
        <w:t xml:space="preserve"> dnů po dni splatnosti dané částky, předloží spor příslušnému soudu. </w:t>
      </w:r>
    </w:p>
    <w:p w:rsidR="00D82871" w:rsidRPr="000139C2" w:rsidRDefault="00D82871" w:rsidP="00161AB9">
      <w:pPr>
        <w:pStyle w:val="Nadpis2"/>
        <w:jc w:val="both"/>
      </w:pPr>
      <w:r w:rsidRPr="000139C2">
        <w:t xml:space="preserve">Vzniknou-li chyby nebo omyly při fakturaci </w:t>
      </w:r>
      <w:r w:rsidR="0083194D">
        <w:t xml:space="preserve">dodávky </w:t>
      </w:r>
      <w:r w:rsidR="00A41DFF" w:rsidRPr="000139C2">
        <w:t>T</w:t>
      </w:r>
      <w:r w:rsidR="001B4434" w:rsidRPr="000139C2">
        <w:t>epelné energie</w:t>
      </w:r>
      <w:r w:rsidRPr="000139C2">
        <w:t xml:space="preserve"> nesprávným odečtem, použitím nesprávné konstanty či sazby, početní chybou, apod., mají Odběr</w:t>
      </w:r>
      <w:r w:rsidR="001868E0">
        <w:t>atel i</w:t>
      </w:r>
      <w:r w:rsidR="004F1B77">
        <w:t xml:space="preserve"> </w:t>
      </w:r>
      <w:r w:rsidR="00443DCF">
        <w:t> </w:t>
      </w:r>
      <w:r w:rsidRPr="000139C2">
        <w:t>Dodavatel nárok na vyrovnání nesprávně fakturovaných částek. Odběra</w:t>
      </w:r>
      <w:r w:rsidR="00262B63">
        <w:t>tel uplatní reklamaci písemně u</w:t>
      </w:r>
      <w:r w:rsidRPr="000139C2">
        <w:t xml:space="preserve"> Dodavatele do </w:t>
      </w:r>
      <w:r w:rsidR="00F66AEF">
        <w:t>třiceti (</w:t>
      </w:r>
      <w:r w:rsidRPr="000139C2">
        <w:t>30</w:t>
      </w:r>
      <w:r w:rsidR="00F66AEF">
        <w:t>)</w:t>
      </w:r>
      <w:r w:rsidRPr="000139C2">
        <w:t xml:space="preserve"> dnů ode dne doručení daňového dokladu podle </w:t>
      </w:r>
      <w:proofErr w:type="gramStart"/>
      <w:r w:rsidRPr="000139C2">
        <w:t xml:space="preserve">článku </w:t>
      </w:r>
      <w:r w:rsidR="00860053">
        <w:fldChar w:fldCharType="begin"/>
      </w:r>
      <w:r w:rsidR="00860053">
        <w:instrText xml:space="preserve"> REF _Ref432686130 \r \h </w:instrText>
      </w:r>
      <w:r w:rsidR="00860053">
        <w:fldChar w:fldCharType="separate"/>
      </w:r>
      <w:r w:rsidR="00C31D98">
        <w:t>5.4</w:t>
      </w:r>
      <w:r w:rsidR="00860053">
        <w:fldChar w:fldCharType="end"/>
      </w:r>
      <w:r w:rsidR="00860053">
        <w:t>. nebo</w:t>
      </w:r>
      <w:proofErr w:type="gramEnd"/>
      <w:r w:rsidR="00860053">
        <w:t xml:space="preserve"> </w:t>
      </w:r>
      <w:r w:rsidR="00860053">
        <w:fldChar w:fldCharType="begin"/>
      </w:r>
      <w:r w:rsidR="00860053">
        <w:instrText xml:space="preserve"> REF _Ref431887842 \r \h </w:instrText>
      </w:r>
      <w:r w:rsidR="00860053">
        <w:fldChar w:fldCharType="separate"/>
      </w:r>
      <w:r w:rsidR="00C31D98">
        <w:t>5.5</w:t>
      </w:r>
      <w:r w:rsidR="00860053">
        <w:fldChar w:fldCharType="end"/>
      </w:r>
      <w:r w:rsidR="00860053">
        <w:t>.</w:t>
      </w:r>
      <w:r w:rsidR="00087A64" w:rsidRPr="000139C2">
        <w:t xml:space="preserve"> </w:t>
      </w:r>
      <w:r w:rsidRPr="000139C2">
        <w:t>Smlouvy n</w:t>
      </w:r>
      <w:r w:rsidR="00262B63">
        <w:t xml:space="preserve">ebo do </w:t>
      </w:r>
      <w:r w:rsidR="00F66AEF">
        <w:t>třiceti (</w:t>
      </w:r>
      <w:r w:rsidR="00262B63">
        <w:t>30</w:t>
      </w:r>
      <w:r w:rsidR="00F66AEF">
        <w:t>)</w:t>
      </w:r>
      <w:r w:rsidR="00262B63">
        <w:t xml:space="preserve"> dnů ode dne zjištění </w:t>
      </w:r>
      <w:r w:rsidRPr="000139C2">
        <w:t xml:space="preserve">chyby nebo omylu. </w:t>
      </w:r>
      <w:r w:rsidR="00F66AEF" w:rsidRPr="008C1177">
        <w:t xml:space="preserve">Reklamace nemá odkladný účinek na splatnost </w:t>
      </w:r>
      <w:r w:rsidR="00F66AEF" w:rsidRPr="008C1177">
        <w:rPr>
          <w:szCs w:val="22"/>
        </w:rPr>
        <w:t>částky fakturované Dodavatelem.</w:t>
      </w:r>
      <w:r w:rsidR="00F66AEF">
        <w:rPr>
          <w:szCs w:val="22"/>
        </w:rPr>
        <w:t xml:space="preserve"> </w:t>
      </w:r>
      <w:r w:rsidRPr="000139C2">
        <w:t xml:space="preserve">Dodavatel reklamaci prošetří a výsledek je povinen sdělit Odběrateli do </w:t>
      </w:r>
      <w:r w:rsidR="00860053">
        <w:t>třiceti (</w:t>
      </w:r>
      <w:r w:rsidRPr="000139C2">
        <w:t>30</w:t>
      </w:r>
      <w:r w:rsidR="00860053">
        <w:t>)</w:t>
      </w:r>
      <w:r w:rsidRPr="000139C2">
        <w:t xml:space="preserve"> dnů po obdržení reklamace. Rozdíl mezi nesprávně zaplacenou a reklamací stanovenou částkou uhradí jedna smluvní strana druhé do </w:t>
      </w:r>
      <w:r w:rsidR="009923C8">
        <w:t xml:space="preserve">jednadvaceti </w:t>
      </w:r>
      <w:r w:rsidR="00F66AEF">
        <w:t>(</w:t>
      </w:r>
      <w:r w:rsidR="009923C8">
        <w:t>21</w:t>
      </w:r>
      <w:r w:rsidR="00F66AEF">
        <w:t>)</w:t>
      </w:r>
      <w:r w:rsidRPr="000139C2">
        <w:t xml:space="preserve"> dnů po oznámení výsledku reklamace.</w:t>
      </w:r>
    </w:p>
    <w:p w:rsidR="00D82871" w:rsidRPr="000139C2" w:rsidRDefault="00D82871" w:rsidP="00161AB9">
      <w:pPr>
        <w:pStyle w:val="Nadpis2"/>
        <w:jc w:val="both"/>
      </w:pPr>
      <w:r w:rsidRPr="000139C2">
        <w:t xml:space="preserve">Pokud Smluvní strana opatří platbu nesprávným variabilním symbolem a platbu nelze jednoznačně identifikovat jinak, je druhá Smluvní strana oprávněna vrátit platbu jako neumístitelnou zpět a faktura nebo </w:t>
      </w:r>
      <w:r w:rsidR="008C1177">
        <w:t>opravný daňový doklad</w:t>
      </w:r>
      <w:r w:rsidRPr="000139C2">
        <w:t xml:space="preserve"> se bude považovat za nezaplacenou. Současně se bude účtovat úrok z prodlení podle </w:t>
      </w:r>
      <w:proofErr w:type="gramStart"/>
      <w:r w:rsidRPr="000139C2">
        <w:t xml:space="preserve">článku </w:t>
      </w:r>
      <w:r w:rsidR="0044095D" w:rsidRPr="000139C2">
        <w:fldChar w:fldCharType="begin"/>
      </w:r>
      <w:r w:rsidR="00A41DFF" w:rsidRPr="000139C2">
        <w:instrText xml:space="preserve"> REF _Ref232838658 \r \h </w:instrText>
      </w:r>
      <w:r w:rsidR="00161AB9" w:rsidRPr="000139C2">
        <w:instrText xml:space="preserve"> \* MERGEFORMAT </w:instrText>
      </w:r>
      <w:r w:rsidR="0044095D" w:rsidRPr="000139C2">
        <w:fldChar w:fldCharType="separate"/>
      </w:r>
      <w:r w:rsidR="00C31D98">
        <w:t>5.9</w:t>
      </w:r>
      <w:r w:rsidR="0044095D" w:rsidRPr="000139C2">
        <w:fldChar w:fldCharType="end"/>
      </w:r>
      <w:r w:rsidR="00D43853">
        <w:t>.</w:t>
      </w:r>
      <w:r w:rsidR="00A41DFF" w:rsidRPr="000139C2">
        <w:t xml:space="preserve"> </w:t>
      </w:r>
      <w:r w:rsidRPr="000139C2">
        <w:t>níže</w:t>
      </w:r>
      <w:proofErr w:type="gramEnd"/>
      <w:r w:rsidRPr="000139C2">
        <w:t xml:space="preserve"> od počátku data splatnosti v plné výši. Vyúčtování úroku z prodlení je splatné do </w:t>
      </w:r>
      <w:r w:rsidR="00F66AEF">
        <w:t>patnácti (</w:t>
      </w:r>
      <w:r w:rsidRPr="000139C2">
        <w:t>15</w:t>
      </w:r>
      <w:r w:rsidR="00F66AEF">
        <w:t>)</w:t>
      </w:r>
      <w:r w:rsidRPr="000139C2">
        <w:t xml:space="preserve"> dnů ode dne jeho odeslání. </w:t>
      </w:r>
    </w:p>
    <w:p w:rsidR="00D82871" w:rsidRPr="000139C2" w:rsidRDefault="00D82871" w:rsidP="00161AB9">
      <w:pPr>
        <w:pStyle w:val="Nadpis2"/>
        <w:jc w:val="both"/>
      </w:pPr>
      <w:bookmarkStart w:id="9" w:name="_Ref232838658"/>
      <w:r w:rsidRPr="000139C2">
        <w:lastRenderedPageBreak/>
        <w:t xml:space="preserve">V případě prodlení Smluvní strany s úhradou </w:t>
      </w:r>
      <w:r w:rsidR="00860053">
        <w:t xml:space="preserve">zálohy, </w:t>
      </w:r>
      <w:r w:rsidRPr="000139C2">
        <w:t xml:space="preserve">faktury nebo jiné platby podle této Smlouvy, bude </w:t>
      </w:r>
      <w:r w:rsidR="00363214" w:rsidRPr="000139C2">
        <w:t>druhá</w:t>
      </w:r>
      <w:r w:rsidRPr="000139C2">
        <w:t xml:space="preserve"> Smluvní strana </w:t>
      </w:r>
      <w:r w:rsidR="00363214" w:rsidRPr="000139C2">
        <w:t>oprávněna požadovat na této</w:t>
      </w:r>
      <w:r w:rsidRPr="000139C2">
        <w:t xml:space="preserve"> Smluvní st</w:t>
      </w:r>
      <w:r w:rsidR="00860053">
        <w:t>raně úrok z </w:t>
      </w:r>
      <w:r w:rsidR="009B0B6D" w:rsidRPr="000139C2">
        <w:t>prodlení ve výši 0,0</w:t>
      </w:r>
      <w:r w:rsidR="00931450">
        <w:t>2</w:t>
      </w:r>
      <w:r w:rsidR="009B0B6D" w:rsidRPr="000139C2">
        <w:t xml:space="preserve"> </w:t>
      </w:r>
      <w:r w:rsidRPr="000139C2">
        <w:t>% z dlužné částky za každý den prodlení.</w:t>
      </w:r>
      <w:bookmarkEnd w:id="9"/>
      <w:r w:rsidR="005E03EC">
        <w:t xml:space="preserve"> Je-li Odběratel v </w:t>
      </w:r>
      <w:r w:rsidR="005E03EC" w:rsidRPr="00484608">
        <w:t xml:space="preserve">prodlení s úhradou </w:t>
      </w:r>
      <w:r w:rsidR="005E03EC">
        <w:t>z</w:t>
      </w:r>
      <w:r w:rsidR="005E03EC" w:rsidRPr="00484608">
        <w:t xml:space="preserve">álohy, faktury nebo jiné platby podle této Smlouvy po dobu alespoň </w:t>
      </w:r>
      <w:r w:rsidR="005E03EC">
        <w:t>dvou (</w:t>
      </w:r>
      <w:r w:rsidR="005E03EC" w:rsidRPr="00484608">
        <w:t>2</w:t>
      </w:r>
      <w:r w:rsidR="005E03EC">
        <w:t>)</w:t>
      </w:r>
      <w:r w:rsidR="005E03EC" w:rsidRPr="00484608">
        <w:t xml:space="preserve"> dnů </w:t>
      </w:r>
      <w:r w:rsidR="005E03EC">
        <w:t>po dni</w:t>
      </w:r>
      <w:r w:rsidR="005E03EC" w:rsidRPr="00484608">
        <w:t xml:space="preserve"> splatnosti předmětné faktury,</w:t>
      </w:r>
      <w:r w:rsidR="005E03EC">
        <w:t xml:space="preserve"> </w:t>
      </w:r>
      <w:r w:rsidR="005E03EC" w:rsidRPr="00484608">
        <w:t>je Dodavatel oprávněn vystavit a zaslat Odběrateli písemnou upomínku s výzvou k zaplacení dlužné částky, a to i</w:t>
      </w:r>
      <w:r w:rsidR="00860053">
        <w:t xml:space="preserve"> </w:t>
      </w:r>
      <w:r w:rsidR="00443DCF">
        <w:t> </w:t>
      </w:r>
      <w:r w:rsidR="005E03EC" w:rsidRPr="00484608">
        <w:t xml:space="preserve">opakovaně, ale v každém případě ne dříve než po uplynutí </w:t>
      </w:r>
      <w:r w:rsidR="005E03EC">
        <w:t>sedmi (</w:t>
      </w:r>
      <w:r w:rsidR="005E03EC" w:rsidRPr="00484608">
        <w:t>7</w:t>
      </w:r>
      <w:r w:rsidR="005E03EC">
        <w:t>)</w:t>
      </w:r>
      <w:r w:rsidR="005E03EC" w:rsidRPr="00484608">
        <w:t xml:space="preserve"> dn</w:t>
      </w:r>
      <w:r w:rsidR="005E03EC">
        <w:t>í od data předchozí upomínky. V </w:t>
      </w:r>
      <w:r w:rsidR="005E03EC" w:rsidRPr="00484608">
        <w:t xml:space="preserve">takovém případě je Dodavatel oprávněn Odběrateli zároveň účtovat </w:t>
      </w:r>
      <w:r w:rsidR="008C1177">
        <w:t>poplatek</w:t>
      </w:r>
      <w:r w:rsidR="005E03EC" w:rsidRPr="00484608">
        <w:t xml:space="preserve"> za </w:t>
      </w:r>
      <w:r w:rsidR="00E9044C">
        <w:t>upomínku</w:t>
      </w:r>
      <w:r w:rsidR="005E03EC">
        <w:t>, a to ve výši stanovené v </w:t>
      </w:r>
      <w:r w:rsidR="005E03EC" w:rsidRPr="00484608">
        <w:t xml:space="preserve">ceníku dle čl. 4 této Smlouvy. </w:t>
      </w:r>
      <w:r w:rsidR="008C1177">
        <w:t>Poplatek</w:t>
      </w:r>
      <w:r w:rsidR="005E03EC" w:rsidRPr="00484608">
        <w:t xml:space="preserve"> je Dodavatel oprávněn účtovat i opakovaně, a Odběratel je povinen </w:t>
      </w:r>
      <w:r w:rsidR="008C1177">
        <w:t>tento poplatek</w:t>
      </w:r>
      <w:r w:rsidR="005E03EC" w:rsidRPr="00484608">
        <w:t xml:space="preserve"> uhradit. </w:t>
      </w:r>
      <w:r w:rsidR="008C1177">
        <w:t>Tento poplatek bude vyúčtován</w:t>
      </w:r>
      <w:r w:rsidR="005E03EC">
        <w:t xml:space="preserve"> v </w:t>
      </w:r>
      <w:r w:rsidR="005E03EC" w:rsidRPr="00484608">
        <w:t>měsíční konečné faktuře, respektive měsíční faktuře, popř. v konečné faktuře v případě ukončení Smlouvy.</w:t>
      </w:r>
    </w:p>
    <w:p w:rsidR="000A500C" w:rsidRPr="000139C2" w:rsidRDefault="000A500C" w:rsidP="000A500C">
      <w:pPr>
        <w:pStyle w:val="Nadpis2"/>
        <w:jc w:val="both"/>
      </w:pPr>
      <w:r w:rsidRPr="000139C2">
        <w:t xml:space="preserve">Odběratel se zavazuje veškeré zjištěné závady </w:t>
      </w:r>
      <w:r>
        <w:t xml:space="preserve">na měřicím zařízení, </w:t>
      </w:r>
      <w:r w:rsidR="00CA0141">
        <w:t>na jeho</w:t>
      </w:r>
      <w:r>
        <w:t xml:space="preserve"> zajištění proti neoprávněné manipulaci (plombách), </w:t>
      </w:r>
      <w:r w:rsidR="00CA0141">
        <w:t xml:space="preserve">nebo na hlavních uzávěrech, </w:t>
      </w:r>
      <w:r w:rsidRPr="000139C2">
        <w:t xml:space="preserve">neprodleně oznámit Dodavateli. </w:t>
      </w:r>
    </w:p>
    <w:p w:rsidR="00D82871" w:rsidRDefault="00D82871" w:rsidP="00BD580D">
      <w:pPr>
        <w:pStyle w:val="Nadpis2"/>
        <w:numPr>
          <w:ilvl w:val="0"/>
          <w:numId w:val="0"/>
        </w:numPr>
        <w:spacing w:before="0"/>
        <w:ind w:left="1134"/>
        <w:jc w:val="both"/>
      </w:pPr>
      <w:r w:rsidRPr="000139C2">
        <w:t xml:space="preserve">Za každé </w:t>
      </w:r>
      <w:r w:rsidR="00A41DFF" w:rsidRPr="000139C2">
        <w:t>O</w:t>
      </w:r>
      <w:r w:rsidRPr="000139C2">
        <w:t xml:space="preserve">dběratelem </w:t>
      </w:r>
      <w:r w:rsidR="00A3245D">
        <w:t xml:space="preserve">prokazatelně </w:t>
      </w:r>
      <w:r w:rsidRPr="000139C2">
        <w:t>zjištěné a nenahlášené poškození plomby měřícího zařízení, poškození měřícího zařízení nebo poškození hlavních uzávěrů neodbornou manipulací je Odběratel povinen zaplatit smluvní pokutu ve výši 15</w:t>
      </w:r>
      <w:r w:rsidR="00A41DFF" w:rsidRPr="000139C2">
        <w:t>.</w:t>
      </w:r>
      <w:r w:rsidRPr="000139C2">
        <w:t>000,- Kč. Zaplacením smluvní pokuty nezaniká právo Dodavatele na náhradu škody</w:t>
      </w:r>
      <w:r w:rsidR="00A41DFF" w:rsidRPr="000139C2">
        <w:t>, a to v plné výši</w:t>
      </w:r>
      <w:r w:rsidRPr="000139C2">
        <w:t>.</w:t>
      </w:r>
    </w:p>
    <w:p w:rsidR="00094381" w:rsidRDefault="00094381" w:rsidP="00603772">
      <w:pPr>
        <w:pStyle w:val="Nadpis2"/>
        <w:numPr>
          <w:ilvl w:val="0"/>
          <w:numId w:val="0"/>
        </w:numPr>
        <w:spacing w:before="0"/>
        <w:ind w:left="1134" w:hanging="1134"/>
        <w:jc w:val="both"/>
      </w:pPr>
    </w:p>
    <w:p w:rsidR="00094381" w:rsidRPr="000139C2" w:rsidRDefault="00094381" w:rsidP="00603772">
      <w:pPr>
        <w:pStyle w:val="Nadpis2"/>
        <w:numPr>
          <w:ilvl w:val="0"/>
          <w:numId w:val="0"/>
        </w:numPr>
        <w:spacing w:before="0"/>
        <w:ind w:left="1134" w:hanging="1134"/>
        <w:jc w:val="both"/>
      </w:pPr>
      <w:proofErr w:type="gramStart"/>
      <w:r>
        <w:t>5.11</w:t>
      </w:r>
      <w:proofErr w:type="gramEnd"/>
      <w:r>
        <w:t>.</w:t>
      </w:r>
      <w:r>
        <w:tab/>
      </w:r>
      <w:r w:rsidR="00595E32">
        <w:t xml:space="preserve">Dodavatel prohlašuje, že: - nemá v úmyslu nezaplatit daň z přidané hodnoty u zdanitelného plnění podle této smlouvy (dále jen „daň“), - nejsou mu známy skutečnosti, nasvědčující tomu, že se dostane do postavení, kdy nemůže daň zaplatit a ani se ke dni podpisu této smlouvy v takovém postavení nenachází, - nezkrátí daň nebo nevyláká daňovou výhodu, - </w:t>
      </w:r>
      <w:r w:rsidR="002E6AA9">
        <w:t xml:space="preserve">není </w:t>
      </w:r>
      <w:r w:rsidR="006C0679">
        <w:t xml:space="preserve">a má v úmyslu nestát se </w:t>
      </w:r>
      <w:r w:rsidR="00595E32">
        <w:t xml:space="preserve">nespolehlivým plátcem, - bude mít u správce daně registrován bankovní účet používaný pro ekonomickou činnost, - souhlasí s tím, že pokud ke dni uskutečnění zdanitelného plnění bude o dodavateli zveřejněna správcem daně skutečnost, že dodavatel je nespolehlivým plátcem, uhradí Odběratel daň z přidané hodnoty z přijatého zdanitelného plnění příslušnému správci daně, - souhlasí s tím, že pokud ke dni uskutečnění zdanitelného plnění bude zjištěna nesrovnalost v registraci bankovního účtu dodavatele určeného pro ekonomickou činnost správcem daně, uhradí Odběratel daň z přidané hodnoty z přijatého zdanitelného plnění příslušnému správci daně. </w:t>
      </w:r>
    </w:p>
    <w:p w:rsidR="000139C2" w:rsidRPr="000139C2" w:rsidRDefault="00D82871" w:rsidP="00EE5E1B">
      <w:pPr>
        <w:pStyle w:val="Nadpis1"/>
        <w:jc w:val="both"/>
      </w:pPr>
      <w:bookmarkStart w:id="10" w:name="_Ref232839274"/>
      <w:r w:rsidRPr="000139C2">
        <w:t>Omezení a přerušení dodávek</w:t>
      </w:r>
      <w:bookmarkEnd w:id="10"/>
    </w:p>
    <w:p w:rsidR="00D82871" w:rsidRPr="000139C2" w:rsidRDefault="00D82871" w:rsidP="00161AB9">
      <w:pPr>
        <w:pStyle w:val="Nadpis2"/>
        <w:jc w:val="both"/>
      </w:pPr>
      <w:r w:rsidRPr="000139C2">
        <w:t xml:space="preserve">Dodavatel je oprávněn omezit nebo přerušit dodávky </w:t>
      </w:r>
      <w:r w:rsidR="002051B4" w:rsidRPr="000139C2">
        <w:t>T</w:t>
      </w:r>
      <w:r w:rsidR="001B4434" w:rsidRPr="000139C2">
        <w:t>epelné energie</w:t>
      </w:r>
      <w:r w:rsidRPr="000139C2">
        <w:t xml:space="preserve"> Odběrateli </w:t>
      </w:r>
      <w:r w:rsidR="000139C2" w:rsidRPr="000139C2">
        <w:t>v</w:t>
      </w:r>
      <w:r w:rsidR="00860053">
        <w:t> </w:t>
      </w:r>
      <w:r w:rsidR="000139C2" w:rsidRPr="000139C2">
        <w:t xml:space="preserve">nezbytném rozsahu v  případech stanovených Energetickým zákonem či jiným všeobecně závazným právním předpisem. </w:t>
      </w:r>
      <w:r w:rsidRPr="000139C2">
        <w:t xml:space="preserve">Pokud dojde k omezení nebo přerušení dodávek </w:t>
      </w:r>
      <w:r w:rsidR="00D2075F" w:rsidRPr="000139C2">
        <w:t>T</w:t>
      </w:r>
      <w:r w:rsidR="001B4434" w:rsidRPr="000139C2">
        <w:t>epelné energie</w:t>
      </w:r>
      <w:r w:rsidRPr="000139C2">
        <w:t xml:space="preserve"> je Dodavatel povinen obnovit dodávku Odběrateli bezprostředně po odstranění příčin, které vedly k jejímu omezení nebo přerušení. </w:t>
      </w:r>
    </w:p>
    <w:p w:rsidR="00D82871" w:rsidRPr="000139C2" w:rsidRDefault="00D82871" w:rsidP="00161AB9">
      <w:pPr>
        <w:pStyle w:val="Nadpis2"/>
        <w:jc w:val="both"/>
      </w:pPr>
      <w:r w:rsidRPr="000139C2">
        <w:t xml:space="preserve">V případech omezení nebo přerušení dodávek </w:t>
      </w:r>
      <w:r w:rsidR="00D2075F" w:rsidRPr="000139C2">
        <w:t>T</w:t>
      </w:r>
      <w:r w:rsidR="001B4434" w:rsidRPr="000139C2">
        <w:t>epelné energie</w:t>
      </w:r>
      <w:r w:rsidRPr="000139C2">
        <w:t xml:space="preserve"> stanovených tímto článkem </w:t>
      </w:r>
      <w:r w:rsidR="0044095D">
        <w:fldChar w:fldCharType="begin"/>
      </w:r>
      <w:r w:rsidR="00B40A36">
        <w:instrText xml:space="preserve"> REF _Ref232839274 \r \h </w:instrText>
      </w:r>
      <w:r w:rsidR="0044095D">
        <w:fldChar w:fldCharType="separate"/>
      </w:r>
      <w:r w:rsidR="00C31D98">
        <w:t>6</w:t>
      </w:r>
      <w:r w:rsidR="0044095D">
        <w:fldChar w:fldCharType="end"/>
      </w:r>
      <w:r w:rsidR="00B40A36">
        <w:t xml:space="preserve">. </w:t>
      </w:r>
      <w:r w:rsidRPr="000139C2">
        <w:t xml:space="preserve">Smlouvy nemá Odběratel právo na náhradu škody a ušlého zisku. </w:t>
      </w:r>
    </w:p>
    <w:p w:rsidR="00D82871" w:rsidRPr="000139C2" w:rsidRDefault="000139C2" w:rsidP="00161AB9">
      <w:pPr>
        <w:pStyle w:val="Nadpis2"/>
        <w:jc w:val="both"/>
      </w:pPr>
      <w:bookmarkStart w:id="11" w:name="_Ref232839295"/>
      <w:r w:rsidRPr="000139C2">
        <w:t>Při provádění plánovaných stavebních úprav, oprav, údržbových a revizních prací a při připojování nového odběrného místa</w:t>
      </w:r>
      <w:r w:rsidR="00D2075F" w:rsidRPr="000139C2">
        <w:t xml:space="preserve"> </w:t>
      </w:r>
      <w:r w:rsidR="00D82871" w:rsidRPr="000139C2">
        <w:t xml:space="preserve">je Dodavatel </w:t>
      </w:r>
      <w:r w:rsidRPr="000139C2">
        <w:t xml:space="preserve">oprávněn omezit nebo přerušit dodávky Tepelné energie Odběrateli v nezbytném rozsahu za předpokladu, že </w:t>
      </w:r>
      <w:r w:rsidR="00D82871" w:rsidRPr="000139C2">
        <w:t>oznámi</w:t>
      </w:r>
      <w:r w:rsidRPr="000139C2">
        <w:t>l</w:t>
      </w:r>
      <w:r w:rsidR="00D82871" w:rsidRPr="000139C2">
        <w:t xml:space="preserve"> započetí a skončení omezení nebo přerušení dodávek </w:t>
      </w:r>
      <w:r w:rsidR="00D2075F" w:rsidRPr="000139C2">
        <w:t>T</w:t>
      </w:r>
      <w:r w:rsidR="001B4434" w:rsidRPr="000139C2">
        <w:t>epelné energie</w:t>
      </w:r>
      <w:r w:rsidR="00D82871" w:rsidRPr="000139C2">
        <w:t xml:space="preserve"> způsobem v místě obvyklým, nejméně však 15 dnů předem.</w:t>
      </w:r>
      <w:bookmarkEnd w:id="11"/>
      <w:r w:rsidR="00D82871" w:rsidRPr="000139C2">
        <w:t xml:space="preserve"> </w:t>
      </w:r>
    </w:p>
    <w:p w:rsidR="00D82871" w:rsidRPr="000139C2" w:rsidRDefault="00D82871" w:rsidP="00161AB9">
      <w:pPr>
        <w:pStyle w:val="Nadpis2"/>
        <w:jc w:val="both"/>
      </w:pPr>
      <w:r w:rsidRPr="000139C2">
        <w:t>Přerušením dodávky se rozumí odpojení zařízení na určitou dobu</w:t>
      </w:r>
      <w:r w:rsidR="00B40A36">
        <w:t>,</w:t>
      </w:r>
      <w:r w:rsidR="00C80DFB">
        <w:t xml:space="preserve"> aniž dojde ke </w:t>
      </w:r>
      <w:r w:rsidRPr="000139C2">
        <w:t>skončení smluvního vztahu.</w:t>
      </w:r>
    </w:p>
    <w:p w:rsidR="00D82871" w:rsidRPr="000139C2" w:rsidRDefault="00D82871" w:rsidP="00161AB9">
      <w:pPr>
        <w:pStyle w:val="Nadpis1"/>
        <w:jc w:val="both"/>
      </w:pPr>
      <w:bookmarkStart w:id="12" w:name="_Ref232839164"/>
      <w:r w:rsidRPr="000139C2">
        <w:lastRenderedPageBreak/>
        <w:t>Další povinnosti Odběratele</w:t>
      </w:r>
      <w:bookmarkEnd w:id="12"/>
    </w:p>
    <w:p w:rsidR="00EE5E1B" w:rsidRDefault="00EE5E1B" w:rsidP="00161AB9">
      <w:pPr>
        <w:pStyle w:val="Nadpis2"/>
        <w:jc w:val="both"/>
      </w:pPr>
      <w:r>
        <w:t>Odběratel je povinen na svůj náklad upravit odběrné tepelné zařízení pro instalaci měřícího zařízení, a to po předchozím projednání s Dodavatelem.</w:t>
      </w:r>
    </w:p>
    <w:p w:rsidR="00D82871" w:rsidRPr="000139C2" w:rsidRDefault="00D82871" w:rsidP="00161AB9">
      <w:pPr>
        <w:pStyle w:val="Nadpis2"/>
        <w:jc w:val="both"/>
      </w:pPr>
      <w:r w:rsidRPr="000139C2">
        <w:t>Odběratel není oprávněn bez písemného souhlasu Dodavatele dodávat odebíran</w:t>
      </w:r>
      <w:r w:rsidR="004C15B5">
        <w:t>ou</w:t>
      </w:r>
      <w:r w:rsidRPr="000139C2">
        <w:t xml:space="preserve"> </w:t>
      </w:r>
      <w:r w:rsidR="00D2075F" w:rsidRPr="000139C2">
        <w:t>T</w:t>
      </w:r>
      <w:r w:rsidR="001B4434" w:rsidRPr="000139C2">
        <w:t>epelnou energii</w:t>
      </w:r>
      <w:r w:rsidRPr="000139C2">
        <w:t xml:space="preserve"> třetí osobě nebo připojit odběrné </w:t>
      </w:r>
      <w:r w:rsidR="00C80DFB">
        <w:t>tepelné zařízení třetí osoby ke </w:t>
      </w:r>
      <w:r w:rsidRPr="000139C2">
        <w:t>svému odběrnému tepelnému zařízení.</w:t>
      </w:r>
      <w:r w:rsidR="002802C4">
        <w:t xml:space="preserve"> </w:t>
      </w:r>
      <w:r w:rsidR="002802C4" w:rsidRPr="00B73BD7">
        <w:t xml:space="preserve">Odběratel je </w:t>
      </w:r>
      <w:r w:rsidR="002802C4">
        <w:t>rovněž</w:t>
      </w:r>
      <w:r w:rsidR="002802C4" w:rsidRPr="00B73BD7">
        <w:t xml:space="preserve"> povinen oznámit Dodavateli záměr instalo</w:t>
      </w:r>
      <w:r w:rsidR="004C15B5">
        <w:t>vat v Odběrném místě zařízení s </w:t>
      </w:r>
      <w:r w:rsidR="002802C4" w:rsidRPr="00B73BD7">
        <w:t xml:space="preserve">podstatným vlivem na charakter odběru Tepelné energie s předstihem minimálně 1 rok před plánovaným uvedením takového zařízení do provozu, a to v písemné formě. </w:t>
      </w:r>
      <w:r w:rsidR="00A3245D">
        <w:t xml:space="preserve">Dodavatel může, po zvážení všech okolností konkrétním případě, dát svůj souhlas s instalací zařízení s podstatným vlivem na charakter odběru Tepelné energie v Odběrném místě v kratší lhůtě. </w:t>
      </w:r>
      <w:r w:rsidR="002802C4" w:rsidRPr="00B73BD7">
        <w:t>Zařízení s podstatným vlivem na charakter jsou zejména zdroje Tepelné energie nebo další zařízení definovaná v</w:t>
      </w:r>
      <w:r w:rsidR="002802C4">
        <w:t> </w:t>
      </w:r>
      <w:r w:rsidR="002802C4" w:rsidRPr="00B73BD7">
        <w:t>Pravidlech</w:t>
      </w:r>
      <w:r w:rsidR="002802C4">
        <w:t>.</w:t>
      </w:r>
      <w:r w:rsidR="002802C4" w:rsidRPr="00B73BD7">
        <w:t xml:space="preserve"> Nesplnění této povinnosti představuje podstatné porušení Smlouvy</w:t>
      </w:r>
      <w:r w:rsidR="002802C4">
        <w:t>.</w:t>
      </w:r>
    </w:p>
    <w:p w:rsidR="00D82871" w:rsidRPr="000139C2" w:rsidRDefault="00D82871" w:rsidP="00161AB9">
      <w:pPr>
        <w:pStyle w:val="Nadpis2"/>
        <w:jc w:val="both"/>
      </w:pPr>
      <w:r w:rsidRPr="000139C2">
        <w:t xml:space="preserve">Odběratel je povinen udržovat své odběrné zařízení ve stavu, který odpovídá technickým normám a právním předpisům na úseku bezpečnosti práce a </w:t>
      </w:r>
      <w:r w:rsidR="00A3245D">
        <w:t xml:space="preserve">na vyžádání </w:t>
      </w:r>
      <w:r w:rsidRPr="000139C2">
        <w:t xml:space="preserve">poskytovat Dodavateli technické údaje o tomto zařízení, a odpovídá za řádný stav tohoto zařízení. </w:t>
      </w:r>
    </w:p>
    <w:p w:rsidR="00D82871" w:rsidRPr="000139C2" w:rsidRDefault="00D82871" w:rsidP="00161AB9">
      <w:pPr>
        <w:pStyle w:val="Nadpis2"/>
        <w:jc w:val="both"/>
      </w:pPr>
      <w:r w:rsidRPr="000139C2">
        <w:t>Odběratel je dále povinen:</w:t>
      </w:r>
    </w:p>
    <w:p w:rsidR="00D82871" w:rsidRPr="000139C2" w:rsidRDefault="00D82871" w:rsidP="00161AB9">
      <w:pPr>
        <w:pStyle w:val="Nadpis3"/>
        <w:jc w:val="both"/>
      </w:pPr>
      <w:r w:rsidRPr="000139C2">
        <w:t xml:space="preserve">provádět na základě vyrozumění Dodavatele dostupná technická opatření zamezující ovlivňování kvality </w:t>
      </w:r>
      <w:r w:rsidR="00D2075F" w:rsidRPr="000139C2">
        <w:t>T</w:t>
      </w:r>
      <w:r w:rsidR="001B4434" w:rsidRPr="000139C2">
        <w:t>epelné energie</w:t>
      </w:r>
      <w:r w:rsidRPr="000139C2">
        <w:t xml:space="preserve"> v neprospěch ostatních odběratelů;</w:t>
      </w:r>
    </w:p>
    <w:p w:rsidR="00D82871" w:rsidRPr="000139C2" w:rsidRDefault="00D82871" w:rsidP="00161AB9">
      <w:pPr>
        <w:pStyle w:val="Nadpis3"/>
        <w:jc w:val="both"/>
      </w:pPr>
      <w:r w:rsidRPr="000139C2">
        <w:t>umožnit Dodavateli instalaci měřícího zaříze</w:t>
      </w:r>
      <w:r w:rsidR="00744CD0">
        <w:t>ní a přístup k měřícímu zařízení</w:t>
      </w:r>
      <w:r w:rsidR="000139C2">
        <w:t>.</w:t>
      </w:r>
    </w:p>
    <w:p w:rsidR="00D82871" w:rsidRPr="000139C2" w:rsidRDefault="00D82871" w:rsidP="00161AB9">
      <w:pPr>
        <w:pStyle w:val="Nadpis1"/>
        <w:jc w:val="both"/>
      </w:pPr>
      <w:bookmarkStart w:id="13" w:name="_Ref232839189"/>
      <w:r w:rsidRPr="000139C2">
        <w:t xml:space="preserve">Měření dodávek </w:t>
      </w:r>
      <w:r w:rsidR="00D2075F" w:rsidRPr="000139C2">
        <w:t>T</w:t>
      </w:r>
      <w:r w:rsidR="001B4434" w:rsidRPr="000139C2">
        <w:t>epelné energie</w:t>
      </w:r>
      <w:bookmarkEnd w:id="13"/>
    </w:p>
    <w:p w:rsidR="00D82871" w:rsidRPr="000139C2" w:rsidRDefault="00275EB7" w:rsidP="00161AB9">
      <w:pPr>
        <w:pStyle w:val="Nadpis2"/>
        <w:jc w:val="both"/>
      </w:pPr>
      <w:bookmarkStart w:id="14" w:name="_Ref232839431"/>
      <w:r w:rsidRPr="000139C2">
        <w:t>Dodávku</w:t>
      </w:r>
      <w:r w:rsidR="00D82871" w:rsidRPr="000139C2">
        <w:t xml:space="preserve"> </w:t>
      </w:r>
      <w:r w:rsidR="00D2075F" w:rsidRPr="000139C2">
        <w:t>T</w:t>
      </w:r>
      <w:r w:rsidR="001B4434" w:rsidRPr="000139C2">
        <w:t>epelné energie</w:t>
      </w:r>
      <w:r w:rsidR="00D82871" w:rsidRPr="000139C2">
        <w:t xml:space="preserve"> zajišťuje, měří a účtuje Dodavatel podle údajů svého měřícího zařízení, které na svůj náklad osadí, zapojí, udržuje a pravidelně ověřuje správnost měření. </w:t>
      </w:r>
      <w:r w:rsidR="000139C2" w:rsidRPr="000139C2">
        <w:t xml:space="preserve">Místa umístění měřících zařízení jsou specifikována v příloze č. 1 této Smlouvy. </w:t>
      </w:r>
      <w:r w:rsidR="00D82871" w:rsidRPr="000139C2">
        <w:t xml:space="preserve">Dodavatel je oprávněn provést výměnu měřícího zařízení nebo zajistit proti neoprávněné manipulaci i bez souhlasu a přítomnosti Odběratele. Po ukončení odběru je Odběratel povinen umožnit Dodavateli odebrání měřícího zařízení, v opačném případě vzniká Dodavateli právo na náhradu </w:t>
      </w:r>
      <w:r w:rsidR="000139C2" w:rsidRPr="000139C2">
        <w:t xml:space="preserve">vzniklé </w:t>
      </w:r>
      <w:r w:rsidR="00D82871" w:rsidRPr="000139C2">
        <w:t>škody.</w:t>
      </w:r>
      <w:bookmarkEnd w:id="14"/>
      <w:r w:rsidR="00D82871" w:rsidRPr="000139C2">
        <w:t xml:space="preserve"> </w:t>
      </w:r>
    </w:p>
    <w:p w:rsidR="005E03EC" w:rsidRDefault="005E03EC" w:rsidP="005E03EC">
      <w:pPr>
        <w:pStyle w:val="Nadpis2"/>
        <w:jc w:val="both"/>
      </w:pPr>
      <w:bookmarkStart w:id="15" w:name="_Ref232919630"/>
      <w:r w:rsidRPr="000139C2">
        <w:t>Odbě</w:t>
      </w:r>
      <w:r>
        <w:t>ratel se zavazuje pečovat o měři</w:t>
      </w:r>
      <w:r w:rsidRPr="000139C2">
        <w:t>cí zařízení tak, aby nedošlo k jeho poškození, odcizení, nebo porušení zajištění proti neoprávněné manipulaci (plomb) a veškeré zjištěné závady neprodleně oznámit Dodavateli.</w:t>
      </w:r>
      <w:bookmarkEnd w:id="15"/>
    </w:p>
    <w:p w:rsidR="00D82871" w:rsidRPr="000139C2" w:rsidRDefault="00D82871" w:rsidP="00161AB9">
      <w:pPr>
        <w:pStyle w:val="Nadpis2"/>
        <w:jc w:val="both"/>
      </w:pPr>
      <w:r w:rsidRPr="000139C2">
        <w:t>Odběratel je povinen umožnit přístup Dodavatel</w:t>
      </w:r>
      <w:r w:rsidR="000139C2" w:rsidRPr="000139C2">
        <w:t>i</w:t>
      </w:r>
      <w:r w:rsidR="00C80DFB">
        <w:t xml:space="preserve"> k měř</w:t>
      </w:r>
      <w:r w:rsidR="00B1572C">
        <w:t>i</w:t>
      </w:r>
      <w:r w:rsidR="00C80DFB">
        <w:t>cím přístrojům za </w:t>
      </w:r>
      <w:r w:rsidRPr="000139C2">
        <w:t xml:space="preserve">účelem jejich odečtu neprodleně po výzvě Dodavatele. Neumožní-li </w:t>
      </w:r>
      <w:r w:rsidR="007623CB" w:rsidRPr="000139C2">
        <w:t>O</w:t>
      </w:r>
      <w:r w:rsidRPr="000139C2">
        <w:t xml:space="preserve">dběratel přístup k měřícímu zařízení za účelem pravidelného odečtu, vyúčtuje se spotřeba </w:t>
      </w:r>
      <w:r w:rsidR="00D2075F" w:rsidRPr="000139C2">
        <w:t>T</w:t>
      </w:r>
      <w:r w:rsidR="001B4434" w:rsidRPr="000139C2">
        <w:t>epelné energie</w:t>
      </w:r>
      <w:r w:rsidRPr="000139C2">
        <w:t xml:space="preserve"> podle spotřeby minulého srovnatelného období nebo podle hodnot sjednaných na příslušné období</w:t>
      </w:r>
      <w:r w:rsidR="00DE54A3">
        <w:t xml:space="preserve"> (v případě nového odběru)</w:t>
      </w:r>
      <w:r w:rsidRPr="000139C2">
        <w:t xml:space="preserve">. Pokud </w:t>
      </w:r>
      <w:r w:rsidR="007623CB" w:rsidRPr="000139C2">
        <w:t>O</w:t>
      </w:r>
      <w:r w:rsidRPr="000139C2">
        <w:t xml:space="preserve">dběratel neumožní </w:t>
      </w:r>
      <w:r w:rsidR="004B38EF" w:rsidRPr="000139C2">
        <w:t xml:space="preserve">přes předchozí prokazatelnou výzvu </w:t>
      </w:r>
      <w:r w:rsidRPr="000139C2">
        <w:t xml:space="preserve">přístup při následujícím odečtu, </w:t>
      </w:r>
      <w:r w:rsidR="004B38EF" w:rsidRPr="000139C2">
        <w:t>má takové jednání za následek vznik neoprávněného odběru a Odběrateli může být</w:t>
      </w:r>
      <w:r w:rsidR="000139C2">
        <w:t xml:space="preserve"> v souladu s příslušnými právními předpisy </w:t>
      </w:r>
      <w:r w:rsidR="000139C2" w:rsidRPr="000139C2">
        <w:t xml:space="preserve">přerušena </w:t>
      </w:r>
      <w:r w:rsidR="004B38EF" w:rsidRPr="000139C2">
        <w:t>dodávka Tepelné energie.</w:t>
      </w:r>
    </w:p>
    <w:p w:rsidR="00D82871" w:rsidRPr="000139C2" w:rsidRDefault="00D82871" w:rsidP="00161AB9">
      <w:pPr>
        <w:pStyle w:val="Nadpis2"/>
        <w:jc w:val="both"/>
      </w:pPr>
      <w:r w:rsidRPr="000139C2">
        <w:t xml:space="preserve">Měsíční odečty měřících přístrojů v Odběrných místech budou prováděny Dodavatelem obvykle poslední </w:t>
      </w:r>
      <w:r w:rsidR="005E03EC">
        <w:t>tři (</w:t>
      </w:r>
      <w:r w:rsidR="00CA0141">
        <w:t>3</w:t>
      </w:r>
      <w:r w:rsidR="005E03EC">
        <w:t>)</w:t>
      </w:r>
      <w:r w:rsidR="00B40A36">
        <w:t xml:space="preserve"> pracovní </w:t>
      </w:r>
      <w:r w:rsidRPr="000139C2">
        <w:t>d</w:t>
      </w:r>
      <w:r w:rsidR="00CA0141">
        <w:t>ny</w:t>
      </w:r>
      <w:r w:rsidRPr="000139C2">
        <w:t xml:space="preserve"> kalendářního měsíce.</w:t>
      </w:r>
    </w:p>
    <w:p w:rsidR="00D82871" w:rsidRPr="000139C2" w:rsidRDefault="00D82871" w:rsidP="00161AB9">
      <w:pPr>
        <w:pStyle w:val="Nadpis2"/>
        <w:jc w:val="both"/>
      </w:pPr>
      <w:r w:rsidRPr="000139C2">
        <w:t>Přezkoušení měřících přístrojů se řídí ustanoveními Energetického zákona. Zjistí-li se při přezkoušení měřících přístrojů, že naměřená hodnota se odchyluje od skutečné hodnoty více</w:t>
      </w:r>
      <w:r w:rsidR="008E74C0">
        <w:t>,</w:t>
      </w:r>
      <w:r w:rsidRPr="000139C2">
        <w:t xml:space="preserve"> než je povolená tolerance měř</w:t>
      </w:r>
      <w:r w:rsidR="00E753B2">
        <w:t>i</w:t>
      </w:r>
      <w:r w:rsidRPr="000139C2">
        <w:t xml:space="preserve">cího přístroje, uhradí zvýhodněná Smluvní strana částku odpovídající chybě v údajích, a to ode dne, kdy závada vznikla a nelze-li to zjistit, </w:t>
      </w:r>
      <w:r w:rsidRPr="000139C2">
        <w:lastRenderedPageBreak/>
        <w:t>za polovinu o</w:t>
      </w:r>
      <w:r w:rsidR="005E03EC">
        <w:t>bdobí od okamžiku, kdy byly měři</w:t>
      </w:r>
      <w:r w:rsidRPr="000139C2">
        <w:t xml:space="preserve">cí přístroje prokazatelně v pořádku, nejdéle však za období </w:t>
      </w:r>
      <w:r w:rsidR="005E03EC">
        <w:t>tří (</w:t>
      </w:r>
      <w:r w:rsidRPr="000139C2">
        <w:t>3</w:t>
      </w:r>
      <w:r w:rsidR="005E03EC">
        <w:t>)</w:t>
      </w:r>
      <w:r w:rsidRPr="000139C2">
        <w:t xml:space="preserve"> měsíců.</w:t>
      </w:r>
    </w:p>
    <w:p w:rsidR="00D82871" w:rsidRPr="000139C2" w:rsidRDefault="00D82871" w:rsidP="00161AB9">
      <w:pPr>
        <w:pStyle w:val="Nadpis2"/>
        <w:jc w:val="both"/>
      </w:pPr>
      <w:r w:rsidRPr="000139C2">
        <w:t>Odběratel je povinen v dohodnutém termínu</w:t>
      </w:r>
      <w:r w:rsidR="00B1572C">
        <w:t xml:space="preserve"> umožnit Dodavateli</w:t>
      </w:r>
      <w:r w:rsidRPr="000139C2">
        <w:t xml:space="preserve"> </w:t>
      </w:r>
      <w:r w:rsidR="00B1572C">
        <w:t>ú</w:t>
      </w:r>
      <w:r w:rsidRPr="000139C2">
        <w:t>prav</w:t>
      </w:r>
      <w:r w:rsidR="00B1572C">
        <w:t>u</w:t>
      </w:r>
      <w:r w:rsidRPr="000139C2">
        <w:t xml:space="preserve"> své</w:t>
      </w:r>
      <w:r w:rsidR="00B1572C">
        <w:t>ho</w:t>
      </w:r>
      <w:r w:rsidRPr="000139C2">
        <w:t xml:space="preserve"> odběrné</w:t>
      </w:r>
      <w:r w:rsidR="00B1572C">
        <w:t>ho</w:t>
      </w:r>
      <w:r w:rsidRPr="000139C2">
        <w:t xml:space="preserve"> zařízení, pokud to vyžaduje rozvoj systému měření a řízení odběru </w:t>
      </w:r>
      <w:r w:rsidR="00D2075F" w:rsidRPr="000139C2">
        <w:t>T</w:t>
      </w:r>
      <w:r w:rsidR="001B4434" w:rsidRPr="000139C2">
        <w:t>epelné energie</w:t>
      </w:r>
      <w:r w:rsidRPr="000139C2">
        <w:t xml:space="preserve">; tím není dotčena povinnost Dodavatele </w:t>
      </w:r>
      <w:r w:rsidR="00F568B7" w:rsidRPr="000139C2">
        <w:t>stanovená</w:t>
      </w:r>
      <w:r w:rsidR="00F568B7">
        <w:t xml:space="preserve"> </w:t>
      </w:r>
      <w:r w:rsidR="00F568B7" w:rsidRPr="000139C2">
        <w:t>v</w:t>
      </w:r>
      <w:r w:rsidR="00F568B7">
        <w:t> </w:t>
      </w:r>
      <w:proofErr w:type="gramStart"/>
      <w:r w:rsidRPr="000139C2">
        <w:t>čl</w:t>
      </w:r>
      <w:r w:rsidR="00F568B7" w:rsidRPr="000139C2">
        <w:t>.</w:t>
      </w:r>
      <w:r w:rsidR="00F568B7">
        <w:t> </w:t>
      </w:r>
      <w:r w:rsidR="0044095D" w:rsidRPr="000139C2">
        <w:fldChar w:fldCharType="begin"/>
      </w:r>
      <w:r w:rsidR="00D2075F" w:rsidRPr="000139C2">
        <w:instrText xml:space="preserve"> REF _Ref232839431 \r \h </w:instrText>
      </w:r>
      <w:r w:rsidR="00161AB9" w:rsidRPr="000139C2">
        <w:instrText xml:space="preserve"> \* MERGEFORMAT </w:instrText>
      </w:r>
      <w:r w:rsidR="0044095D" w:rsidRPr="000139C2">
        <w:fldChar w:fldCharType="separate"/>
      </w:r>
      <w:r w:rsidR="00C31D98">
        <w:t>8.1</w:t>
      </w:r>
      <w:r w:rsidR="0044095D" w:rsidRPr="000139C2">
        <w:fldChar w:fldCharType="end"/>
      </w:r>
      <w:r w:rsidR="00D2075F" w:rsidRPr="000139C2">
        <w:t xml:space="preserve"> </w:t>
      </w:r>
      <w:r w:rsidRPr="000139C2">
        <w:t>Smlouvy</w:t>
      </w:r>
      <w:proofErr w:type="gramEnd"/>
      <w:r w:rsidRPr="000139C2">
        <w:t>.</w:t>
      </w:r>
      <w:r w:rsidR="00A3584C">
        <w:t xml:space="preserve"> Náklady na takové úpravy hradí Dodavatel, pokud se Smluvní strany v konkrétním případě nedohodnou jinak.</w:t>
      </w:r>
    </w:p>
    <w:p w:rsidR="00D82871" w:rsidRPr="000139C2" w:rsidRDefault="00D82871" w:rsidP="00161AB9">
      <w:pPr>
        <w:pStyle w:val="Nadpis2"/>
        <w:jc w:val="both"/>
      </w:pPr>
      <w:r w:rsidRPr="000139C2">
        <w:t xml:space="preserve">Namontování podružných měřících, kontrolních, signalizačních a regulačních zařízení napojených na měřící zařízení Dodavatele je možné jen s písemným souhlasem Dodavatele. Připojení </w:t>
      </w:r>
      <w:r w:rsidR="001162E0">
        <w:t xml:space="preserve">těchto podružných zařízení k měřicímu zařízení Dodavatele </w:t>
      </w:r>
      <w:r w:rsidRPr="000139C2">
        <w:t xml:space="preserve">provádí Dodavatel na náklad Odběratele. </w:t>
      </w:r>
    </w:p>
    <w:p w:rsidR="00D82871" w:rsidRPr="000139C2" w:rsidRDefault="00D82871" w:rsidP="00161AB9">
      <w:pPr>
        <w:pStyle w:val="Nadpis2"/>
        <w:jc w:val="both"/>
      </w:pPr>
      <w:r w:rsidRPr="000139C2">
        <w:t xml:space="preserve">Vznikne-li na měřicích přístrojích technická závada takového charakteru, že nelze stanovit množství odebírané </w:t>
      </w:r>
      <w:r w:rsidR="00D2075F" w:rsidRPr="000139C2">
        <w:t>T</w:t>
      </w:r>
      <w:r w:rsidR="001B4434" w:rsidRPr="000139C2">
        <w:t>epelné energie</w:t>
      </w:r>
      <w:r w:rsidRPr="000139C2">
        <w:t xml:space="preserve">, určí se toto množství </w:t>
      </w:r>
      <w:r w:rsidR="00D2075F" w:rsidRPr="000139C2">
        <w:t>T</w:t>
      </w:r>
      <w:r w:rsidR="001B4434" w:rsidRPr="000139C2">
        <w:t>epelné energie</w:t>
      </w:r>
      <w:r w:rsidRPr="000139C2">
        <w:t xml:space="preserve"> v</w:t>
      </w:r>
      <w:r w:rsidR="00860053">
        <w:t> </w:t>
      </w:r>
      <w:r w:rsidRPr="000139C2">
        <w:t>závislosti na rozsahu a druhu závady podle:</w:t>
      </w:r>
    </w:p>
    <w:p w:rsidR="00D82871" w:rsidRPr="000139C2" w:rsidRDefault="00D82871" w:rsidP="00161AB9">
      <w:pPr>
        <w:pStyle w:val="Nadpis3"/>
        <w:jc w:val="both"/>
      </w:pPr>
      <w:r w:rsidRPr="000139C2">
        <w:t xml:space="preserve">sjednaných hodnot na příslušné období, nebo </w:t>
      </w:r>
    </w:p>
    <w:p w:rsidR="00D82871" w:rsidRPr="000139C2" w:rsidRDefault="00D82871" w:rsidP="00161AB9">
      <w:pPr>
        <w:pStyle w:val="Nadpis3"/>
        <w:jc w:val="both"/>
      </w:pPr>
      <w:r w:rsidRPr="000139C2">
        <w:t>hodnot srovnatelného uceleného období v průběhu trvání této Smlouvy, kdy byly údaje řádně stanoveny v souladu s tímto článkem, nebo</w:t>
      </w:r>
    </w:p>
    <w:p w:rsidR="00D82871" w:rsidRDefault="00D82871" w:rsidP="00161AB9">
      <w:pPr>
        <w:pStyle w:val="Nadpis3"/>
        <w:jc w:val="both"/>
      </w:pPr>
      <w:r w:rsidRPr="000139C2">
        <w:t>jiným způsobem dohodnutým mezi Smluvními stranami.</w:t>
      </w:r>
    </w:p>
    <w:p w:rsidR="008761B1" w:rsidRPr="000139C2" w:rsidRDefault="00EB0128" w:rsidP="008761B1">
      <w:pPr>
        <w:pStyle w:val="Nadpis2"/>
        <w:jc w:val="both"/>
      </w:pPr>
      <w:r w:rsidRPr="000139C2">
        <w:t>Odběratel je povinen umožnit pověřenému pracovníkovi Dodavatele provést ke dni ukončení dodávky Tepelné energie</w:t>
      </w:r>
      <w:r>
        <w:t xml:space="preserve"> do kteréhokoliv odběrného místa</w:t>
      </w:r>
      <w:r w:rsidRPr="000139C2">
        <w:t xml:space="preserve"> konečný odečet popř. odebrání měřícího zařízení. V případě porušení této povinnosti je Odběratel povinen uhradit Dodavateli smluvní pokut</w:t>
      </w:r>
      <w:r w:rsidR="00D338A6">
        <w:t>u ve výši 2.000,- Kč za každý d</w:t>
      </w:r>
      <w:r w:rsidRPr="000139C2">
        <w:t>e</w:t>
      </w:r>
      <w:r w:rsidR="00D338A6">
        <w:t>n</w:t>
      </w:r>
      <w:r w:rsidRPr="000139C2">
        <w:t xml:space="preserve"> prodlení.</w:t>
      </w:r>
      <w:r w:rsidR="008761B1">
        <w:t xml:space="preserve"> </w:t>
      </w:r>
      <w:r w:rsidR="008761B1" w:rsidRPr="000139C2">
        <w:t xml:space="preserve">Ukončením dodávky </w:t>
      </w:r>
      <w:r w:rsidR="00E56188">
        <w:t xml:space="preserve">Tepelné energie </w:t>
      </w:r>
      <w:r w:rsidR="008761B1" w:rsidRPr="000139C2">
        <w:t xml:space="preserve">se rozumí odpojení odběrného zařízení, konečný odečet a </w:t>
      </w:r>
      <w:r w:rsidR="00443DCF">
        <w:t> </w:t>
      </w:r>
      <w:r w:rsidR="008761B1" w:rsidRPr="000139C2">
        <w:t>odebrání měřícího zařízení (popř. pouze provedení konečného odečtu při plynulém navázání smluvního vztahu) a vyhotovení konečné faktury.</w:t>
      </w:r>
    </w:p>
    <w:p w:rsidR="00D82871" w:rsidRPr="000139C2" w:rsidRDefault="00D82871" w:rsidP="00161AB9">
      <w:pPr>
        <w:pStyle w:val="Nadpis1"/>
        <w:jc w:val="both"/>
      </w:pPr>
      <w:r w:rsidRPr="000139C2">
        <w:t>Prohlášení</w:t>
      </w:r>
    </w:p>
    <w:p w:rsidR="00D82871" w:rsidRPr="000139C2" w:rsidRDefault="00D82871" w:rsidP="00161AB9">
      <w:pPr>
        <w:pStyle w:val="Nadpis2"/>
        <w:jc w:val="both"/>
      </w:pPr>
      <w:r w:rsidRPr="000139C2">
        <w:t xml:space="preserve">Odběratel prohlašuje, </w:t>
      </w:r>
      <w:r w:rsidR="009E288B" w:rsidRPr="000139C2">
        <w:t xml:space="preserve">že </w:t>
      </w:r>
      <w:r w:rsidR="00B1572C">
        <w:t>je vlastníkem</w:t>
      </w:r>
      <w:r w:rsidR="00FF095D">
        <w:t xml:space="preserve"> </w:t>
      </w:r>
      <w:r w:rsidR="009E288B" w:rsidRPr="000139C2">
        <w:t>tepelné</w:t>
      </w:r>
      <w:r w:rsidR="00B1572C">
        <w:t>ho</w:t>
      </w:r>
      <w:r w:rsidR="009E288B" w:rsidRPr="000139C2">
        <w:t xml:space="preserve"> zařízení, které zajišťuj</w:t>
      </w:r>
      <w:r w:rsidR="00B1572C">
        <w:t>e</w:t>
      </w:r>
      <w:r w:rsidR="009E288B" w:rsidRPr="000139C2">
        <w:t xml:space="preserve"> hospodárnost, bezpečnost a spolehlivou dodávku nebo spotřebu </w:t>
      </w:r>
      <w:r w:rsidR="00B1572C">
        <w:t xml:space="preserve">Tepelné energie </w:t>
      </w:r>
      <w:r w:rsidR="00860053">
        <w:t>v souladu s </w:t>
      </w:r>
      <w:r w:rsidR="009E288B" w:rsidRPr="000139C2">
        <w:t>techni</w:t>
      </w:r>
      <w:r w:rsidR="00390AD9" w:rsidRPr="000139C2">
        <w:t>ckými a bezpečnostními předpisy.</w:t>
      </w:r>
    </w:p>
    <w:p w:rsidR="00D82871" w:rsidRPr="000139C2" w:rsidRDefault="00D82871" w:rsidP="00161AB9">
      <w:pPr>
        <w:pStyle w:val="Nadpis1"/>
        <w:jc w:val="both"/>
      </w:pPr>
      <w:r w:rsidRPr="000139C2">
        <w:t>Účinnost a doba trvání Smlouvy</w:t>
      </w:r>
    </w:p>
    <w:p w:rsidR="00D82871" w:rsidRDefault="00D82871" w:rsidP="00161AB9">
      <w:pPr>
        <w:pStyle w:val="Nadpis2"/>
        <w:jc w:val="both"/>
      </w:pPr>
      <w:bookmarkStart w:id="16" w:name="_Ref426529194"/>
      <w:r w:rsidRPr="000139C2">
        <w:t xml:space="preserve">Tato Smlouva nabývá </w:t>
      </w:r>
      <w:r w:rsidR="00F84C73">
        <w:t>účinnosti</w:t>
      </w:r>
      <w:r w:rsidR="008E74C0" w:rsidRPr="000139C2">
        <w:t xml:space="preserve"> </w:t>
      </w:r>
      <w:r w:rsidRPr="000139C2">
        <w:t>dnem podpisu obou Smluvních st</w:t>
      </w:r>
      <w:r w:rsidR="00F84C73">
        <w:t>ran</w:t>
      </w:r>
      <w:r w:rsidRPr="000139C2">
        <w:t>.</w:t>
      </w:r>
      <w:bookmarkEnd w:id="16"/>
    </w:p>
    <w:p w:rsidR="00F84C73" w:rsidRPr="000139C2" w:rsidRDefault="00F84C73" w:rsidP="00161AB9">
      <w:pPr>
        <w:pStyle w:val="Nadpis2"/>
        <w:jc w:val="both"/>
      </w:pPr>
      <w:r>
        <w:t>De</w:t>
      </w:r>
      <w:r w:rsidR="004C0B37">
        <w:t>n</w:t>
      </w:r>
      <w:r>
        <w:t xml:space="preserve"> </w:t>
      </w:r>
      <w:r w:rsidR="004C0B37">
        <w:t xml:space="preserve">podpisu Smlouvy je </w:t>
      </w:r>
      <w:r>
        <w:t>uveden na podpisové straně této Smlouvy.</w:t>
      </w:r>
    </w:p>
    <w:p w:rsidR="00D82871" w:rsidRPr="000139C2" w:rsidRDefault="00D82871" w:rsidP="00161AB9">
      <w:pPr>
        <w:pStyle w:val="Nadpis2"/>
        <w:jc w:val="both"/>
      </w:pPr>
      <w:r w:rsidRPr="000139C2">
        <w:t>Tato Smlouva se uzavírá na dobu neurčitou.</w:t>
      </w:r>
    </w:p>
    <w:p w:rsidR="00D82871" w:rsidRPr="000139C2" w:rsidRDefault="00D82871" w:rsidP="00B604CF">
      <w:pPr>
        <w:pStyle w:val="Nadpis2"/>
        <w:keepNext/>
        <w:jc w:val="both"/>
      </w:pPr>
      <w:r w:rsidRPr="000139C2">
        <w:t>Tato Smlouva může být ukončena:</w:t>
      </w:r>
    </w:p>
    <w:p w:rsidR="00D82871" w:rsidRPr="000139C2" w:rsidRDefault="00D82871" w:rsidP="00161AB9">
      <w:pPr>
        <w:pStyle w:val="Nadpis3"/>
        <w:jc w:val="both"/>
      </w:pPr>
      <w:r w:rsidRPr="000139C2">
        <w:t>na základě písemné dohody Smluvních stran; nebo</w:t>
      </w:r>
    </w:p>
    <w:p w:rsidR="00D82871" w:rsidRPr="000139C2" w:rsidRDefault="00D82871" w:rsidP="00161AB9">
      <w:pPr>
        <w:pStyle w:val="Nadpis3"/>
        <w:jc w:val="both"/>
      </w:pPr>
      <w:r w:rsidRPr="000139C2">
        <w:t xml:space="preserve">odstoupením s okamžitou platností v případě podstatného porušení této Smlouvy. Za podstatné porušení této Smlouvy se rovněž považuje naplnění kterékoli z podmínek pro neoprávněný odběr </w:t>
      </w:r>
      <w:r w:rsidR="00D2075F" w:rsidRPr="000139C2">
        <w:t>T</w:t>
      </w:r>
      <w:r w:rsidR="001B4434" w:rsidRPr="000139C2">
        <w:t>epelné energie</w:t>
      </w:r>
      <w:r w:rsidR="00DE54A3">
        <w:t xml:space="preserve"> dle </w:t>
      </w:r>
      <w:r w:rsidR="00EB0128">
        <w:t>Energetického zákon</w:t>
      </w:r>
      <w:r w:rsidR="00336A05">
        <w:t>a</w:t>
      </w:r>
      <w:r w:rsidRPr="000139C2">
        <w:t>, pokud přetrvávají déle než 5 dní;</w:t>
      </w:r>
    </w:p>
    <w:p w:rsidR="00D82871" w:rsidRPr="000139C2" w:rsidRDefault="004C0B37" w:rsidP="00161AB9">
      <w:pPr>
        <w:pStyle w:val="Nadpis3"/>
        <w:jc w:val="both"/>
      </w:pPr>
      <w:r w:rsidRPr="00C619D1">
        <w:lastRenderedPageBreak/>
        <w:t>písemnou výpovědí podanou kteroukoli Smluvní stranou</w:t>
      </w:r>
      <w:r>
        <w:t> s šesti (</w:t>
      </w:r>
      <w:r w:rsidRPr="000139C2">
        <w:t>6</w:t>
      </w:r>
      <w:r>
        <w:t>)</w:t>
      </w:r>
      <w:r w:rsidRPr="000139C2">
        <w:t xml:space="preserve"> měsíční výpovědní lhůtou</w:t>
      </w:r>
      <w:r w:rsidRPr="00424E72">
        <w:t xml:space="preserve"> </w:t>
      </w:r>
      <w:r w:rsidRPr="00C619D1">
        <w:t>počínající běžet prvého dne kalendářního měsíce následujícího po doručení výpovědi druhé Smluvní straně, a to i bez udání důvodu</w:t>
      </w:r>
      <w:r w:rsidRPr="000139C2">
        <w:t>.</w:t>
      </w:r>
      <w:r>
        <w:t xml:space="preserve"> </w:t>
      </w:r>
    </w:p>
    <w:p w:rsidR="000139C2" w:rsidRPr="000139C2" w:rsidRDefault="000139C2" w:rsidP="000139C2">
      <w:pPr>
        <w:pStyle w:val="Nadpis2"/>
        <w:jc w:val="both"/>
      </w:pPr>
      <w:r w:rsidRPr="000139C2">
        <w:t>Ke dni ukončení Smlouvy dochází k ukončení dodávky Tepelné energie</w:t>
      </w:r>
      <w:r w:rsidR="00EB0128">
        <w:t xml:space="preserve"> do všech </w:t>
      </w:r>
      <w:r w:rsidR="00E56188">
        <w:t>O</w:t>
      </w:r>
      <w:r w:rsidR="00EB0128">
        <w:t>dběrných míst</w:t>
      </w:r>
      <w:r w:rsidRPr="000139C2">
        <w:t xml:space="preserve">. </w:t>
      </w:r>
    </w:p>
    <w:p w:rsidR="00163A7B" w:rsidRPr="0072326F" w:rsidRDefault="00163A7B" w:rsidP="00163A7B">
      <w:pPr>
        <w:pStyle w:val="Nadpis2"/>
        <w:jc w:val="both"/>
      </w:pPr>
      <w:r w:rsidRPr="0072326F">
        <w:t xml:space="preserve">Smluvní strany výslovně prohlašují, že žádná ze Smluvních stran není oprávněna domáhat se vůči druhé straně obnovení jednání o Smlouvě proto, že došlo k podstatné změně okolností, která založí hrubý nepoměr v jejich vzájemných právech a </w:t>
      </w:r>
      <w:r w:rsidR="00443DCF">
        <w:t> </w:t>
      </w:r>
      <w:r w:rsidRPr="0072326F">
        <w:t xml:space="preserve">povinnostech, nicméně mohou zahájit v téže věci jednání. Takové jednání neopravňuje dotčenou stranu, aby odložila plnění.  </w:t>
      </w:r>
    </w:p>
    <w:p w:rsidR="00D82871" w:rsidRPr="000139C2" w:rsidRDefault="00D82871" w:rsidP="00161AB9">
      <w:pPr>
        <w:pStyle w:val="Nadpis1"/>
        <w:jc w:val="both"/>
      </w:pPr>
      <w:r w:rsidRPr="000139C2">
        <w:t>Sdělení</w:t>
      </w:r>
    </w:p>
    <w:p w:rsidR="0043136B" w:rsidRPr="000139C2" w:rsidRDefault="00D82871" w:rsidP="00161AB9">
      <w:pPr>
        <w:pStyle w:val="Nadpis2"/>
        <w:keepNext/>
        <w:jc w:val="both"/>
      </w:pPr>
      <w:r w:rsidRPr="000139C2">
        <w:t xml:space="preserve">Veškerá sdělení a komunikace vyplývající nebo související s touto Smlouvou budou mít písemnou formu a budou zasílány </w:t>
      </w:r>
      <w:r w:rsidR="004720CD" w:rsidRPr="000139C2">
        <w:t xml:space="preserve">osobně či prostřednictvím kurýra, </w:t>
      </w:r>
      <w:r w:rsidRPr="000139C2">
        <w:t>doporučen</w:t>
      </w:r>
      <w:r w:rsidR="004720CD" w:rsidRPr="000139C2">
        <w:t xml:space="preserve">ou poštou </w:t>
      </w:r>
      <w:r w:rsidRPr="000139C2">
        <w:t xml:space="preserve">nebo </w:t>
      </w:r>
      <w:r w:rsidR="00B1572C">
        <w:t>e-mailem</w:t>
      </w:r>
      <w:r w:rsidR="00CA593F" w:rsidRPr="000139C2">
        <w:t>.</w:t>
      </w:r>
      <w:r w:rsidR="00D7782A" w:rsidRPr="000139C2">
        <w:t xml:space="preserve"> </w:t>
      </w:r>
      <w:r w:rsidR="0043136B" w:rsidRPr="000139C2">
        <w:t>Pro účely této Smlouvy platí, že písemná komunikace byla uskutečněna:</w:t>
      </w:r>
    </w:p>
    <w:p w:rsidR="0043136B" w:rsidRPr="000139C2" w:rsidRDefault="0078742D" w:rsidP="00161AB9">
      <w:pPr>
        <w:pStyle w:val="Nadpis3"/>
        <w:jc w:val="both"/>
      </w:pPr>
      <w:r w:rsidRPr="000139C2">
        <w:t>j</w:t>
      </w:r>
      <w:r w:rsidR="0043136B" w:rsidRPr="000139C2">
        <w:t>edná-li se o doručení os</w:t>
      </w:r>
      <w:r w:rsidR="004720CD" w:rsidRPr="000139C2">
        <w:t>obně nebo prostřednictvím kurýra</w:t>
      </w:r>
      <w:r w:rsidR="0043136B" w:rsidRPr="000139C2">
        <w:t>, dnem</w:t>
      </w:r>
      <w:r w:rsidR="00665418" w:rsidRPr="000139C2">
        <w:t xml:space="preserve"> potvrzeného</w:t>
      </w:r>
      <w:r w:rsidR="0043136B" w:rsidRPr="000139C2">
        <w:t xml:space="preserve"> převzetí zásilky adresátem,</w:t>
      </w:r>
    </w:p>
    <w:p w:rsidR="0043136B" w:rsidRPr="000139C2" w:rsidRDefault="0078742D" w:rsidP="00161AB9">
      <w:pPr>
        <w:pStyle w:val="Nadpis3"/>
        <w:jc w:val="both"/>
      </w:pPr>
      <w:r w:rsidRPr="000139C2">
        <w:t>b</w:t>
      </w:r>
      <w:r w:rsidR="0043136B" w:rsidRPr="000139C2">
        <w:t xml:space="preserve">yla-li komunikace zaslána doporučenou poštou, dnem, kdy byla zásilka </w:t>
      </w:r>
      <w:r w:rsidR="00665418" w:rsidRPr="000139C2">
        <w:t xml:space="preserve">prokazatelně </w:t>
      </w:r>
      <w:r w:rsidR="0043136B" w:rsidRPr="000139C2">
        <w:t>doručena</w:t>
      </w:r>
      <w:r w:rsidR="00C3393C">
        <w:t>;</w:t>
      </w:r>
      <w:r w:rsidR="00C3393C" w:rsidRPr="0072326F">
        <w:t xml:space="preserve"> </w:t>
      </w:r>
      <w:r w:rsidR="00C3393C">
        <w:t>v</w:t>
      </w:r>
      <w:r w:rsidR="00C3393C" w:rsidRPr="0072326F">
        <w:t xml:space="preserve"> případě, že si adresát zásilku uloženou na poště nevyzvedne, má se zato, že zásilka došla třetí pracovní den po odeslání;</w:t>
      </w:r>
    </w:p>
    <w:p w:rsidR="0043136B" w:rsidRPr="000139C2" w:rsidRDefault="0078742D" w:rsidP="00161AB9">
      <w:pPr>
        <w:pStyle w:val="Nadpis3"/>
        <w:jc w:val="both"/>
      </w:pPr>
      <w:r w:rsidRPr="000139C2">
        <w:t>b</w:t>
      </w:r>
      <w:r w:rsidR="0043136B" w:rsidRPr="000139C2">
        <w:t xml:space="preserve">yla-li komunikace zaslána </w:t>
      </w:r>
      <w:r w:rsidR="00B1572C">
        <w:t>e-mailem</w:t>
      </w:r>
      <w:r w:rsidR="0043136B" w:rsidRPr="000139C2">
        <w:t xml:space="preserve">, dnem </w:t>
      </w:r>
      <w:r w:rsidR="00B1572C">
        <w:t>doručení potvrzení o přečtení e-mailové zprávy jejím příjemcem</w:t>
      </w:r>
      <w:r w:rsidR="00665418" w:rsidRPr="000139C2">
        <w:t>;</w:t>
      </w:r>
    </w:p>
    <w:p w:rsidR="00D82871" w:rsidRPr="000139C2" w:rsidRDefault="0043136B" w:rsidP="00161AB9">
      <w:pPr>
        <w:pStyle w:val="Nadpis3"/>
        <w:numPr>
          <w:ilvl w:val="0"/>
          <w:numId w:val="0"/>
        </w:numPr>
        <w:ind w:left="1134"/>
        <w:jc w:val="both"/>
      </w:pPr>
      <w:r w:rsidRPr="000139C2">
        <w:t>s tím, že jedná-li se o komunikaci adresovanou některé ze Smluvních stran, platí shora uvedené, jen pokud komunikace b</w:t>
      </w:r>
      <w:r w:rsidR="00C80DFB">
        <w:t>yla učiněna způsobem uvedeným v </w:t>
      </w:r>
      <w:r w:rsidRPr="000139C2">
        <w:t>následujícím odstavci tohoto článku.</w:t>
      </w:r>
    </w:p>
    <w:p w:rsidR="00D82871" w:rsidRPr="000139C2" w:rsidRDefault="00D82871" w:rsidP="00161AB9">
      <w:pPr>
        <w:pStyle w:val="Nadpis2"/>
        <w:jc w:val="both"/>
      </w:pPr>
      <w:r w:rsidRPr="000139C2">
        <w:t>Sdělení je nutno adresovat:</w:t>
      </w:r>
    </w:p>
    <w:p w:rsidR="00D82871" w:rsidRPr="000139C2" w:rsidRDefault="00D82871" w:rsidP="00161AB9">
      <w:pPr>
        <w:jc w:val="both"/>
      </w:pPr>
    </w:p>
    <w:p w:rsidR="00D82871" w:rsidRDefault="00D82871" w:rsidP="00161AB9">
      <w:pPr>
        <w:ind w:left="1123" w:firstLine="11"/>
        <w:jc w:val="both"/>
      </w:pPr>
      <w:r w:rsidRPr="000139C2">
        <w:t>Je-li adresováno Odběrateli:</w:t>
      </w:r>
    </w:p>
    <w:p w:rsidR="00A91132" w:rsidRPr="000139C2" w:rsidRDefault="00A91132" w:rsidP="00161AB9">
      <w:pPr>
        <w:ind w:left="1123" w:firstLine="11"/>
        <w:jc w:val="both"/>
      </w:pPr>
    </w:p>
    <w:p w:rsidR="00D82871" w:rsidRPr="00D41316" w:rsidRDefault="00A91132" w:rsidP="00A91132">
      <w:pPr>
        <w:tabs>
          <w:tab w:val="left" w:pos="1276"/>
          <w:tab w:val="left" w:pos="2410"/>
        </w:tabs>
        <w:ind w:left="709"/>
        <w:jc w:val="both"/>
      </w:pPr>
      <w:r>
        <w:tab/>
      </w:r>
      <w:r w:rsidRPr="00F07985">
        <w:t>k rukám:</w:t>
      </w:r>
      <w:r w:rsidRPr="00F07985">
        <w:tab/>
      </w:r>
      <w:proofErr w:type="gramStart"/>
      <w:r w:rsidR="00C61D6E" w:rsidRPr="00D41316">
        <w:rPr>
          <w:rStyle w:val="Siln"/>
          <w:b w:val="0"/>
        </w:rPr>
        <w:t xml:space="preserve">Ing. </w:t>
      </w:r>
      <w:r w:rsidR="00EA3C96" w:rsidRPr="00D41316">
        <w:rPr>
          <w:rStyle w:val="Siln"/>
          <w:b w:val="0"/>
        </w:rPr>
        <w:t xml:space="preserve"> Petr</w:t>
      </w:r>
      <w:proofErr w:type="gramEnd"/>
      <w:r w:rsidR="00EA3C96" w:rsidRPr="00D41316">
        <w:rPr>
          <w:rStyle w:val="Siln"/>
          <w:b w:val="0"/>
        </w:rPr>
        <w:t xml:space="preserve"> Kedra</w:t>
      </w:r>
    </w:p>
    <w:p w:rsidR="00D82871" w:rsidRPr="00D41316" w:rsidRDefault="00D91F13" w:rsidP="00790B9B">
      <w:pPr>
        <w:keepLines/>
        <w:ind w:left="2410" w:hanging="1134"/>
        <w:jc w:val="both"/>
        <w:rPr>
          <w:snapToGrid w:val="0"/>
          <w:szCs w:val="22"/>
        </w:rPr>
      </w:pPr>
      <w:r w:rsidRPr="00D41316">
        <w:rPr>
          <w:snapToGrid w:val="0"/>
          <w:szCs w:val="22"/>
        </w:rPr>
        <w:t>adresa:</w:t>
      </w:r>
      <w:r w:rsidRPr="00D41316">
        <w:rPr>
          <w:snapToGrid w:val="0"/>
          <w:szCs w:val="22"/>
        </w:rPr>
        <w:tab/>
      </w:r>
      <w:r w:rsidR="00C61D6E" w:rsidRPr="00D41316">
        <w:rPr>
          <w:rStyle w:val="Siln"/>
          <w:b w:val="0"/>
        </w:rPr>
        <w:t>Zlínský kraj</w:t>
      </w:r>
      <w:r w:rsidR="00EA3C96" w:rsidRPr="00D41316">
        <w:rPr>
          <w:rStyle w:val="Siln"/>
          <w:b w:val="0"/>
        </w:rPr>
        <w:t xml:space="preserve"> se sídlem ve Zlíně</w:t>
      </w:r>
      <w:r w:rsidR="00C61D6E" w:rsidRPr="00D41316">
        <w:rPr>
          <w:rStyle w:val="Siln"/>
          <w:b w:val="0"/>
        </w:rPr>
        <w:t xml:space="preserve">, </w:t>
      </w:r>
      <w:r w:rsidR="00EA3C96" w:rsidRPr="00D41316">
        <w:rPr>
          <w:rStyle w:val="Siln"/>
          <w:b w:val="0"/>
        </w:rPr>
        <w:t xml:space="preserve">tř. </w:t>
      </w:r>
      <w:r w:rsidR="00C61D6E" w:rsidRPr="00D41316">
        <w:rPr>
          <w:rStyle w:val="Siln"/>
          <w:b w:val="0"/>
        </w:rPr>
        <w:t xml:space="preserve">Tomáše Bati 21, </w:t>
      </w:r>
      <w:proofErr w:type="gramStart"/>
      <w:r w:rsidR="00C61D6E" w:rsidRPr="00D41316">
        <w:rPr>
          <w:rStyle w:val="Siln"/>
          <w:b w:val="0"/>
        </w:rPr>
        <w:t>Zlín , 76</w:t>
      </w:r>
      <w:r w:rsidR="00EA3C96" w:rsidRPr="00D41316">
        <w:rPr>
          <w:rStyle w:val="Siln"/>
          <w:b w:val="0"/>
        </w:rPr>
        <w:t>1 9</w:t>
      </w:r>
      <w:r w:rsidR="00C61D6E" w:rsidRPr="00D41316">
        <w:rPr>
          <w:rStyle w:val="Siln"/>
          <w:b w:val="0"/>
        </w:rPr>
        <w:t>0</w:t>
      </w:r>
      <w:proofErr w:type="gramEnd"/>
    </w:p>
    <w:p w:rsidR="00D82871" w:rsidRPr="00D41316" w:rsidRDefault="00DB4AAF" w:rsidP="00790B9B">
      <w:pPr>
        <w:keepLines/>
        <w:ind w:left="2410" w:hanging="1134"/>
        <w:jc w:val="both"/>
        <w:rPr>
          <w:snapToGrid w:val="0"/>
          <w:szCs w:val="22"/>
        </w:rPr>
      </w:pPr>
      <w:r w:rsidRPr="00D41316">
        <w:rPr>
          <w:snapToGrid w:val="0"/>
          <w:szCs w:val="22"/>
        </w:rPr>
        <w:t>tel.:</w:t>
      </w:r>
      <w:r w:rsidRPr="00D41316">
        <w:rPr>
          <w:snapToGrid w:val="0"/>
          <w:szCs w:val="22"/>
        </w:rPr>
        <w:tab/>
      </w:r>
      <w:r w:rsidR="00C61D6E" w:rsidRPr="00D41316">
        <w:rPr>
          <w:rStyle w:val="Siln"/>
          <w:b w:val="0"/>
        </w:rPr>
        <w:t>577 043 20</w:t>
      </w:r>
      <w:r w:rsidR="00EA3C96" w:rsidRPr="00D41316">
        <w:rPr>
          <w:rStyle w:val="Siln"/>
          <w:b w:val="0"/>
        </w:rPr>
        <w:t>5</w:t>
      </w:r>
    </w:p>
    <w:p w:rsidR="00D82871" w:rsidRDefault="00D7782A" w:rsidP="00790B9B">
      <w:pPr>
        <w:keepLines/>
        <w:ind w:left="2410" w:hanging="1134"/>
        <w:jc w:val="both"/>
        <w:rPr>
          <w:snapToGrid w:val="0"/>
          <w:szCs w:val="22"/>
        </w:rPr>
      </w:pPr>
      <w:r w:rsidRPr="00D41316">
        <w:rPr>
          <w:snapToGrid w:val="0"/>
          <w:szCs w:val="22"/>
        </w:rPr>
        <w:t>e-mail:</w:t>
      </w:r>
      <w:r w:rsidR="00E21602" w:rsidRPr="00D41316">
        <w:rPr>
          <w:snapToGrid w:val="0"/>
          <w:szCs w:val="22"/>
        </w:rPr>
        <w:tab/>
      </w:r>
      <w:r w:rsidR="00EA3C96" w:rsidRPr="00D41316">
        <w:rPr>
          <w:rStyle w:val="Siln"/>
          <w:b w:val="0"/>
        </w:rPr>
        <w:t>petr.kedra@kr-zlinsky.cz</w:t>
      </w:r>
    </w:p>
    <w:p w:rsidR="00163B79" w:rsidRDefault="00163B79" w:rsidP="00790B9B">
      <w:pPr>
        <w:keepLines/>
        <w:ind w:left="2410" w:hanging="1134"/>
        <w:jc w:val="both"/>
        <w:rPr>
          <w:snapToGrid w:val="0"/>
          <w:szCs w:val="22"/>
        </w:rPr>
      </w:pPr>
    </w:p>
    <w:p w:rsidR="00163B79" w:rsidRPr="00790B9B" w:rsidRDefault="00163B79" w:rsidP="00790B9B">
      <w:pPr>
        <w:keepLines/>
        <w:ind w:left="2410" w:hanging="1134"/>
        <w:jc w:val="both"/>
        <w:rPr>
          <w:snapToGrid w:val="0"/>
          <w:szCs w:val="22"/>
        </w:rPr>
      </w:pPr>
      <w:r>
        <w:rPr>
          <w:snapToGrid w:val="0"/>
          <w:szCs w:val="22"/>
        </w:rPr>
        <w:t>nebo též osobně do podatelny na stejné adrese</w:t>
      </w:r>
    </w:p>
    <w:p w:rsidR="00D82871" w:rsidRPr="000139C2" w:rsidRDefault="00D82871" w:rsidP="00161AB9">
      <w:pPr>
        <w:ind w:left="709"/>
        <w:jc w:val="both"/>
      </w:pPr>
    </w:p>
    <w:p w:rsidR="0083194D" w:rsidRPr="00C619D1" w:rsidRDefault="0083194D" w:rsidP="0083194D">
      <w:pPr>
        <w:ind w:left="1134"/>
        <w:jc w:val="both"/>
      </w:pPr>
      <w:r w:rsidRPr="00C619D1">
        <w:t>Je-li adresováno Dodavateli:</w:t>
      </w:r>
    </w:p>
    <w:p w:rsidR="0083194D" w:rsidRDefault="0083194D" w:rsidP="0083194D">
      <w:pPr>
        <w:ind w:left="1134"/>
        <w:jc w:val="both"/>
      </w:pPr>
    </w:p>
    <w:p w:rsidR="00CA5851" w:rsidRDefault="00CA5851" w:rsidP="00CA5851">
      <w:pPr>
        <w:keepLines/>
        <w:ind w:left="2410" w:hanging="1134"/>
        <w:jc w:val="both"/>
        <w:rPr>
          <w:snapToGrid w:val="0"/>
          <w:szCs w:val="22"/>
        </w:rPr>
      </w:pPr>
      <w:r>
        <w:rPr>
          <w:snapToGrid w:val="0"/>
          <w:szCs w:val="22"/>
        </w:rPr>
        <w:t>k rukám:</w:t>
      </w:r>
      <w:r>
        <w:rPr>
          <w:snapToGrid w:val="0"/>
          <w:szCs w:val="22"/>
        </w:rPr>
        <w:tab/>
        <w:t>Ing. Viktora Kaliny</w:t>
      </w:r>
    </w:p>
    <w:p w:rsidR="00CA5851" w:rsidRPr="00140B37" w:rsidRDefault="00CA5851" w:rsidP="00CA5851">
      <w:pPr>
        <w:keepLines/>
        <w:ind w:left="2410" w:hanging="1134"/>
        <w:jc w:val="both"/>
        <w:rPr>
          <w:snapToGrid w:val="0"/>
          <w:szCs w:val="22"/>
        </w:rPr>
      </w:pPr>
      <w:r w:rsidRPr="00140B37">
        <w:rPr>
          <w:snapToGrid w:val="0"/>
          <w:szCs w:val="22"/>
        </w:rPr>
        <w:t>adresa:</w:t>
      </w:r>
      <w:r w:rsidRPr="00140B37">
        <w:rPr>
          <w:snapToGrid w:val="0"/>
          <w:szCs w:val="22"/>
        </w:rPr>
        <w:tab/>
      </w:r>
      <w:proofErr w:type="spellStart"/>
      <w:r w:rsidRPr="00140B37">
        <w:rPr>
          <w:snapToGrid w:val="0"/>
          <w:szCs w:val="22"/>
        </w:rPr>
        <w:t>Alpiq</w:t>
      </w:r>
      <w:proofErr w:type="spellEnd"/>
      <w:r w:rsidRPr="00140B37">
        <w:rPr>
          <w:snapToGrid w:val="0"/>
          <w:szCs w:val="22"/>
        </w:rPr>
        <w:t xml:space="preserve"> </w:t>
      </w:r>
      <w:proofErr w:type="spellStart"/>
      <w:r w:rsidRPr="00140B37">
        <w:rPr>
          <w:snapToGrid w:val="0"/>
          <w:szCs w:val="22"/>
        </w:rPr>
        <w:t>Generation</w:t>
      </w:r>
      <w:proofErr w:type="spellEnd"/>
      <w:r w:rsidRPr="00140B37">
        <w:rPr>
          <w:snapToGrid w:val="0"/>
          <w:szCs w:val="22"/>
        </w:rPr>
        <w:t xml:space="preserve"> (CZ) s.r.o.</w:t>
      </w:r>
      <w:r>
        <w:rPr>
          <w:snapToGrid w:val="0"/>
          <w:szCs w:val="22"/>
        </w:rPr>
        <w:tab/>
      </w:r>
      <w:r>
        <w:rPr>
          <w:snapToGrid w:val="0"/>
          <w:szCs w:val="22"/>
        </w:rPr>
        <w:br/>
        <w:t>Obchodní oddělení</w:t>
      </w:r>
      <w:r>
        <w:rPr>
          <w:snapToGrid w:val="0"/>
          <w:szCs w:val="22"/>
        </w:rPr>
        <w:tab/>
      </w:r>
      <w:r>
        <w:rPr>
          <w:snapToGrid w:val="0"/>
          <w:szCs w:val="22"/>
        </w:rPr>
        <w:br/>
      </w:r>
      <w:r w:rsidRPr="00140B37">
        <w:rPr>
          <w:snapToGrid w:val="0"/>
          <w:szCs w:val="22"/>
        </w:rPr>
        <w:t>Dubská 257</w:t>
      </w:r>
      <w:r>
        <w:rPr>
          <w:snapToGrid w:val="0"/>
          <w:szCs w:val="22"/>
        </w:rPr>
        <w:tab/>
      </w:r>
      <w:r>
        <w:rPr>
          <w:snapToGrid w:val="0"/>
          <w:szCs w:val="22"/>
        </w:rPr>
        <w:br/>
      </w:r>
      <w:r w:rsidRPr="00140B37">
        <w:rPr>
          <w:snapToGrid w:val="0"/>
          <w:szCs w:val="22"/>
        </w:rPr>
        <w:t>272 03</w:t>
      </w:r>
      <w:r>
        <w:rPr>
          <w:snapToGrid w:val="0"/>
          <w:szCs w:val="22"/>
        </w:rPr>
        <w:t xml:space="preserve"> Kladno</w:t>
      </w:r>
    </w:p>
    <w:p w:rsidR="00CA5851" w:rsidRPr="00140B37" w:rsidRDefault="00CA5851" w:rsidP="00CA5851">
      <w:pPr>
        <w:ind w:left="2410" w:hanging="1134"/>
        <w:jc w:val="both"/>
        <w:rPr>
          <w:snapToGrid w:val="0"/>
          <w:szCs w:val="22"/>
        </w:rPr>
      </w:pPr>
      <w:r w:rsidRPr="00140B37">
        <w:rPr>
          <w:snapToGrid w:val="0"/>
          <w:szCs w:val="22"/>
        </w:rPr>
        <w:t>tel.:</w:t>
      </w:r>
      <w:r w:rsidRPr="00140B37">
        <w:rPr>
          <w:snapToGrid w:val="0"/>
          <w:szCs w:val="22"/>
        </w:rPr>
        <w:tab/>
        <w:t>312</w:t>
      </w:r>
      <w:r>
        <w:rPr>
          <w:snapToGrid w:val="0"/>
          <w:szCs w:val="22"/>
        </w:rPr>
        <w:t> </w:t>
      </w:r>
      <w:r w:rsidRPr="00140B37">
        <w:rPr>
          <w:snapToGrid w:val="0"/>
          <w:szCs w:val="22"/>
        </w:rPr>
        <w:t>64</w:t>
      </w:r>
      <w:r>
        <w:rPr>
          <w:snapToGrid w:val="0"/>
          <w:szCs w:val="22"/>
        </w:rPr>
        <w:t>5 437</w:t>
      </w:r>
    </w:p>
    <w:p w:rsidR="00CA5851" w:rsidRDefault="00CA5851" w:rsidP="00CA5851">
      <w:pPr>
        <w:ind w:left="2410" w:hanging="1134"/>
        <w:jc w:val="both"/>
        <w:rPr>
          <w:snapToGrid w:val="0"/>
          <w:szCs w:val="22"/>
        </w:rPr>
      </w:pPr>
      <w:r w:rsidRPr="00140B37">
        <w:rPr>
          <w:snapToGrid w:val="0"/>
          <w:szCs w:val="22"/>
        </w:rPr>
        <w:t>fax:</w:t>
      </w:r>
      <w:r w:rsidRPr="00140B37">
        <w:rPr>
          <w:snapToGrid w:val="0"/>
          <w:szCs w:val="22"/>
        </w:rPr>
        <w:tab/>
        <w:t>312 644</w:t>
      </w:r>
      <w:r>
        <w:rPr>
          <w:snapToGrid w:val="0"/>
          <w:szCs w:val="22"/>
        </w:rPr>
        <w:t> 940</w:t>
      </w:r>
    </w:p>
    <w:p w:rsidR="0083194D" w:rsidRDefault="0083194D" w:rsidP="0083194D">
      <w:pPr>
        <w:ind w:left="1134"/>
        <w:jc w:val="both"/>
      </w:pPr>
    </w:p>
    <w:p w:rsidR="0083194D" w:rsidRDefault="0083194D" w:rsidP="009923C8">
      <w:pPr>
        <w:keepNext/>
        <w:ind w:left="1134"/>
        <w:jc w:val="both"/>
      </w:pPr>
      <w:r>
        <w:lastRenderedPageBreak/>
        <w:t>Zákazníci s Odběrnými místy ve Zlíně, mohou sdělení doručovat též osobně do podatelny na adrese:</w:t>
      </w:r>
    </w:p>
    <w:p w:rsidR="0083194D" w:rsidRDefault="0083194D" w:rsidP="0083194D">
      <w:pPr>
        <w:ind w:left="2127"/>
        <w:jc w:val="both"/>
      </w:pPr>
      <w:proofErr w:type="spellStart"/>
      <w:r w:rsidRPr="00C619D1">
        <w:t>Alpiq</w:t>
      </w:r>
      <w:proofErr w:type="spellEnd"/>
      <w:r w:rsidRPr="00C619D1">
        <w:t xml:space="preserve"> </w:t>
      </w:r>
      <w:proofErr w:type="spellStart"/>
      <w:r w:rsidRPr="00C619D1">
        <w:t>Generation</w:t>
      </w:r>
      <w:proofErr w:type="spellEnd"/>
      <w:r w:rsidRPr="00C619D1">
        <w:t xml:space="preserve"> (CZ) s.r.o.</w:t>
      </w:r>
    </w:p>
    <w:p w:rsidR="0083194D" w:rsidRDefault="0083194D" w:rsidP="0083194D">
      <w:pPr>
        <w:ind w:left="2127"/>
        <w:jc w:val="both"/>
      </w:pPr>
      <w:r>
        <w:t>Obchodní oddělení</w:t>
      </w:r>
    </w:p>
    <w:p w:rsidR="0083194D" w:rsidRDefault="00D6732D" w:rsidP="0083194D">
      <w:pPr>
        <w:ind w:left="2127"/>
        <w:jc w:val="both"/>
      </w:pPr>
      <w:r>
        <w:t>Hlavničkovo nábřeží</w:t>
      </w:r>
      <w:r w:rsidR="0083194D" w:rsidRPr="00164176">
        <w:t xml:space="preserve"> 650</w:t>
      </w:r>
    </w:p>
    <w:p w:rsidR="00D82871" w:rsidRPr="000139C2" w:rsidRDefault="0083194D" w:rsidP="0083194D">
      <w:pPr>
        <w:ind w:left="1810" w:firstLine="317"/>
        <w:jc w:val="both"/>
      </w:pPr>
      <w:r w:rsidRPr="00164176">
        <w:t>760 01</w:t>
      </w:r>
      <w:r>
        <w:t xml:space="preserve"> Zlín</w:t>
      </w:r>
    </w:p>
    <w:p w:rsidR="00665418" w:rsidRPr="000139C2" w:rsidRDefault="00665418" w:rsidP="00161AB9">
      <w:pPr>
        <w:pStyle w:val="Nadpis2"/>
        <w:keepNext/>
        <w:jc w:val="both"/>
        <w:rPr>
          <w:snapToGrid w:val="0"/>
        </w:rPr>
      </w:pPr>
      <w:r w:rsidRPr="000139C2">
        <w:rPr>
          <w:snapToGrid w:val="0"/>
        </w:rPr>
        <w:t xml:space="preserve">Smluvní strany mohou provést změny ve výše uvedených údajích tím, že o tom písemně uvědomí </w:t>
      </w:r>
      <w:r w:rsidRPr="000139C2">
        <w:t>druhou</w:t>
      </w:r>
      <w:r w:rsidRPr="000139C2">
        <w:rPr>
          <w:snapToGrid w:val="0"/>
        </w:rPr>
        <w:t xml:space="preserve"> Smluvní stranu tak, jak je stanoveno v tomto článku. Takováto změna je účinná vůči druhé Smluvní straně 2. (druhým) pracovním dnem po doručení uvedeného oznámení; bude-li však druhá Smluvní strana postupovat dle doručeného oznámení dříve než po uplynutí uvedené lhůty, bude její komunikace učiněna na změněnou adresu dle zmíněného oznámení považována za učiněnou řádně dle této Smlouvy.</w:t>
      </w:r>
    </w:p>
    <w:p w:rsidR="00D82871" w:rsidRPr="000139C2" w:rsidRDefault="00D82871" w:rsidP="00161AB9">
      <w:pPr>
        <w:pStyle w:val="Nadpis1"/>
        <w:jc w:val="both"/>
      </w:pPr>
      <w:r w:rsidRPr="000139C2">
        <w:t>Závěrečná ustanovení</w:t>
      </w:r>
    </w:p>
    <w:p w:rsidR="00D82871" w:rsidRPr="000139C2" w:rsidRDefault="00D82871" w:rsidP="00161AB9">
      <w:pPr>
        <w:pStyle w:val="Nadpis2"/>
        <w:jc w:val="both"/>
      </w:pPr>
      <w:r w:rsidRPr="000139C2">
        <w:t xml:space="preserve">Tato Smlouva se řídí právem České republiky a bude v souladu s ním vykládána. Záležitosti výslovně touto Smlouvou neupravené se řídí zejména příslušnými ustanoveními Energetického zákona a zákona č. </w:t>
      </w:r>
      <w:r w:rsidR="00F83AA2">
        <w:t>89/2012</w:t>
      </w:r>
      <w:r w:rsidRPr="000139C2">
        <w:t xml:space="preserve"> Sb., </w:t>
      </w:r>
      <w:r w:rsidR="00F83AA2">
        <w:t xml:space="preserve">Občanský </w:t>
      </w:r>
      <w:r w:rsidRPr="000139C2">
        <w:t>zákoník, ve znění pozdějších předpisů.</w:t>
      </w:r>
    </w:p>
    <w:p w:rsidR="00D82871" w:rsidRPr="000139C2" w:rsidRDefault="00D82871" w:rsidP="00161AB9">
      <w:pPr>
        <w:pStyle w:val="Nadpis2"/>
        <w:jc w:val="both"/>
      </w:pPr>
      <w:r w:rsidRPr="000139C2">
        <w:t xml:space="preserve">Tato Smlouva je vyhotovena a podepsána ve </w:t>
      </w:r>
      <w:r w:rsidR="004C0B37">
        <w:t>třech</w:t>
      </w:r>
      <w:r w:rsidR="004C0B37" w:rsidRPr="000139C2">
        <w:t xml:space="preserve"> </w:t>
      </w:r>
      <w:r w:rsidR="005E03EC">
        <w:t>(</w:t>
      </w:r>
      <w:r w:rsidR="004C0B37">
        <w:t>3</w:t>
      </w:r>
      <w:r w:rsidR="005E03EC">
        <w:t xml:space="preserve">) </w:t>
      </w:r>
      <w:r w:rsidRPr="000139C2">
        <w:t>shodných vyhotoveních</w:t>
      </w:r>
      <w:r w:rsidR="004C0B37">
        <w:t>,</w:t>
      </w:r>
      <w:r w:rsidRPr="000139C2">
        <w:t xml:space="preserve"> </w:t>
      </w:r>
      <w:r w:rsidR="002D59FD" w:rsidRPr="000139C2">
        <w:t xml:space="preserve">přičemž </w:t>
      </w:r>
      <w:r w:rsidR="002D59FD">
        <w:t>Odběratel obdrží dvě (2) vyhotovení a Dodavatel jedno (1) vyhotovení</w:t>
      </w:r>
      <w:r w:rsidR="002D59FD" w:rsidRPr="000139C2">
        <w:t>.</w:t>
      </w:r>
      <w:r w:rsidR="002D59FD">
        <w:t xml:space="preserve"> </w:t>
      </w:r>
    </w:p>
    <w:p w:rsidR="00D82871" w:rsidRPr="000139C2" w:rsidRDefault="00D82871" w:rsidP="00161AB9">
      <w:pPr>
        <w:pStyle w:val="Nadpis2"/>
        <w:jc w:val="both"/>
      </w:pPr>
      <w:r w:rsidRPr="000139C2">
        <w:t>Tato Smlouva může být měněna a doplňována pouze písemnými dodatky odsouhlasenými oběma Smluvními stranami.</w:t>
      </w:r>
      <w:r w:rsidR="00F83AA2" w:rsidRPr="00F83AA2">
        <w:t xml:space="preserve"> </w:t>
      </w:r>
      <w:r w:rsidR="00F83AA2" w:rsidRPr="0072326F">
        <w:t>Tyto dodatky se stanou nedílnou součástí této Smlouvy. Ujednáními v jiné formě než ve formě písemného dodatku schváleného podpisem obou Smluvních stran, zejména ve formě zápisů, protokolů apod., Smluvní strany nechtějí být vázány. Bude-li dodatek uzavírán Smluvními stranami vzájemně nepřítomnými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navrženého dodatku jinými slovy. Taková odpověď se považuje pouze za novou nabídku.</w:t>
      </w:r>
    </w:p>
    <w:p w:rsidR="00D82871" w:rsidRPr="00C61D6E" w:rsidRDefault="00D82871" w:rsidP="00FF0F01">
      <w:pPr>
        <w:pStyle w:val="Nadpis2"/>
        <w:jc w:val="both"/>
      </w:pPr>
      <w:r w:rsidRPr="000139C2">
        <w:t xml:space="preserve">Tato Smlouva nahrazuje veškerá </w:t>
      </w:r>
      <w:r w:rsidR="00811ED5" w:rsidRPr="000139C2">
        <w:t xml:space="preserve">předchozí </w:t>
      </w:r>
      <w:r w:rsidRPr="000139C2">
        <w:t xml:space="preserve">ujednání Smluvních stran o dodávkách </w:t>
      </w:r>
      <w:r w:rsidR="00811ED5" w:rsidRPr="000139C2">
        <w:t>T</w:t>
      </w:r>
      <w:r w:rsidR="001B4434" w:rsidRPr="000139C2">
        <w:t>epelné energie</w:t>
      </w:r>
      <w:r w:rsidRPr="000139C2">
        <w:t xml:space="preserve"> Dodavatelem Odběrateli </w:t>
      </w:r>
      <w:r w:rsidR="00811ED5" w:rsidRPr="000139C2">
        <w:t>do</w:t>
      </w:r>
      <w:r w:rsidRPr="000139C2">
        <w:t xml:space="preserve"> stejných Odběrných </w:t>
      </w:r>
      <w:r w:rsidRPr="00C61D6E">
        <w:t>míst</w:t>
      </w:r>
      <w:r w:rsidR="00D521BF" w:rsidRPr="00C61D6E">
        <w:t xml:space="preserve"> </w:t>
      </w:r>
      <w:r w:rsidR="00702BE1" w:rsidRPr="00D4756D">
        <w:t>[</w:t>
      </w:r>
      <w:r w:rsidR="00D521BF" w:rsidRPr="00C61D6E">
        <w:t>Smlouva č.</w:t>
      </w:r>
      <w:r w:rsidR="00D87E6F">
        <w:t> </w:t>
      </w:r>
      <w:r w:rsidR="00C61D6E" w:rsidRPr="00C61D6E">
        <w:t>320883_2</w:t>
      </w:r>
      <w:r w:rsidR="00D521BF" w:rsidRPr="00C61D6E">
        <w:t xml:space="preserve"> uzavřená dne</w:t>
      </w:r>
      <w:r w:rsidR="00C61D6E" w:rsidRPr="00C61D6E">
        <w:t xml:space="preserve"> </w:t>
      </w:r>
      <w:proofErr w:type="gramStart"/>
      <w:r w:rsidR="00C61D6E" w:rsidRPr="00C61D6E">
        <w:t>19.3.2015</w:t>
      </w:r>
      <w:proofErr w:type="gramEnd"/>
      <w:r w:rsidR="00A60601" w:rsidRPr="00C61D6E">
        <w:t xml:space="preserve"> </w:t>
      </w:r>
      <w:r w:rsidR="00D521BF" w:rsidRPr="00C61D6E">
        <w:t>ve znění pozdějších změn a doplňků</w:t>
      </w:r>
      <w:r w:rsidR="00702BE1">
        <w:t>]</w:t>
      </w:r>
      <w:r w:rsidR="002802C4" w:rsidRPr="00C61D6E">
        <w:t>.</w:t>
      </w:r>
    </w:p>
    <w:p w:rsidR="005E03EC" w:rsidRPr="009923C8" w:rsidRDefault="005E03EC" w:rsidP="005E03EC">
      <w:pPr>
        <w:pStyle w:val="Nadpis2"/>
        <w:jc w:val="both"/>
      </w:pPr>
      <w:r w:rsidRPr="009923C8">
        <w:t>Smluvní strany se zavazují zachovávat mlčenlivost o skutečnostech, které se dozvěděly na základě této Smlouvy nebo v souvislosti s ní.</w:t>
      </w:r>
    </w:p>
    <w:p w:rsidR="0083194D" w:rsidRDefault="009E626B" w:rsidP="00161AB9">
      <w:pPr>
        <w:pStyle w:val="Nadpis2"/>
        <w:jc w:val="both"/>
      </w:pPr>
      <w:r w:rsidRPr="000139C2">
        <w:t xml:space="preserve">Nedílnou </w:t>
      </w:r>
      <w:r w:rsidR="0083194D">
        <w:t xml:space="preserve">a neoddělitelnou </w:t>
      </w:r>
      <w:r w:rsidRPr="000139C2">
        <w:t xml:space="preserve">součástí Smlouvy jsou aktuálně platná </w:t>
      </w:r>
      <w:r w:rsidR="0084752C" w:rsidRPr="002802C4">
        <w:rPr>
          <w:i/>
        </w:rPr>
        <w:t xml:space="preserve">Pravidla pro připojení a provoz zařízení </w:t>
      </w:r>
      <w:r w:rsidR="0084752C">
        <w:rPr>
          <w:i/>
        </w:rPr>
        <w:t>připoje</w:t>
      </w:r>
      <w:r w:rsidR="0084752C" w:rsidRPr="002802C4">
        <w:rPr>
          <w:i/>
        </w:rPr>
        <w:t>ných</w:t>
      </w:r>
      <w:r w:rsidR="0084752C">
        <w:rPr>
          <w:i/>
        </w:rPr>
        <w:t xml:space="preserve"> k </w:t>
      </w:r>
      <w:r w:rsidR="0084752C" w:rsidRPr="002802C4">
        <w:rPr>
          <w:i/>
        </w:rPr>
        <w:t>soustav</w:t>
      </w:r>
      <w:r w:rsidR="0084752C">
        <w:rPr>
          <w:i/>
        </w:rPr>
        <w:t>ám</w:t>
      </w:r>
      <w:r w:rsidR="0084752C" w:rsidRPr="002802C4">
        <w:rPr>
          <w:i/>
        </w:rPr>
        <w:t xml:space="preserve"> </w:t>
      </w:r>
      <w:r w:rsidR="0084752C">
        <w:rPr>
          <w:i/>
        </w:rPr>
        <w:t>centrálního zásobování teplem</w:t>
      </w:r>
      <w:r w:rsidR="0084752C" w:rsidRPr="002802C4">
        <w:rPr>
          <w:i/>
        </w:rPr>
        <w:t xml:space="preserve"> </w:t>
      </w:r>
      <w:proofErr w:type="spellStart"/>
      <w:r w:rsidR="005E03EC" w:rsidRPr="00906C4B">
        <w:rPr>
          <w:i/>
        </w:rPr>
        <w:t>Alpiq</w:t>
      </w:r>
      <w:proofErr w:type="spellEnd"/>
      <w:r w:rsidR="005E03EC" w:rsidRPr="00906C4B">
        <w:rPr>
          <w:i/>
        </w:rPr>
        <w:t xml:space="preserve"> </w:t>
      </w:r>
      <w:proofErr w:type="spellStart"/>
      <w:r w:rsidR="005E03EC" w:rsidRPr="00906C4B">
        <w:rPr>
          <w:i/>
        </w:rPr>
        <w:t>Generation</w:t>
      </w:r>
      <w:proofErr w:type="spellEnd"/>
      <w:r w:rsidR="005E03EC" w:rsidRPr="00906C4B">
        <w:rPr>
          <w:i/>
        </w:rPr>
        <w:t xml:space="preserve"> (CZ) s.r.o.</w:t>
      </w:r>
      <w:r w:rsidR="005E03EC" w:rsidRPr="002802C4">
        <w:rPr>
          <w:i/>
        </w:rPr>
        <w:t xml:space="preserve"> </w:t>
      </w:r>
      <w:r w:rsidRPr="002802C4">
        <w:t>(dále jen „</w:t>
      </w:r>
      <w:r w:rsidRPr="002802C4">
        <w:rPr>
          <w:b/>
        </w:rPr>
        <w:t>Pravidla</w:t>
      </w:r>
      <w:r w:rsidRPr="002802C4">
        <w:t>“)</w:t>
      </w:r>
      <w:r w:rsidR="0083194D">
        <w:t xml:space="preserve">, </w:t>
      </w:r>
      <w:r w:rsidR="0083194D" w:rsidRPr="0083194D">
        <w:t xml:space="preserve">která tvoří </w:t>
      </w:r>
      <w:r w:rsidR="0083194D">
        <w:rPr>
          <w:szCs w:val="22"/>
        </w:rPr>
        <w:t xml:space="preserve">Přílohu </w:t>
      </w:r>
      <w:proofErr w:type="gramStart"/>
      <w:r w:rsidR="0083194D">
        <w:rPr>
          <w:szCs w:val="22"/>
        </w:rPr>
        <w:t>č.5</w:t>
      </w:r>
      <w:r w:rsidRPr="0083194D">
        <w:rPr>
          <w:szCs w:val="22"/>
        </w:rPr>
        <w:t xml:space="preserve"> Smlouvy</w:t>
      </w:r>
      <w:proofErr w:type="gramEnd"/>
      <w:r w:rsidRPr="0083194D">
        <w:rPr>
          <w:szCs w:val="22"/>
        </w:rPr>
        <w:t>. O případné aktualizaci Pravidel bude Dodavatel Odběratele předem</w:t>
      </w:r>
      <w:r w:rsidRPr="000139C2">
        <w:rPr>
          <w:szCs w:val="22"/>
        </w:rPr>
        <w:t xml:space="preserve"> informovat.</w:t>
      </w:r>
      <w:r w:rsidRPr="000139C2">
        <w:t xml:space="preserve"> </w:t>
      </w:r>
    </w:p>
    <w:p w:rsidR="00F83AA2" w:rsidRPr="00F83AA2" w:rsidRDefault="00F83AA2" w:rsidP="00F83AA2">
      <w:pPr>
        <w:pStyle w:val="Nadpis2"/>
        <w:jc w:val="both"/>
      </w:pPr>
      <w:r w:rsidRPr="00F83AA2">
        <w:t>V případě, že jakákoliv ze Smluvních stran poruší ustanovení této Smlouvy, odpovídá tato Smluvní strana za prokazatelně vzniklé škody, které tím vzniknou druhé Smluvní straně.</w:t>
      </w:r>
    </w:p>
    <w:p w:rsidR="005151D7" w:rsidRDefault="005E03EC" w:rsidP="005E03EC">
      <w:pPr>
        <w:pStyle w:val="Nadpis2"/>
      </w:pPr>
      <w:r w:rsidRPr="002E2BBB">
        <w:t>Odběratel není oprávněn převést jeho práva a povinnosti ze Smlouvy jako postupitel třetí osobě, a to ani částečně, bez předchozího písemného souhlasu Dodavatele.</w:t>
      </w:r>
    </w:p>
    <w:p w:rsidR="005151D7" w:rsidRDefault="00503A50" w:rsidP="009923C8">
      <w:pPr>
        <w:pStyle w:val="Nadpis2"/>
        <w:jc w:val="both"/>
      </w:pPr>
      <w:r w:rsidRPr="00503A50">
        <w:t xml:space="preserve">Smluvní strany se dohodly, že zveřejnění </w:t>
      </w:r>
      <w:r>
        <w:t>této</w:t>
      </w:r>
      <w:r w:rsidRPr="00503A50">
        <w:t xml:space="preserve"> </w:t>
      </w:r>
      <w:r w:rsidR="00C65A0C">
        <w:t>S</w:t>
      </w:r>
      <w:r w:rsidRPr="00503A50">
        <w:t xml:space="preserve">mlouvy prostřednictvím registru smluv dle zákona č. 340/2015 Sb., o zvláštních podmínkách účinnosti některých smluv, uveřejňování těchto smluv a o registru smluv (zákon o registru smluv), provede </w:t>
      </w:r>
      <w:r w:rsidR="009923C8">
        <w:t>O</w:t>
      </w:r>
      <w:r w:rsidR="00C31D98">
        <w:t xml:space="preserve">dběratel </w:t>
      </w:r>
      <w:r w:rsidRPr="00503A50">
        <w:t xml:space="preserve">a to nejpozději </w:t>
      </w:r>
      <w:r w:rsidR="00E012FD">
        <w:lastRenderedPageBreak/>
        <w:t>do 30 dnů.</w:t>
      </w:r>
      <w:r w:rsidRPr="00503A50">
        <w:t xml:space="preserve"> O uveřejnění smlouvy bude </w:t>
      </w:r>
      <w:r w:rsidR="00C65A0C">
        <w:t xml:space="preserve">Odběratel </w:t>
      </w:r>
      <w:r w:rsidR="009923C8">
        <w:t xml:space="preserve">Dodavatele </w:t>
      </w:r>
      <w:r w:rsidRPr="00503A50">
        <w:t>bezodkladně informovat emailem</w:t>
      </w:r>
      <w:r w:rsidR="009923C8">
        <w:t xml:space="preserve"> na adresu sales.zlin@alpiq.com</w:t>
      </w:r>
      <w:r w:rsidRPr="00503A50">
        <w:t>.</w:t>
      </w:r>
    </w:p>
    <w:p w:rsidR="00E21602" w:rsidRPr="000139C2" w:rsidRDefault="00D82871" w:rsidP="00161AB9">
      <w:pPr>
        <w:pStyle w:val="Nadpis2"/>
        <w:jc w:val="both"/>
      </w:pPr>
      <w:r w:rsidRPr="000139C2">
        <w:t xml:space="preserve">Následující přílohy tvoří nedílnou </w:t>
      </w:r>
      <w:r w:rsidR="0083194D">
        <w:t xml:space="preserve">a neoddělitelnou </w:t>
      </w:r>
      <w:r w:rsidRPr="000139C2">
        <w:t>součást této Smlouvy:</w:t>
      </w:r>
    </w:p>
    <w:p w:rsidR="00D82871" w:rsidRPr="000139C2" w:rsidRDefault="00D82871" w:rsidP="00161AB9">
      <w:pPr>
        <w:jc w:val="both"/>
      </w:pPr>
    </w:p>
    <w:p w:rsidR="00D82871" w:rsidRPr="000139C2" w:rsidRDefault="00D82871" w:rsidP="00054B92">
      <w:pPr>
        <w:tabs>
          <w:tab w:val="left" w:leader="dot" w:pos="2835"/>
        </w:tabs>
        <w:ind w:left="2835" w:hanging="1701"/>
        <w:jc w:val="both"/>
      </w:pPr>
      <w:r w:rsidRPr="000139C2">
        <w:t>Příloha č. 1</w:t>
      </w:r>
      <w:r w:rsidRPr="000139C2">
        <w:tab/>
        <w:t>Odběrná místa</w:t>
      </w:r>
      <w:r w:rsidR="000139C2" w:rsidRPr="000139C2">
        <w:t xml:space="preserve"> a místa měření</w:t>
      </w:r>
    </w:p>
    <w:p w:rsidR="00D82871" w:rsidRPr="000139C2" w:rsidRDefault="00D82871" w:rsidP="00054B92">
      <w:pPr>
        <w:tabs>
          <w:tab w:val="left" w:leader="dot" w:pos="2835"/>
        </w:tabs>
        <w:ind w:left="2835" w:hanging="1701"/>
        <w:jc w:val="both"/>
      </w:pPr>
      <w:r w:rsidRPr="000139C2">
        <w:t>Příloha č. 2</w:t>
      </w:r>
      <w:r w:rsidRPr="000139C2">
        <w:tab/>
      </w:r>
      <w:r w:rsidR="008519F5" w:rsidRPr="000139C2">
        <w:t>Vzor o</w:t>
      </w:r>
      <w:r w:rsidRPr="000139C2">
        <w:t>bjednávky</w:t>
      </w:r>
    </w:p>
    <w:p w:rsidR="00D82871" w:rsidRPr="000139C2" w:rsidRDefault="00D82871" w:rsidP="00054B92">
      <w:pPr>
        <w:tabs>
          <w:tab w:val="left" w:leader="dot" w:pos="2835"/>
        </w:tabs>
        <w:ind w:left="2835" w:hanging="1701"/>
        <w:jc w:val="both"/>
      </w:pPr>
      <w:r w:rsidRPr="000139C2">
        <w:t>Příloha č. 3</w:t>
      </w:r>
      <w:r w:rsidR="00AA01F1" w:rsidRPr="000139C2">
        <w:tab/>
      </w:r>
      <w:r w:rsidRPr="000139C2">
        <w:t>Přihláška k</w:t>
      </w:r>
      <w:r w:rsidR="00DE3974" w:rsidRPr="000139C2">
        <w:t> </w:t>
      </w:r>
      <w:r w:rsidRPr="000139C2">
        <w:t>odběru</w:t>
      </w:r>
    </w:p>
    <w:p w:rsidR="00DE3974" w:rsidRPr="000139C2" w:rsidRDefault="00DE3974" w:rsidP="00054B92">
      <w:pPr>
        <w:tabs>
          <w:tab w:val="left" w:leader="dot" w:pos="2835"/>
        </w:tabs>
        <w:ind w:left="2835" w:hanging="1701"/>
        <w:jc w:val="both"/>
      </w:pPr>
      <w:r w:rsidRPr="000139C2">
        <w:t>Příloha č. 4</w:t>
      </w:r>
      <w:r w:rsidRPr="000139C2">
        <w:tab/>
        <w:t>Ceník</w:t>
      </w:r>
    </w:p>
    <w:p w:rsidR="009E626B" w:rsidRPr="000139C2" w:rsidRDefault="009E626B" w:rsidP="00054B92">
      <w:pPr>
        <w:tabs>
          <w:tab w:val="left" w:leader="dot" w:pos="2835"/>
        </w:tabs>
        <w:ind w:left="2835" w:hanging="1701"/>
        <w:jc w:val="both"/>
      </w:pPr>
      <w:r w:rsidRPr="000139C2">
        <w:t>Příloha č. 5</w:t>
      </w:r>
      <w:r w:rsidRPr="000139C2">
        <w:tab/>
        <w:t xml:space="preserve">Pravidla pro připojení a provoz zařízení připojených </w:t>
      </w:r>
      <w:r w:rsidR="0084752C" w:rsidRPr="000139C2">
        <w:t>k</w:t>
      </w:r>
      <w:r w:rsidR="0084752C">
        <w:t> soustavám centrálního zásobování teplem</w:t>
      </w:r>
      <w:r w:rsidR="005E03EC" w:rsidRPr="005E03EC">
        <w:t xml:space="preserve"> </w:t>
      </w:r>
      <w:proofErr w:type="spellStart"/>
      <w:r w:rsidR="005E03EC" w:rsidRPr="002E2BBB">
        <w:t>Alpiq</w:t>
      </w:r>
      <w:proofErr w:type="spellEnd"/>
      <w:r w:rsidR="005E03EC" w:rsidRPr="002E2BBB">
        <w:t xml:space="preserve"> </w:t>
      </w:r>
      <w:proofErr w:type="spellStart"/>
      <w:r w:rsidR="005E03EC" w:rsidRPr="002E2BBB">
        <w:t>Generation</w:t>
      </w:r>
      <w:proofErr w:type="spellEnd"/>
      <w:r w:rsidR="005E03EC" w:rsidRPr="002E2BBB">
        <w:t xml:space="preserve"> (CZ) s.r.o.</w:t>
      </w:r>
    </w:p>
    <w:p w:rsidR="009E626B" w:rsidRPr="000139C2" w:rsidRDefault="009E626B" w:rsidP="00161AB9">
      <w:pPr>
        <w:ind w:left="1112" w:firstLine="11"/>
        <w:jc w:val="both"/>
      </w:pPr>
    </w:p>
    <w:p w:rsidR="00D82871" w:rsidRDefault="00D82871" w:rsidP="00161AB9">
      <w:pPr>
        <w:ind w:left="1123"/>
        <w:jc w:val="both"/>
      </w:pPr>
      <w:r w:rsidRPr="000139C2">
        <w:t>V případě nesrovnalostí nebo rozporu mezi textem této Smlouvy a textem jejích příloh je rozhodující text této Smlouvy.</w:t>
      </w:r>
    </w:p>
    <w:p w:rsidR="00E012FD" w:rsidRDefault="00E012FD" w:rsidP="00161AB9">
      <w:pPr>
        <w:ind w:left="1123"/>
        <w:jc w:val="both"/>
      </w:pPr>
    </w:p>
    <w:p w:rsidR="00E012FD" w:rsidRDefault="00E012FD" w:rsidP="00161AB9">
      <w:pPr>
        <w:ind w:left="1123"/>
        <w:jc w:val="both"/>
      </w:pPr>
    </w:p>
    <w:p w:rsidR="00E012FD" w:rsidRPr="00A23756" w:rsidRDefault="00E012FD" w:rsidP="00E012FD">
      <w:pPr>
        <w:widowControl w:val="0"/>
        <w:pBdr>
          <w:top w:val="single" w:sz="6" w:space="1" w:color="auto"/>
          <w:left w:val="single" w:sz="6" w:space="0" w:color="auto"/>
          <w:bottom w:val="single" w:sz="6" w:space="0" w:color="auto"/>
          <w:right w:val="single" w:sz="6" w:space="1" w:color="auto"/>
        </w:pBdr>
        <w:spacing w:after="120"/>
        <w:jc w:val="both"/>
        <w:rPr>
          <w:rFonts w:ascii="Arial" w:hAnsi="Arial" w:cs="Arial"/>
          <w:b/>
          <w:szCs w:val="22"/>
        </w:rPr>
      </w:pPr>
      <w:r w:rsidRPr="00A23756">
        <w:rPr>
          <w:rFonts w:ascii="Arial" w:hAnsi="Arial" w:cs="Arial"/>
          <w:b/>
          <w:szCs w:val="22"/>
        </w:rPr>
        <w:t>Doložka dle § 23 zákona č. 129/2000 Sb., o krajích, ve znění pozdějších předpisů</w:t>
      </w:r>
    </w:p>
    <w:p w:rsidR="00E012FD" w:rsidRPr="00A23756" w:rsidRDefault="00E012FD" w:rsidP="00E012FD">
      <w:pPr>
        <w:widowControl w:val="0"/>
        <w:pBdr>
          <w:top w:val="single" w:sz="6" w:space="1" w:color="auto"/>
          <w:left w:val="single" w:sz="6" w:space="0" w:color="auto"/>
          <w:bottom w:val="single" w:sz="6" w:space="0" w:color="auto"/>
          <w:right w:val="single" w:sz="6" w:space="1" w:color="auto"/>
        </w:pBdr>
        <w:spacing w:after="120"/>
        <w:jc w:val="both"/>
        <w:rPr>
          <w:rFonts w:ascii="Arial" w:hAnsi="Arial" w:cs="Arial"/>
          <w:szCs w:val="22"/>
        </w:rPr>
      </w:pPr>
      <w:r w:rsidRPr="00A23756">
        <w:rPr>
          <w:rFonts w:ascii="Arial" w:hAnsi="Arial" w:cs="Arial"/>
          <w:szCs w:val="22"/>
        </w:rPr>
        <w:t>Rozhodnuto orgánem kraje: Rada Zlínského kraje</w:t>
      </w:r>
    </w:p>
    <w:p w:rsidR="00E012FD" w:rsidRPr="00A23756" w:rsidRDefault="00E012FD" w:rsidP="00E012FD">
      <w:pPr>
        <w:widowControl w:val="0"/>
        <w:pBdr>
          <w:top w:val="single" w:sz="6" w:space="1" w:color="auto"/>
          <w:left w:val="single" w:sz="6" w:space="0" w:color="auto"/>
          <w:bottom w:val="single" w:sz="6" w:space="0" w:color="auto"/>
          <w:right w:val="single" w:sz="6" w:space="1" w:color="auto"/>
        </w:pBdr>
        <w:spacing w:after="120"/>
        <w:jc w:val="both"/>
        <w:rPr>
          <w:rFonts w:ascii="Arial" w:hAnsi="Arial" w:cs="Arial"/>
          <w:szCs w:val="22"/>
        </w:rPr>
      </w:pPr>
      <w:r w:rsidRPr="00A23756">
        <w:rPr>
          <w:rFonts w:ascii="Arial" w:hAnsi="Arial" w:cs="Arial"/>
          <w:szCs w:val="22"/>
        </w:rPr>
        <w:t>Datum jednání</w:t>
      </w:r>
      <w:r>
        <w:rPr>
          <w:rFonts w:ascii="Arial" w:hAnsi="Arial" w:cs="Arial"/>
          <w:szCs w:val="22"/>
        </w:rPr>
        <w:t xml:space="preserve">:     </w:t>
      </w:r>
      <w:proofErr w:type="gramStart"/>
      <w:r>
        <w:rPr>
          <w:rFonts w:ascii="Arial" w:hAnsi="Arial" w:cs="Arial"/>
          <w:szCs w:val="22"/>
        </w:rPr>
        <w:t>26.9</w:t>
      </w:r>
      <w:r>
        <w:rPr>
          <w:rFonts w:ascii="Arial" w:hAnsi="Arial" w:cs="Arial"/>
          <w:szCs w:val="22"/>
        </w:rPr>
        <w:t>.2016</w:t>
      </w:r>
      <w:proofErr w:type="gramEnd"/>
      <w:r>
        <w:rPr>
          <w:rFonts w:ascii="Arial" w:hAnsi="Arial" w:cs="Arial"/>
          <w:szCs w:val="22"/>
        </w:rPr>
        <w:t xml:space="preserve">               </w:t>
      </w:r>
      <w:r w:rsidRPr="00A23756">
        <w:rPr>
          <w:rFonts w:ascii="Arial" w:hAnsi="Arial" w:cs="Arial"/>
          <w:szCs w:val="22"/>
        </w:rPr>
        <w:t xml:space="preserve"> číslo usnesení:</w:t>
      </w:r>
      <w:r>
        <w:rPr>
          <w:rFonts w:ascii="Arial" w:hAnsi="Arial" w:cs="Arial"/>
          <w:szCs w:val="22"/>
        </w:rPr>
        <w:t xml:space="preserve"> </w:t>
      </w:r>
      <w:r>
        <w:rPr>
          <w:rFonts w:ascii="Arial" w:hAnsi="Arial" w:cs="Arial"/>
          <w:szCs w:val="22"/>
        </w:rPr>
        <w:t>0811/R19</w:t>
      </w:r>
      <w:r>
        <w:rPr>
          <w:rFonts w:ascii="Arial" w:hAnsi="Arial" w:cs="Arial"/>
          <w:szCs w:val="22"/>
        </w:rPr>
        <w:t>/16</w:t>
      </w:r>
      <w:r w:rsidRPr="00A23756">
        <w:rPr>
          <w:rFonts w:ascii="Arial" w:hAnsi="Arial" w:cs="Arial"/>
          <w:szCs w:val="22"/>
        </w:rPr>
        <w:tab/>
      </w:r>
      <w:r w:rsidRPr="00A23756">
        <w:rPr>
          <w:rFonts w:ascii="Arial" w:hAnsi="Arial" w:cs="Arial"/>
          <w:szCs w:val="22"/>
        </w:rPr>
        <w:tab/>
        <w:t xml:space="preserve">   </w:t>
      </w:r>
    </w:p>
    <w:p w:rsidR="00E012FD" w:rsidRDefault="00E012FD" w:rsidP="00161AB9">
      <w:pPr>
        <w:ind w:left="1123"/>
        <w:jc w:val="both"/>
      </w:pPr>
    </w:p>
    <w:p w:rsidR="00E012FD" w:rsidRDefault="00E012FD" w:rsidP="00161AB9">
      <w:pPr>
        <w:ind w:left="1123"/>
        <w:jc w:val="both"/>
      </w:pPr>
    </w:p>
    <w:p w:rsidR="00E012FD" w:rsidRDefault="00E012FD" w:rsidP="00161AB9">
      <w:pPr>
        <w:ind w:left="1123"/>
        <w:jc w:val="both"/>
      </w:pPr>
    </w:p>
    <w:p w:rsidR="00E012FD" w:rsidRPr="000139C2" w:rsidRDefault="00E012FD" w:rsidP="00161AB9">
      <w:pPr>
        <w:ind w:left="1123"/>
        <w:jc w:val="both"/>
      </w:pPr>
    </w:p>
    <w:p w:rsidR="00D82871" w:rsidRDefault="00D82871" w:rsidP="00054B92">
      <w:pPr>
        <w:tabs>
          <w:tab w:val="left" w:pos="5387"/>
        </w:tabs>
        <w:spacing w:beforeLines="200" w:before="480" w:afterLines="100" w:after="240"/>
        <w:jc w:val="both"/>
      </w:pPr>
      <w:r w:rsidRPr="000139C2">
        <w:t xml:space="preserve">V Kladně dne </w:t>
      </w:r>
      <w:r w:rsidR="00875E02">
        <w:tab/>
        <w:t>V</w:t>
      </w:r>
      <w:r w:rsidR="00665FC0">
        <w:t>e</w:t>
      </w:r>
      <w:r w:rsidR="00702BE1">
        <w:tab/>
      </w:r>
      <w:r w:rsidR="00665FC0">
        <w:t>Zlíně</w:t>
      </w:r>
      <w:r w:rsidR="00875E02">
        <w:rPr>
          <w:rStyle w:val="Siln"/>
          <w:b w:val="0"/>
        </w:rPr>
        <w:t xml:space="preserve"> </w:t>
      </w:r>
      <w:r w:rsidR="00054B92">
        <w:t>dne</w:t>
      </w:r>
    </w:p>
    <w:p w:rsidR="005151D7" w:rsidRPr="000139C2" w:rsidRDefault="005151D7" w:rsidP="00054B92">
      <w:pPr>
        <w:tabs>
          <w:tab w:val="left" w:pos="5387"/>
        </w:tabs>
        <w:spacing w:beforeLines="200" w:before="480" w:afterLines="100" w:after="240"/>
        <w:jc w:val="both"/>
      </w:pPr>
    </w:p>
    <w:tbl>
      <w:tblPr>
        <w:tblW w:w="0" w:type="auto"/>
        <w:tblLayout w:type="fixed"/>
        <w:tblLook w:val="0000" w:firstRow="0" w:lastRow="0" w:firstColumn="0" w:lastColumn="0" w:noHBand="0" w:noVBand="0"/>
      </w:tblPr>
      <w:tblGrid>
        <w:gridCol w:w="2943"/>
        <w:gridCol w:w="2410"/>
        <w:gridCol w:w="3167"/>
      </w:tblGrid>
      <w:tr w:rsidR="00D82871" w:rsidRPr="000139C2">
        <w:tc>
          <w:tcPr>
            <w:tcW w:w="2943" w:type="dxa"/>
            <w:tcBorders>
              <w:top w:val="nil"/>
              <w:left w:val="nil"/>
              <w:bottom w:val="nil"/>
              <w:right w:val="nil"/>
            </w:tcBorders>
          </w:tcPr>
          <w:p w:rsidR="00D82871" w:rsidRPr="000139C2" w:rsidRDefault="00C17813" w:rsidP="00161AB9">
            <w:pPr>
              <w:jc w:val="both"/>
              <w:rPr>
                <w:b/>
              </w:rPr>
            </w:pPr>
            <w:proofErr w:type="spellStart"/>
            <w:r w:rsidRPr="000139C2">
              <w:rPr>
                <w:b/>
              </w:rPr>
              <w:t>Alpiq</w:t>
            </w:r>
            <w:proofErr w:type="spellEnd"/>
            <w:r w:rsidRPr="000139C2">
              <w:rPr>
                <w:b/>
              </w:rPr>
              <w:t xml:space="preserve"> </w:t>
            </w:r>
            <w:proofErr w:type="spellStart"/>
            <w:r w:rsidRPr="000139C2">
              <w:rPr>
                <w:b/>
              </w:rPr>
              <w:t>Generation</w:t>
            </w:r>
            <w:proofErr w:type="spellEnd"/>
            <w:r w:rsidRPr="000139C2">
              <w:rPr>
                <w:b/>
              </w:rPr>
              <w:t xml:space="preserve"> (CZ) </w:t>
            </w:r>
            <w:r w:rsidR="00D82871" w:rsidRPr="000139C2">
              <w:rPr>
                <w:b/>
              </w:rPr>
              <w:t>s.r.o</w:t>
            </w:r>
            <w:r w:rsidR="004C19D8">
              <w:rPr>
                <w:b/>
              </w:rPr>
              <w:t>.</w:t>
            </w:r>
            <w:r w:rsidR="00D82871" w:rsidRPr="000139C2">
              <w:rPr>
                <w:b/>
              </w:rPr>
              <w:t xml:space="preserve"> </w:t>
            </w:r>
          </w:p>
        </w:tc>
        <w:tc>
          <w:tcPr>
            <w:tcW w:w="2410" w:type="dxa"/>
            <w:tcBorders>
              <w:top w:val="nil"/>
              <w:left w:val="nil"/>
              <w:bottom w:val="nil"/>
              <w:right w:val="nil"/>
            </w:tcBorders>
          </w:tcPr>
          <w:p w:rsidR="00D82871" w:rsidRPr="000139C2" w:rsidRDefault="00D82871" w:rsidP="00161AB9">
            <w:pPr>
              <w:jc w:val="both"/>
            </w:pPr>
          </w:p>
        </w:tc>
        <w:tc>
          <w:tcPr>
            <w:tcW w:w="3167" w:type="dxa"/>
            <w:tcBorders>
              <w:top w:val="nil"/>
              <w:left w:val="nil"/>
              <w:bottom w:val="nil"/>
              <w:right w:val="nil"/>
            </w:tcBorders>
          </w:tcPr>
          <w:p w:rsidR="00D82871" w:rsidRPr="00702BE1" w:rsidRDefault="00702BE1" w:rsidP="00BB2DFA">
            <w:pPr>
              <w:jc w:val="both"/>
              <w:rPr>
                <w:b/>
              </w:rPr>
            </w:pPr>
            <w:r w:rsidRPr="00702BE1">
              <w:rPr>
                <w:b/>
              </w:rPr>
              <w:t>Zlínský kraj</w:t>
            </w:r>
          </w:p>
        </w:tc>
      </w:tr>
      <w:tr w:rsidR="00D82871" w:rsidRPr="000139C2" w:rsidTr="00A3584C">
        <w:trPr>
          <w:trHeight w:val="1111"/>
        </w:trPr>
        <w:tc>
          <w:tcPr>
            <w:tcW w:w="2943" w:type="dxa"/>
            <w:tcBorders>
              <w:top w:val="nil"/>
              <w:left w:val="nil"/>
              <w:bottom w:val="single" w:sz="6" w:space="0" w:color="auto"/>
              <w:right w:val="nil"/>
            </w:tcBorders>
          </w:tcPr>
          <w:p w:rsidR="00D82871" w:rsidRPr="000139C2" w:rsidRDefault="00D82871" w:rsidP="00161AB9">
            <w:pPr>
              <w:jc w:val="both"/>
            </w:pPr>
          </w:p>
        </w:tc>
        <w:tc>
          <w:tcPr>
            <w:tcW w:w="2410" w:type="dxa"/>
            <w:tcBorders>
              <w:top w:val="nil"/>
              <w:left w:val="nil"/>
              <w:bottom w:val="nil"/>
              <w:right w:val="nil"/>
            </w:tcBorders>
          </w:tcPr>
          <w:p w:rsidR="00D82871" w:rsidRPr="000139C2" w:rsidRDefault="00D82871" w:rsidP="00161AB9">
            <w:pPr>
              <w:jc w:val="both"/>
            </w:pPr>
          </w:p>
        </w:tc>
        <w:tc>
          <w:tcPr>
            <w:tcW w:w="3167" w:type="dxa"/>
            <w:tcBorders>
              <w:top w:val="nil"/>
              <w:left w:val="nil"/>
              <w:bottom w:val="single" w:sz="6" w:space="0" w:color="auto"/>
              <w:right w:val="nil"/>
            </w:tcBorders>
          </w:tcPr>
          <w:p w:rsidR="00D82871" w:rsidRPr="000139C2" w:rsidRDefault="00D82871" w:rsidP="00161AB9">
            <w:pPr>
              <w:jc w:val="both"/>
            </w:pPr>
          </w:p>
        </w:tc>
      </w:tr>
      <w:tr w:rsidR="00C629E8" w:rsidRPr="000139C2" w:rsidTr="00860053">
        <w:tc>
          <w:tcPr>
            <w:tcW w:w="2943" w:type="dxa"/>
            <w:tcBorders>
              <w:top w:val="single" w:sz="6" w:space="0" w:color="auto"/>
              <w:left w:val="nil"/>
              <w:bottom w:val="nil"/>
              <w:right w:val="nil"/>
            </w:tcBorders>
            <w:vAlign w:val="center"/>
          </w:tcPr>
          <w:p w:rsidR="00C629E8" w:rsidRPr="000139C2" w:rsidRDefault="00C629E8" w:rsidP="00A91132">
            <w:r w:rsidRPr="000139C2">
              <w:t xml:space="preserve">Ing. Milan </w:t>
            </w:r>
            <w:proofErr w:type="spellStart"/>
            <w:r w:rsidRPr="000139C2">
              <w:t>Prajzler</w:t>
            </w:r>
            <w:proofErr w:type="spellEnd"/>
          </w:p>
          <w:p w:rsidR="00C629E8" w:rsidRPr="000139C2" w:rsidRDefault="00C629E8" w:rsidP="00A91132">
            <w:r w:rsidRPr="000139C2">
              <w:t>jednatel</w:t>
            </w:r>
          </w:p>
        </w:tc>
        <w:tc>
          <w:tcPr>
            <w:tcW w:w="2410" w:type="dxa"/>
            <w:tcBorders>
              <w:top w:val="nil"/>
              <w:left w:val="nil"/>
              <w:bottom w:val="nil"/>
              <w:right w:val="nil"/>
            </w:tcBorders>
          </w:tcPr>
          <w:p w:rsidR="00C629E8" w:rsidRPr="000139C2" w:rsidRDefault="00C629E8" w:rsidP="00161AB9">
            <w:pPr>
              <w:jc w:val="both"/>
            </w:pPr>
          </w:p>
        </w:tc>
        <w:tc>
          <w:tcPr>
            <w:tcW w:w="3167" w:type="dxa"/>
            <w:tcBorders>
              <w:top w:val="single" w:sz="6" w:space="0" w:color="auto"/>
              <w:left w:val="nil"/>
              <w:bottom w:val="nil"/>
              <w:right w:val="nil"/>
            </w:tcBorders>
            <w:vAlign w:val="center"/>
          </w:tcPr>
          <w:p w:rsidR="00C629E8" w:rsidRDefault="00702BE1" w:rsidP="00A91132">
            <w:pPr>
              <w:rPr>
                <w:snapToGrid w:val="0"/>
                <w:lang w:val="en-US"/>
              </w:rPr>
            </w:pPr>
            <w:r>
              <w:rPr>
                <w:rStyle w:val="Siln"/>
                <w:b w:val="0"/>
              </w:rPr>
              <w:t>MVDr. Stanislav Mišák</w:t>
            </w:r>
          </w:p>
          <w:p w:rsidR="00FE076D" w:rsidRPr="000139C2" w:rsidRDefault="00702BE1" w:rsidP="00A91132">
            <w:r>
              <w:t>hejtman</w:t>
            </w:r>
          </w:p>
        </w:tc>
      </w:tr>
      <w:tr w:rsidR="00D82871" w:rsidRPr="000139C2" w:rsidTr="00A3584C">
        <w:trPr>
          <w:trHeight w:val="1177"/>
        </w:trPr>
        <w:tc>
          <w:tcPr>
            <w:tcW w:w="2943" w:type="dxa"/>
            <w:tcBorders>
              <w:top w:val="nil"/>
              <w:left w:val="nil"/>
              <w:bottom w:val="single" w:sz="6" w:space="0" w:color="auto"/>
              <w:right w:val="nil"/>
            </w:tcBorders>
          </w:tcPr>
          <w:p w:rsidR="00D82871" w:rsidRPr="000139C2" w:rsidRDefault="00D82871" w:rsidP="00161AB9">
            <w:pPr>
              <w:jc w:val="both"/>
            </w:pPr>
          </w:p>
        </w:tc>
        <w:tc>
          <w:tcPr>
            <w:tcW w:w="2410" w:type="dxa"/>
            <w:tcBorders>
              <w:top w:val="nil"/>
              <w:left w:val="nil"/>
              <w:bottom w:val="nil"/>
              <w:right w:val="nil"/>
            </w:tcBorders>
          </w:tcPr>
          <w:p w:rsidR="00D82871" w:rsidRPr="000139C2" w:rsidRDefault="00D82871" w:rsidP="00161AB9">
            <w:pPr>
              <w:jc w:val="both"/>
            </w:pPr>
          </w:p>
        </w:tc>
        <w:tc>
          <w:tcPr>
            <w:tcW w:w="3167" w:type="dxa"/>
            <w:tcBorders>
              <w:top w:val="nil"/>
              <w:left w:val="nil"/>
              <w:bottom w:val="nil"/>
              <w:right w:val="nil"/>
            </w:tcBorders>
          </w:tcPr>
          <w:p w:rsidR="00D82871" w:rsidRPr="000139C2" w:rsidRDefault="00D82871" w:rsidP="00161AB9">
            <w:pPr>
              <w:jc w:val="both"/>
            </w:pPr>
          </w:p>
        </w:tc>
      </w:tr>
      <w:tr w:rsidR="00D82871" w:rsidRPr="000139C2" w:rsidTr="00860053">
        <w:tc>
          <w:tcPr>
            <w:tcW w:w="2943" w:type="dxa"/>
            <w:tcBorders>
              <w:top w:val="single" w:sz="6" w:space="0" w:color="auto"/>
              <w:left w:val="nil"/>
              <w:bottom w:val="nil"/>
              <w:right w:val="nil"/>
            </w:tcBorders>
            <w:vAlign w:val="center"/>
          </w:tcPr>
          <w:p w:rsidR="00C629E8" w:rsidRDefault="00014F0E" w:rsidP="00A91132">
            <w:r w:rsidRPr="000139C2">
              <w:t xml:space="preserve">Ing. </w:t>
            </w:r>
            <w:r w:rsidR="00A7190F">
              <w:t>Viktor Kalina</w:t>
            </w:r>
          </w:p>
          <w:p w:rsidR="00D82871" w:rsidRPr="000139C2" w:rsidRDefault="00D82871" w:rsidP="00A91132">
            <w:r w:rsidRPr="000139C2">
              <w:t>jednatel</w:t>
            </w:r>
          </w:p>
        </w:tc>
        <w:tc>
          <w:tcPr>
            <w:tcW w:w="2410" w:type="dxa"/>
            <w:tcBorders>
              <w:top w:val="nil"/>
              <w:left w:val="nil"/>
              <w:bottom w:val="nil"/>
              <w:right w:val="nil"/>
            </w:tcBorders>
          </w:tcPr>
          <w:p w:rsidR="00D82871" w:rsidRPr="000139C2" w:rsidRDefault="00D82871" w:rsidP="00161AB9">
            <w:pPr>
              <w:jc w:val="both"/>
            </w:pPr>
          </w:p>
        </w:tc>
        <w:tc>
          <w:tcPr>
            <w:tcW w:w="3167" w:type="dxa"/>
            <w:tcBorders>
              <w:top w:val="nil"/>
              <w:left w:val="nil"/>
              <w:bottom w:val="nil"/>
              <w:right w:val="nil"/>
            </w:tcBorders>
            <w:vAlign w:val="center"/>
          </w:tcPr>
          <w:p w:rsidR="00D82871" w:rsidRPr="000139C2" w:rsidRDefault="00D82871" w:rsidP="00860053">
            <w:pPr>
              <w:jc w:val="center"/>
            </w:pPr>
          </w:p>
        </w:tc>
      </w:tr>
    </w:tbl>
    <w:p w:rsidR="005E03EC" w:rsidRDefault="005E03EC" w:rsidP="00054B92">
      <w:pPr>
        <w:jc w:val="both"/>
        <w:sectPr w:rsidR="005E03EC" w:rsidSect="00263191">
          <w:headerReference w:type="first" r:id="rId8"/>
          <w:pgSz w:w="11906" w:h="16838"/>
          <w:pgMar w:top="1418" w:right="1418" w:bottom="1134" w:left="1418" w:header="709" w:footer="709" w:gutter="0"/>
          <w:cols w:space="708"/>
          <w:titlePg/>
          <w:docGrid w:linePitch="299"/>
        </w:sectPr>
      </w:pPr>
    </w:p>
    <w:p w:rsidR="005E03EC" w:rsidRPr="000139C2" w:rsidRDefault="005E03EC" w:rsidP="005E03EC">
      <w:pPr>
        <w:jc w:val="center"/>
        <w:rPr>
          <w:b/>
          <w:snapToGrid w:val="0"/>
        </w:rPr>
      </w:pPr>
      <w:r w:rsidRPr="000139C2">
        <w:rPr>
          <w:b/>
          <w:snapToGrid w:val="0"/>
        </w:rPr>
        <w:lastRenderedPageBreak/>
        <w:t>Příloha č. 1</w:t>
      </w:r>
    </w:p>
    <w:p w:rsidR="005E03EC" w:rsidRPr="000139C2" w:rsidRDefault="005E03EC" w:rsidP="005E03EC">
      <w:pPr>
        <w:spacing w:afterLines="100" w:after="240"/>
        <w:jc w:val="center"/>
        <w:rPr>
          <w:b/>
          <w:snapToGrid w:val="0"/>
        </w:rPr>
      </w:pPr>
      <w:r w:rsidRPr="000139C2">
        <w:rPr>
          <w:b/>
          <w:snapToGrid w:val="0"/>
        </w:rPr>
        <w:t>Odběrná místa</w:t>
      </w:r>
    </w:p>
    <w:tbl>
      <w:tblPr>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2"/>
        <w:gridCol w:w="705"/>
        <w:gridCol w:w="2126"/>
        <w:gridCol w:w="1418"/>
        <w:gridCol w:w="3259"/>
        <w:gridCol w:w="2694"/>
        <w:gridCol w:w="1251"/>
        <w:gridCol w:w="652"/>
        <w:gridCol w:w="650"/>
      </w:tblGrid>
      <w:tr w:rsidR="00A91132" w:rsidRPr="00B16272" w:rsidTr="00A91132">
        <w:trPr>
          <w:trHeight w:val="433"/>
          <w:tblHeader/>
        </w:trPr>
        <w:tc>
          <w:tcPr>
            <w:tcW w:w="642" w:type="dxa"/>
            <w:vMerge w:val="restart"/>
            <w:shd w:val="clear" w:color="auto" w:fill="BFBFBF"/>
            <w:noWrap/>
            <w:vAlign w:val="center"/>
            <w:hideMark/>
          </w:tcPr>
          <w:p w:rsidR="00A91132" w:rsidRPr="001F6DF9" w:rsidRDefault="00A91132" w:rsidP="00C61D6E">
            <w:pPr>
              <w:jc w:val="center"/>
              <w:rPr>
                <w:rFonts w:ascii="Arial" w:hAnsi="Arial" w:cs="Arial"/>
                <w:b/>
                <w:bCs/>
                <w:color w:val="000000"/>
                <w:sz w:val="18"/>
                <w:szCs w:val="18"/>
              </w:rPr>
            </w:pPr>
            <w:proofErr w:type="spellStart"/>
            <w:proofErr w:type="gramStart"/>
            <w:r w:rsidRPr="001F6DF9">
              <w:rPr>
                <w:rFonts w:ascii="Arial" w:hAnsi="Arial" w:cs="Arial"/>
                <w:b/>
                <w:bCs/>
                <w:color w:val="000000"/>
                <w:sz w:val="18"/>
                <w:szCs w:val="18"/>
              </w:rPr>
              <w:t>Poř.č</w:t>
            </w:r>
            <w:proofErr w:type="spellEnd"/>
            <w:r w:rsidRPr="001F6DF9">
              <w:rPr>
                <w:rFonts w:ascii="Arial" w:hAnsi="Arial" w:cs="Arial"/>
                <w:b/>
                <w:bCs/>
                <w:color w:val="000000"/>
                <w:sz w:val="18"/>
                <w:szCs w:val="18"/>
              </w:rPr>
              <w:t>.</w:t>
            </w:r>
            <w:proofErr w:type="gramEnd"/>
          </w:p>
        </w:tc>
        <w:tc>
          <w:tcPr>
            <w:tcW w:w="705" w:type="dxa"/>
            <w:vMerge w:val="restart"/>
            <w:shd w:val="clear" w:color="auto" w:fill="BFBFBF"/>
            <w:noWrap/>
            <w:vAlign w:val="center"/>
            <w:hideMark/>
          </w:tcPr>
          <w:p w:rsidR="00A91132" w:rsidRPr="001F6DF9" w:rsidRDefault="00A91132" w:rsidP="00C61D6E">
            <w:pPr>
              <w:jc w:val="center"/>
              <w:rPr>
                <w:rFonts w:ascii="Arial" w:hAnsi="Arial" w:cs="Arial"/>
                <w:b/>
                <w:bCs/>
                <w:color w:val="000000"/>
                <w:sz w:val="18"/>
                <w:szCs w:val="18"/>
              </w:rPr>
            </w:pPr>
            <w:r w:rsidRPr="001F6DF9">
              <w:rPr>
                <w:rFonts w:ascii="Arial" w:hAnsi="Arial" w:cs="Arial"/>
                <w:b/>
                <w:bCs/>
                <w:color w:val="000000"/>
                <w:sz w:val="18"/>
                <w:szCs w:val="18"/>
              </w:rPr>
              <w:t>Kód OM</w:t>
            </w:r>
          </w:p>
        </w:tc>
        <w:tc>
          <w:tcPr>
            <w:tcW w:w="2126" w:type="dxa"/>
            <w:vMerge w:val="restart"/>
            <w:shd w:val="clear" w:color="auto" w:fill="BFBFBF"/>
            <w:noWrap/>
            <w:vAlign w:val="center"/>
            <w:hideMark/>
          </w:tcPr>
          <w:p w:rsidR="00A91132" w:rsidRPr="001F6DF9" w:rsidRDefault="00A91132" w:rsidP="00C61D6E">
            <w:pPr>
              <w:jc w:val="center"/>
              <w:rPr>
                <w:rFonts w:ascii="Arial" w:hAnsi="Arial" w:cs="Arial"/>
                <w:b/>
                <w:bCs/>
                <w:color w:val="000000"/>
                <w:sz w:val="18"/>
                <w:szCs w:val="18"/>
              </w:rPr>
            </w:pPr>
            <w:r w:rsidRPr="001F6DF9">
              <w:rPr>
                <w:rFonts w:ascii="Arial" w:hAnsi="Arial" w:cs="Arial"/>
                <w:b/>
                <w:bCs/>
                <w:color w:val="000000"/>
                <w:sz w:val="18"/>
                <w:szCs w:val="18"/>
              </w:rPr>
              <w:t>Jméno OM</w:t>
            </w:r>
          </w:p>
        </w:tc>
        <w:tc>
          <w:tcPr>
            <w:tcW w:w="1418" w:type="dxa"/>
            <w:vMerge w:val="restart"/>
            <w:shd w:val="clear" w:color="auto" w:fill="BFBFBF"/>
            <w:noWrap/>
            <w:vAlign w:val="center"/>
            <w:hideMark/>
          </w:tcPr>
          <w:p w:rsidR="00A91132" w:rsidRPr="001F6DF9" w:rsidRDefault="00A91132" w:rsidP="00C61D6E">
            <w:pPr>
              <w:jc w:val="center"/>
              <w:rPr>
                <w:rFonts w:ascii="Arial" w:hAnsi="Arial" w:cs="Arial"/>
                <w:b/>
                <w:bCs/>
                <w:color w:val="000000"/>
                <w:sz w:val="18"/>
                <w:szCs w:val="18"/>
              </w:rPr>
            </w:pPr>
            <w:r w:rsidRPr="001F6DF9">
              <w:rPr>
                <w:rFonts w:ascii="Arial" w:hAnsi="Arial" w:cs="Arial"/>
                <w:b/>
                <w:bCs/>
                <w:color w:val="000000"/>
                <w:sz w:val="18"/>
                <w:szCs w:val="18"/>
              </w:rPr>
              <w:t>Teplonosné médium</w:t>
            </w:r>
          </w:p>
        </w:tc>
        <w:tc>
          <w:tcPr>
            <w:tcW w:w="3259" w:type="dxa"/>
            <w:vMerge w:val="restart"/>
            <w:shd w:val="clear" w:color="auto" w:fill="BFBFBF"/>
            <w:noWrap/>
            <w:vAlign w:val="center"/>
            <w:hideMark/>
          </w:tcPr>
          <w:p w:rsidR="00A91132" w:rsidRPr="001F6DF9" w:rsidRDefault="00A91132" w:rsidP="00C61D6E">
            <w:pPr>
              <w:jc w:val="center"/>
              <w:rPr>
                <w:rFonts w:ascii="Arial" w:hAnsi="Arial" w:cs="Arial"/>
                <w:b/>
                <w:bCs/>
                <w:color w:val="000000"/>
                <w:sz w:val="18"/>
                <w:szCs w:val="18"/>
              </w:rPr>
            </w:pPr>
            <w:r w:rsidRPr="001F6DF9">
              <w:rPr>
                <w:rFonts w:ascii="Arial" w:hAnsi="Arial" w:cs="Arial"/>
                <w:b/>
                <w:bCs/>
                <w:color w:val="000000"/>
                <w:sz w:val="18"/>
                <w:szCs w:val="18"/>
              </w:rPr>
              <w:t>Místo předání</w:t>
            </w:r>
          </w:p>
        </w:tc>
        <w:tc>
          <w:tcPr>
            <w:tcW w:w="2694" w:type="dxa"/>
            <w:vMerge w:val="restart"/>
            <w:shd w:val="clear" w:color="auto" w:fill="BFBFBF"/>
            <w:noWrap/>
            <w:vAlign w:val="center"/>
            <w:hideMark/>
          </w:tcPr>
          <w:p w:rsidR="00A91132" w:rsidRPr="001F6DF9" w:rsidRDefault="00A91132" w:rsidP="00C61D6E">
            <w:pPr>
              <w:jc w:val="center"/>
              <w:rPr>
                <w:rFonts w:ascii="Arial" w:hAnsi="Arial" w:cs="Arial"/>
                <w:b/>
                <w:bCs/>
                <w:color w:val="000000"/>
                <w:sz w:val="18"/>
                <w:szCs w:val="18"/>
              </w:rPr>
            </w:pPr>
            <w:r w:rsidRPr="001F6DF9">
              <w:rPr>
                <w:rFonts w:ascii="Arial" w:hAnsi="Arial" w:cs="Arial"/>
                <w:b/>
                <w:bCs/>
                <w:color w:val="000000"/>
                <w:sz w:val="18"/>
                <w:szCs w:val="18"/>
              </w:rPr>
              <w:t>Místo měření</w:t>
            </w:r>
          </w:p>
        </w:tc>
        <w:tc>
          <w:tcPr>
            <w:tcW w:w="1251" w:type="dxa"/>
            <w:vMerge w:val="restart"/>
            <w:shd w:val="clear" w:color="auto" w:fill="BFBFBF"/>
            <w:noWrap/>
            <w:vAlign w:val="center"/>
            <w:hideMark/>
          </w:tcPr>
          <w:p w:rsidR="00A91132" w:rsidRPr="001F6DF9" w:rsidRDefault="00A91132" w:rsidP="00C61D6E">
            <w:pPr>
              <w:jc w:val="center"/>
              <w:rPr>
                <w:rFonts w:ascii="Arial" w:hAnsi="Arial" w:cs="Arial"/>
                <w:b/>
                <w:bCs/>
                <w:color w:val="000000"/>
                <w:sz w:val="18"/>
                <w:szCs w:val="18"/>
              </w:rPr>
            </w:pPr>
            <w:r w:rsidRPr="001F6DF9">
              <w:rPr>
                <w:rFonts w:ascii="Arial" w:hAnsi="Arial" w:cs="Arial"/>
                <w:b/>
                <w:bCs/>
                <w:color w:val="000000"/>
                <w:sz w:val="18"/>
                <w:szCs w:val="18"/>
              </w:rPr>
              <w:t>% nevrácené</w:t>
            </w:r>
            <w:r>
              <w:rPr>
                <w:rFonts w:ascii="Arial" w:hAnsi="Arial" w:cs="Arial"/>
                <w:b/>
                <w:bCs/>
                <w:color w:val="000000"/>
                <w:sz w:val="18"/>
                <w:szCs w:val="18"/>
              </w:rPr>
              <w:t>ho</w:t>
            </w:r>
            <w:r w:rsidRPr="001F6DF9">
              <w:rPr>
                <w:rFonts w:ascii="Arial" w:hAnsi="Arial" w:cs="Arial"/>
                <w:b/>
                <w:bCs/>
                <w:color w:val="000000"/>
                <w:sz w:val="18"/>
                <w:szCs w:val="18"/>
              </w:rPr>
              <w:t xml:space="preserve"> </w:t>
            </w:r>
            <w:r>
              <w:rPr>
                <w:rFonts w:ascii="Arial" w:hAnsi="Arial" w:cs="Arial"/>
                <w:b/>
                <w:bCs/>
                <w:color w:val="000000"/>
                <w:sz w:val="18"/>
                <w:szCs w:val="18"/>
              </w:rPr>
              <w:t>kondenzátu</w:t>
            </w:r>
          </w:p>
        </w:tc>
        <w:tc>
          <w:tcPr>
            <w:tcW w:w="1442" w:type="dxa"/>
            <w:gridSpan w:val="2"/>
            <w:shd w:val="clear" w:color="auto" w:fill="BFBFBF"/>
            <w:vAlign w:val="center"/>
          </w:tcPr>
          <w:p w:rsidR="00A91132" w:rsidRPr="001F6DF9" w:rsidRDefault="00A91132" w:rsidP="00C61D6E">
            <w:pPr>
              <w:jc w:val="center"/>
              <w:rPr>
                <w:rFonts w:ascii="Arial" w:hAnsi="Arial" w:cs="Arial"/>
                <w:b/>
                <w:bCs/>
                <w:color w:val="000000"/>
                <w:sz w:val="18"/>
                <w:szCs w:val="18"/>
              </w:rPr>
            </w:pPr>
            <w:r>
              <w:rPr>
                <w:rFonts w:ascii="Arial" w:hAnsi="Arial" w:cs="Arial"/>
                <w:b/>
                <w:bCs/>
                <w:color w:val="000000"/>
                <w:sz w:val="18"/>
                <w:szCs w:val="18"/>
              </w:rPr>
              <w:t>Přet</w:t>
            </w:r>
            <w:r w:rsidRPr="001F6DF9">
              <w:rPr>
                <w:rFonts w:ascii="Arial" w:hAnsi="Arial" w:cs="Arial"/>
                <w:b/>
                <w:bCs/>
                <w:color w:val="000000"/>
                <w:sz w:val="18"/>
                <w:szCs w:val="18"/>
              </w:rPr>
              <w:t>lak (</w:t>
            </w:r>
            <w:proofErr w:type="spellStart"/>
            <w:r>
              <w:rPr>
                <w:rFonts w:ascii="Arial" w:hAnsi="Arial" w:cs="Arial"/>
                <w:b/>
                <w:bCs/>
                <w:color w:val="000000"/>
                <w:sz w:val="18"/>
                <w:szCs w:val="18"/>
              </w:rPr>
              <w:t>M</w:t>
            </w:r>
            <w:r w:rsidRPr="001F6DF9">
              <w:rPr>
                <w:rFonts w:ascii="Arial" w:hAnsi="Arial" w:cs="Arial"/>
                <w:b/>
                <w:bCs/>
                <w:color w:val="000000"/>
                <w:sz w:val="18"/>
                <w:szCs w:val="18"/>
              </w:rPr>
              <w:t>Pa</w:t>
            </w:r>
            <w:proofErr w:type="spellEnd"/>
            <w:r w:rsidRPr="001F6DF9">
              <w:rPr>
                <w:rFonts w:ascii="Arial" w:hAnsi="Arial" w:cs="Arial"/>
                <w:b/>
                <w:bCs/>
                <w:color w:val="000000"/>
                <w:sz w:val="18"/>
                <w:szCs w:val="18"/>
              </w:rPr>
              <w:t>)</w:t>
            </w:r>
          </w:p>
        </w:tc>
      </w:tr>
      <w:tr w:rsidR="00A91132" w:rsidRPr="00B16272" w:rsidTr="00A91132">
        <w:trPr>
          <w:trHeight w:val="356"/>
          <w:tblHeader/>
        </w:trPr>
        <w:tc>
          <w:tcPr>
            <w:tcW w:w="642" w:type="dxa"/>
            <w:vMerge/>
            <w:shd w:val="clear" w:color="auto" w:fill="BFBFBF"/>
            <w:noWrap/>
            <w:vAlign w:val="center"/>
          </w:tcPr>
          <w:p w:rsidR="00A91132" w:rsidRPr="001F6DF9" w:rsidRDefault="00A91132" w:rsidP="00C61D6E">
            <w:pPr>
              <w:jc w:val="center"/>
              <w:rPr>
                <w:rFonts w:ascii="Arial" w:hAnsi="Arial" w:cs="Arial"/>
                <w:b/>
                <w:bCs/>
                <w:color w:val="000000"/>
                <w:sz w:val="18"/>
                <w:szCs w:val="18"/>
              </w:rPr>
            </w:pPr>
          </w:p>
        </w:tc>
        <w:tc>
          <w:tcPr>
            <w:tcW w:w="705" w:type="dxa"/>
            <w:vMerge/>
            <w:shd w:val="clear" w:color="auto" w:fill="BFBFBF"/>
            <w:noWrap/>
            <w:vAlign w:val="center"/>
          </w:tcPr>
          <w:p w:rsidR="00A91132" w:rsidRPr="001F6DF9" w:rsidRDefault="00A91132" w:rsidP="00C61D6E">
            <w:pPr>
              <w:jc w:val="center"/>
              <w:rPr>
                <w:rFonts w:ascii="Arial" w:hAnsi="Arial" w:cs="Arial"/>
                <w:b/>
                <w:bCs/>
                <w:color w:val="000000"/>
                <w:sz w:val="18"/>
                <w:szCs w:val="18"/>
              </w:rPr>
            </w:pPr>
          </w:p>
        </w:tc>
        <w:tc>
          <w:tcPr>
            <w:tcW w:w="2126" w:type="dxa"/>
            <w:vMerge/>
            <w:shd w:val="clear" w:color="auto" w:fill="BFBFBF"/>
            <w:noWrap/>
            <w:vAlign w:val="center"/>
          </w:tcPr>
          <w:p w:rsidR="00A91132" w:rsidRPr="001F6DF9" w:rsidRDefault="00A91132" w:rsidP="00C61D6E">
            <w:pPr>
              <w:jc w:val="center"/>
              <w:rPr>
                <w:rFonts w:ascii="Arial" w:hAnsi="Arial" w:cs="Arial"/>
                <w:b/>
                <w:bCs/>
                <w:color w:val="000000"/>
                <w:sz w:val="18"/>
                <w:szCs w:val="18"/>
              </w:rPr>
            </w:pPr>
          </w:p>
        </w:tc>
        <w:tc>
          <w:tcPr>
            <w:tcW w:w="1418" w:type="dxa"/>
            <w:vMerge/>
            <w:shd w:val="clear" w:color="auto" w:fill="BFBFBF"/>
            <w:noWrap/>
            <w:vAlign w:val="center"/>
          </w:tcPr>
          <w:p w:rsidR="00A91132" w:rsidRPr="001F6DF9" w:rsidRDefault="00A91132" w:rsidP="00C61D6E">
            <w:pPr>
              <w:jc w:val="center"/>
              <w:rPr>
                <w:rFonts w:ascii="Arial" w:hAnsi="Arial" w:cs="Arial"/>
                <w:b/>
                <w:bCs/>
                <w:color w:val="000000"/>
                <w:sz w:val="18"/>
                <w:szCs w:val="18"/>
              </w:rPr>
            </w:pPr>
          </w:p>
        </w:tc>
        <w:tc>
          <w:tcPr>
            <w:tcW w:w="3259" w:type="dxa"/>
            <w:vMerge/>
            <w:shd w:val="clear" w:color="auto" w:fill="BFBFBF"/>
            <w:noWrap/>
            <w:vAlign w:val="center"/>
          </w:tcPr>
          <w:p w:rsidR="00A91132" w:rsidRPr="001F6DF9" w:rsidRDefault="00A91132" w:rsidP="00C61D6E">
            <w:pPr>
              <w:jc w:val="center"/>
              <w:rPr>
                <w:rFonts w:ascii="Arial" w:hAnsi="Arial" w:cs="Arial"/>
                <w:b/>
                <w:bCs/>
                <w:color w:val="000000"/>
                <w:sz w:val="18"/>
                <w:szCs w:val="18"/>
              </w:rPr>
            </w:pPr>
          </w:p>
        </w:tc>
        <w:tc>
          <w:tcPr>
            <w:tcW w:w="2694" w:type="dxa"/>
            <w:vMerge/>
            <w:shd w:val="clear" w:color="auto" w:fill="BFBFBF"/>
            <w:noWrap/>
            <w:vAlign w:val="center"/>
          </w:tcPr>
          <w:p w:rsidR="00A91132" w:rsidRPr="001F6DF9" w:rsidRDefault="00A91132" w:rsidP="00C61D6E">
            <w:pPr>
              <w:jc w:val="center"/>
              <w:rPr>
                <w:rFonts w:ascii="Arial" w:hAnsi="Arial" w:cs="Arial"/>
                <w:b/>
                <w:bCs/>
                <w:color w:val="000000"/>
                <w:sz w:val="18"/>
                <w:szCs w:val="18"/>
              </w:rPr>
            </w:pPr>
          </w:p>
        </w:tc>
        <w:tc>
          <w:tcPr>
            <w:tcW w:w="1251" w:type="dxa"/>
            <w:vMerge/>
            <w:shd w:val="clear" w:color="auto" w:fill="BFBFBF"/>
            <w:noWrap/>
            <w:vAlign w:val="center"/>
          </w:tcPr>
          <w:p w:rsidR="00A91132" w:rsidRPr="001F6DF9" w:rsidRDefault="00A91132" w:rsidP="00C61D6E">
            <w:pPr>
              <w:jc w:val="center"/>
              <w:rPr>
                <w:rFonts w:ascii="Arial" w:hAnsi="Arial" w:cs="Arial"/>
                <w:b/>
                <w:bCs/>
                <w:color w:val="000000"/>
                <w:sz w:val="18"/>
                <w:szCs w:val="18"/>
              </w:rPr>
            </w:pPr>
          </w:p>
        </w:tc>
        <w:tc>
          <w:tcPr>
            <w:tcW w:w="733" w:type="dxa"/>
            <w:shd w:val="clear" w:color="auto" w:fill="BFBFBF"/>
            <w:vAlign w:val="center"/>
          </w:tcPr>
          <w:p w:rsidR="00A91132" w:rsidRPr="001F6DF9" w:rsidRDefault="00A91132" w:rsidP="00C61D6E">
            <w:pPr>
              <w:jc w:val="center"/>
              <w:rPr>
                <w:rFonts w:ascii="Arial" w:hAnsi="Arial" w:cs="Arial"/>
                <w:b/>
                <w:bCs/>
                <w:color w:val="000000"/>
                <w:sz w:val="18"/>
                <w:szCs w:val="18"/>
              </w:rPr>
            </w:pPr>
            <w:r w:rsidRPr="001F6DF9">
              <w:rPr>
                <w:rFonts w:ascii="Arial" w:hAnsi="Arial" w:cs="Arial"/>
                <w:b/>
                <w:bCs/>
                <w:color w:val="000000"/>
                <w:sz w:val="18"/>
                <w:szCs w:val="18"/>
              </w:rPr>
              <w:t>Min</w:t>
            </w:r>
            <w:r>
              <w:rPr>
                <w:rFonts w:ascii="Arial" w:hAnsi="Arial" w:cs="Arial"/>
                <w:b/>
                <w:bCs/>
                <w:color w:val="000000"/>
                <w:sz w:val="18"/>
                <w:szCs w:val="18"/>
              </w:rPr>
              <w:t>.</w:t>
            </w:r>
          </w:p>
        </w:tc>
        <w:tc>
          <w:tcPr>
            <w:tcW w:w="709" w:type="dxa"/>
            <w:shd w:val="clear" w:color="auto" w:fill="BFBFBF"/>
            <w:vAlign w:val="center"/>
          </w:tcPr>
          <w:p w:rsidR="00A91132" w:rsidRPr="001F6DF9" w:rsidRDefault="00A91132" w:rsidP="00C61D6E">
            <w:pPr>
              <w:jc w:val="center"/>
              <w:rPr>
                <w:rFonts w:ascii="Arial" w:hAnsi="Arial" w:cs="Arial"/>
                <w:b/>
                <w:bCs/>
                <w:color w:val="000000"/>
                <w:sz w:val="18"/>
                <w:szCs w:val="18"/>
              </w:rPr>
            </w:pPr>
            <w:r w:rsidRPr="001F6DF9">
              <w:rPr>
                <w:rFonts w:ascii="Arial" w:hAnsi="Arial" w:cs="Arial"/>
                <w:b/>
                <w:bCs/>
                <w:color w:val="000000"/>
                <w:sz w:val="18"/>
                <w:szCs w:val="18"/>
              </w:rPr>
              <w:t>Max</w:t>
            </w:r>
            <w:r>
              <w:rPr>
                <w:rFonts w:ascii="Arial" w:hAnsi="Arial" w:cs="Arial"/>
                <w:b/>
                <w:bCs/>
                <w:color w:val="000000"/>
                <w:sz w:val="18"/>
                <w:szCs w:val="18"/>
              </w:rPr>
              <w:t>.</w:t>
            </w:r>
          </w:p>
        </w:tc>
      </w:tr>
      <w:tr w:rsidR="00A91132" w:rsidRPr="00D420F9" w:rsidTr="00A91132">
        <w:trPr>
          <w:trHeight w:val="284"/>
        </w:trPr>
        <w:tc>
          <w:tcPr>
            <w:tcW w:w="642" w:type="dxa"/>
            <w:shd w:val="clear" w:color="auto" w:fill="auto"/>
            <w:noWrap/>
            <w:vAlign w:val="center"/>
          </w:tcPr>
          <w:p w:rsidR="00A91132" w:rsidRPr="00702BE1" w:rsidRDefault="00A91132" w:rsidP="00C61D6E">
            <w:pPr>
              <w:jc w:val="center"/>
              <w:rPr>
                <w:rFonts w:ascii="Arial" w:hAnsi="Arial" w:cs="Arial"/>
                <w:color w:val="000000"/>
                <w:sz w:val="18"/>
                <w:szCs w:val="18"/>
              </w:rPr>
            </w:pPr>
            <w:r w:rsidRPr="00702BE1">
              <w:rPr>
                <w:rFonts w:ascii="Arial" w:hAnsi="Arial" w:cs="Arial"/>
                <w:color w:val="000000"/>
                <w:sz w:val="18"/>
                <w:szCs w:val="18"/>
              </w:rPr>
              <w:t>1</w:t>
            </w:r>
          </w:p>
        </w:tc>
        <w:tc>
          <w:tcPr>
            <w:tcW w:w="705" w:type="dxa"/>
            <w:shd w:val="clear" w:color="000000" w:fill="FFFFFF"/>
            <w:noWrap/>
            <w:vAlign w:val="center"/>
          </w:tcPr>
          <w:p w:rsidR="00A91132" w:rsidRPr="00702BE1" w:rsidRDefault="00702BE1" w:rsidP="00C61D6E">
            <w:pPr>
              <w:jc w:val="center"/>
              <w:rPr>
                <w:rFonts w:ascii="Arial" w:eastAsia="Arial Unicode MS" w:hAnsi="Arial" w:cs="Arial"/>
                <w:sz w:val="18"/>
                <w:szCs w:val="18"/>
              </w:rPr>
            </w:pPr>
            <w:r w:rsidRPr="00702BE1">
              <w:rPr>
                <w:rFonts w:ascii="Arial" w:eastAsia="Arial Unicode MS" w:hAnsi="Arial" w:cs="Arial"/>
                <w:sz w:val="18"/>
                <w:szCs w:val="18"/>
              </w:rPr>
              <w:t>0210</w:t>
            </w:r>
          </w:p>
        </w:tc>
        <w:tc>
          <w:tcPr>
            <w:tcW w:w="2126" w:type="dxa"/>
            <w:shd w:val="clear" w:color="000000" w:fill="FFFFFF"/>
            <w:noWrap/>
            <w:vAlign w:val="center"/>
          </w:tcPr>
          <w:p w:rsidR="00A91132" w:rsidRPr="00702BE1" w:rsidRDefault="00702BE1" w:rsidP="00702BE1">
            <w:pPr>
              <w:jc w:val="center"/>
              <w:rPr>
                <w:rFonts w:ascii="Arial" w:hAnsi="Arial" w:cs="Arial"/>
                <w:sz w:val="18"/>
                <w:szCs w:val="18"/>
              </w:rPr>
            </w:pPr>
            <w:r w:rsidRPr="00702BE1">
              <w:rPr>
                <w:rFonts w:ascii="Arial" w:hAnsi="Arial" w:cs="Arial"/>
                <w:sz w:val="18"/>
                <w:szCs w:val="18"/>
              </w:rPr>
              <w:t>B1 - Zlínský kraj</w:t>
            </w:r>
          </w:p>
        </w:tc>
        <w:tc>
          <w:tcPr>
            <w:tcW w:w="1418" w:type="dxa"/>
            <w:tcBorders>
              <w:top w:val="single" w:sz="4" w:space="0" w:color="auto"/>
              <w:bottom w:val="single" w:sz="4" w:space="0" w:color="auto"/>
            </w:tcBorders>
            <w:shd w:val="clear" w:color="auto" w:fill="auto"/>
            <w:noWrap/>
            <w:vAlign w:val="center"/>
          </w:tcPr>
          <w:p w:rsidR="00702BE1" w:rsidRPr="00702BE1" w:rsidRDefault="00702BE1" w:rsidP="00C61D6E">
            <w:pPr>
              <w:jc w:val="center"/>
              <w:rPr>
                <w:rFonts w:ascii="Arial" w:eastAsia="Arial Unicode MS" w:hAnsi="Arial" w:cs="Arial"/>
                <w:sz w:val="18"/>
                <w:szCs w:val="18"/>
              </w:rPr>
            </w:pPr>
            <w:r w:rsidRPr="00702BE1">
              <w:rPr>
                <w:rFonts w:ascii="Arial" w:eastAsia="Arial Unicode MS" w:hAnsi="Arial" w:cs="Arial"/>
                <w:sz w:val="18"/>
                <w:szCs w:val="18"/>
              </w:rPr>
              <w:t xml:space="preserve">Pára - </w:t>
            </w:r>
          </w:p>
          <w:p w:rsidR="00A91132" w:rsidRPr="00702BE1" w:rsidRDefault="00702BE1" w:rsidP="00702BE1">
            <w:pPr>
              <w:jc w:val="center"/>
              <w:rPr>
                <w:rFonts w:ascii="Arial" w:hAnsi="Arial" w:cs="Arial"/>
                <w:sz w:val="18"/>
                <w:szCs w:val="18"/>
              </w:rPr>
            </w:pPr>
            <w:r w:rsidRPr="00702BE1">
              <w:rPr>
                <w:rFonts w:ascii="Arial" w:hAnsi="Arial" w:cs="Arial"/>
                <w:sz w:val="18"/>
                <w:szCs w:val="18"/>
              </w:rPr>
              <w:t xml:space="preserve">0,3 </w:t>
            </w:r>
            <w:proofErr w:type="spellStart"/>
            <w:r w:rsidRPr="00702BE1">
              <w:rPr>
                <w:rFonts w:ascii="Arial" w:hAnsi="Arial" w:cs="Arial"/>
                <w:sz w:val="18"/>
                <w:szCs w:val="18"/>
              </w:rPr>
              <w:t>MPa</w:t>
            </w:r>
            <w:proofErr w:type="spellEnd"/>
          </w:p>
        </w:tc>
        <w:tc>
          <w:tcPr>
            <w:tcW w:w="3259" w:type="dxa"/>
            <w:tcBorders>
              <w:top w:val="single" w:sz="4" w:space="0" w:color="auto"/>
              <w:bottom w:val="single" w:sz="4" w:space="0" w:color="auto"/>
            </w:tcBorders>
            <w:shd w:val="clear" w:color="auto" w:fill="auto"/>
            <w:vAlign w:val="center"/>
          </w:tcPr>
          <w:p w:rsidR="00A91132" w:rsidRPr="00702BE1" w:rsidRDefault="00702BE1" w:rsidP="00C61D6E">
            <w:pPr>
              <w:jc w:val="center"/>
              <w:rPr>
                <w:rFonts w:ascii="Arial" w:eastAsia="Arial Unicode MS" w:hAnsi="Arial" w:cs="Arial"/>
                <w:sz w:val="18"/>
                <w:szCs w:val="18"/>
              </w:rPr>
            </w:pPr>
            <w:r w:rsidRPr="00702BE1">
              <w:rPr>
                <w:rFonts w:ascii="Arial" w:eastAsia="Arial Unicode MS" w:hAnsi="Arial" w:cs="Arial"/>
                <w:sz w:val="18"/>
                <w:szCs w:val="18"/>
              </w:rPr>
              <w:t>Hlavní ventil parní přípojky na vstupu do objektu (pata budovy)</w:t>
            </w:r>
          </w:p>
        </w:tc>
        <w:tc>
          <w:tcPr>
            <w:tcW w:w="2694" w:type="dxa"/>
            <w:shd w:val="clear" w:color="auto" w:fill="auto"/>
            <w:vAlign w:val="center"/>
          </w:tcPr>
          <w:p w:rsidR="00A91132" w:rsidRPr="00702BE1" w:rsidRDefault="00702BE1" w:rsidP="00C61D6E">
            <w:pPr>
              <w:jc w:val="center"/>
              <w:rPr>
                <w:rFonts w:ascii="Arial" w:eastAsia="Arial Unicode MS" w:hAnsi="Arial" w:cs="Arial"/>
                <w:sz w:val="18"/>
                <w:szCs w:val="18"/>
              </w:rPr>
            </w:pPr>
            <w:r w:rsidRPr="00702BE1">
              <w:rPr>
                <w:rFonts w:ascii="Arial" w:eastAsia="Arial Unicode MS" w:hAnsi="Arial" w:cs="Arial"/>
                <w:sz w:val="18"/>
                <w:szCs w:val="18"/>
              </w:rPr>
              <w:t>VS - Měřící úsečka v přívodním potrubí páry</w:t>
            </w:r>
          </w:p>
        </w:tc>
        <w:tc>
          <w:tcPr>
            <w:tcW w:w="1251" w:type="dxa"/>
            <w:shd w:val="clear" w:color="auto" w:fill="auto"/>
            <w:noWrap/>
            <w:vAlign w:val="center"/>
          </w:tcPr>
          <w:p w:rsidR="00A91132" w:rsidRPr="00702BE1" w:rsidRDefault="00702BE1" w:rsidP="00C61D6E">
            <w:pPr>
              <w:jc w:val="center"/>
              <w:rPr>
                <w:rFonts w:ascii="Arial" w:eastAsia="Arial Unicode MS" w:hAnsi="Arial" w:cs="Arial"/>
                <w:sz w:val="18"/>
                <w:szCs w:val="18"/>
              </w:rPr>
            </w:pPr>
            <w:r w:rsidRPr="00702BE1">
              <w:rPr>
                <w:rFonts w:ascii="Arial" w:eastAsia="Arial Unicode MS" w:hAnsi="Arial" w:cs="Arial"/>
                <w:sz w:val="18"/>
                <w:szCs w:val="18"/>
              </w:rPr>
              <w:t>0</w:t>
            </w:r>
          </w:p>
        </w:tc>
        <w:tc>
          <w:tcPr>
            <w:tcW w:w="733" w:type="dxa"/>
            <w:vAlign w:val="center"/>
          </w:tcPr>
          <w:p w:rsidR="00A91132" w:rsidRPr="00702BE1" w:rsidRDefault="00702BE1" w:rsidP="00C61D6E">
            <w:pPr>
              <w:jc w:val="center"/>
              <w:rPr>
                <w:rFonts w:ascii="Arial" w:hAnsi="Arial" w:cs="Arial"/>
                <w:sz w:val="18"/>
                <w:szCs w:val="18"/>
              </w:rPr>
            </w:pPr>
            <w:r w:rsidRPr="00702BE1">
              <w:rPr>
                <w:rFonts w:ascii="Arial" w:hAnsi="Arial" w:cs="Arial"/>
                <w:sz w:val="18"/>
                <w:szCs w:val="18"/>
              </w:rPr>
              <w:t>0,27</w:t>
            </w:r>
          </w:p>
        </w:tc>
        <w:tc>
          <w:tcPr>
            <w:tcW w:w="709" w:type="dxa"/>
            <w:vAlign w:val="center"/>
          </w:tcPr>
          <w:p w:rsidR="00A91132" w:rsidRPr="00702BE1" w:rsidRDefault="00702BE1" w:rsidP="00C61D6E">
            <w:pPr>
              <w:jc w:val="center"/>
              <w:rPr>
                <w:rFonts w:ascii="Arial" w:hAnsi="Arial" w:cs="Arial"/>
                <w:sz w:val="18"/>
                <w:szCs w:val="18"/>
              </w:rPr>
            </w:pPr>
            <w:r w:rsidRPr="00702BE1">
              <w:rPr>
                <w:rFonts w:ascii="Arial" w:hAnsi="Arial" w:cs="Arial"/>
                <w:sz w:val="18"/>
                <w:szCs w:val="18"/>
              </w:rPr>
              <w:t>0,33</w:t>
            </w:r>
          </w:p>
        </w:tc>
      </w:tr>
      <w:tr w:rsidR="00A91132" w:rsidRPr="00D420F9" w:rsidTr="00A91132">
        <w:trPr>
          <w:trHeight w:val="284"/>
        </w:trPr>
        <w:tc>
          <w:tcPr>
            <w:tcW w:w="642" w:type="dxa"/>
            <w:shd w:val="clear" w:color="auto" w:fill="auto"/>
            <w:noWrap/>
            <w:vAlign w:val="center"/>
          </w:tcPr>
          <w:p w:rsidR="00A91132" w:rsidRPr="00702BE1" w:rsidRDefault="00A91132" w:rsidP="00C61D6E">
            <w:pPr>
              <w:jc w:val="center"/>
              <w:rPr>
                <w:rFonts w:ascii="Arial" w:hAnsi="Arial" w:cs="Arial"/>
                <w:color w:val="000000"/>
                <w:sz w:val="18"/>
                <w:szCs w:val="18"/>
              </w:rPr>
            </w:pPr>
            <w:r w:rsidRPr="00702BE1">
              <w:rPr>
                <w:rFonts w:ascii="Arial" w:hAnsi="Arial" w:cs="Arial"/>
                <w:color w:val="000000"/>
                <w:sz w:val="18"/>
                <w:szCs w:val="18"/>
              </w:rPr>
              <w:t>2</w:t>
            </w:r>
          </w:p>
        </w:tc>
        <w:tc>
          <w:tcPr>
            <w:tcW w:w="705" w:type="dxa"/>
            <w:shd w:val="clear" w:color="000000" w:fill="FFFFFF"/>
            <w:noWrap/>
            <w:vAlign w:val="center"/>
          </w:tcPr>
          <w:p w:rsidR="00A91132" w:rsidRPr="00702BE1" w:rsidRDefault="00702BE1" w:rsidP="00C61D6E">
            <w:pPr>
              <w:jc w:val="center"/>
              <w:rPr>
                <w:rFonts w:ascii="Arial" w:eastAsia="Arial Unicode MS" w:hAnsi="Arial" w:cs="Arial"/>
                <w:sz w:val="18"/>
                <w:szCs w:val="18"/>
              </w:rPr>
            </w:pPr>
            <w:r w:rsidRPr="00702BE1">
              <w:rPr>
                <w:rFonts w:ascii="Arial" w:eastAsia="Arial Unicode MS" w:hAnsi="Arial" w:cs="Arial"/>
                <w:sz w:val="18"/>
                <w:szCs w:val="18"/>
              </w:rPr>
              <w:t>0232</w:t>
            </w:r>
          </w:p>
        </w:tc>
        <w:tc>
          <w:tcPr>
            <w:tcW w:w="2126" w:type="dxa"/>
            <w:shd w:val="clear" w:color="000000" w:fill="FFFFFF"/>
            <w:noWrap/>
            <w:vAlign w:val="center"/>
          </w:tcPr>
          <w:p w:rsidR="00A91132" w:rsidRPr="00702BE1" w:rsidRDefault="00702BE1" w:rsidP="00C61D6E">
            <w:pPr>
              <w:jc w:val="center"/>
              <w:rPr>
                <w:rFonts w:ascii="Arial" w:eastAsia="Arial Unicode MS" w:hAnsi="Arial" w:cs="Arial"/>
                <w:sz w:val="18"/>
                <w:szCs w:val="18"/>
              </w:rPr>
            </w:pPr>
            <w:r w:rsidRPr="00702BE1">
              <w:rPr>
                <w:rFonts w:ascii="Arial" w:eastAsia="Arial Unicode MS" w:hAnsi="Arial" w:cs="Arial"/>
                <w:sz w:val="18"/>
                <w:szCs w:val="18"/>
              </w:rPr>
              <w:t>B21 - Zlínský kraj</w:t>
            </w:r>
          </w:p>
        </w:tc>
        <w:tc>
          <w:tcPr>
            <w:tcW w:w="1418" w:type="dxa"/>
            <w:tcBorders>
              <w:top w:val="single" w:sz="4" w:space="0" w:color="auto"/>
              <w:bottom w:val="single" w:sz="4" w:space="0" w:color="auto"/>
            </w:tcBorders>
            <w:shd w:val="clear" w:color="auto" w:fill="auto"/>
            <w:noWrap/>
            <w:vAlign w:val="center"/>
          </w:tcPr>
          <w:p w:rsidR="00702BE1" w:rsidRPr="00702BE1" w:rsidRDefault="00702BE1" w:rsidP="00C61D6E">
            <w:pPr>
              <w:jc w:val="center"/>
              <w:rPr>
                <w:rFonts w:ascii="Arial" w:eastAsia="Arial Unicode MS" w:hAnsi="Arial" w:cs="Arial"/>
                <w:sz w:val="18"/>
                <w:szCs w:val="18"/>
              </w:rPr>
            </w:pPr>
            <w:r w:rsidRPr="00702BE1">
              <w:rPr>
                <w:rFonts w:ascii="Arial" w:eastAsia="Arial Unicode MS" w:hAnsi="Arial" w:cs="Arial"/>
                <w:sz w:val="18"/>
                <w:szCs w:val="18"/>
              </w:rPr>
              <w:t xml:space="preserve">Pára - </w:t>
            </w:r>
          </w:p>
          <w:p w:rsidR="00A91132" w:rsidRPr="00702BE1" w:rsidRDefault="00702BE1" w:rsidP="00702BE1">
            <w:pPr>
              <w:jc w:val="center"/>
              <w:rPr>
                <w:rFonts w:ascii="Arial" w:hAnsi="Arial" w:cs="Arial"/>
                <w:sz w:val="18"/>
                <w:szCs w:val="18"/>
              </w:rPr>
            </w:pPr>
            <w:r w:rsidRPr="00702BE1">
              <w:rPr>
                <w:rFonts w:ascii="Arial" w:hAnsi="Arial" w:cs="Arial"/>
                <w:sz w:val="18"/>
                <w:szCs w:val="18"/>
              </w:rPr>
              <w:t xml:space="preserve">0,3 </w:t>
            </w:r>
            <w:proofErr w:type="spellStart"/>
            <w:r w:rsidRPr="00702BE1">
              <w:rPr>
                <w:rFonts w:ascii="Arial" w:hAnsi="Arial" w:cs="Arial"/>
                <w:sz w:val="18"/>
                <w:szCs w:val="18"/>
              </w:rPr>
              <w:t>MPa</w:t>
            </w:r>
            <w:proofErr w:type="spellEnd"/>
          </w:p>
        </w:tc>
        <w:tc>
          <w:tcPr>
            <w:tcW w:w="3259" w:type="dxa"/>
            <w:tcBorders>
              <w:top w:val="single" w:sz="4" w:space="0" w:color="auto"/>
              <w:bottom w:val="single" w:sz="4" w:space="0" w:color="auto"/>
            </w:tcBorders>
            <w:shd w:val="clear" w:color="auto" w:fill="auto"/>
            <w:vAlign w:val="center"/>
          </w:tcPr>
          <w:p w:rsidR="00A91132" w:rsidRPr="00702BE1" w:rsidRDefault="00702BE1" w:rsidP="00C61D6E">
            <w:pPr>
              <w:jc w:val="center"/>
              <w:rPr>
                <w:rFonts w:ascii="Arial" w:eastAsia="Arial Unicode MS" w:hAnsi="Arial" w:cs="Arial"/>
                <w:sz w:val="18"/>
                <w:szCs w:val="18"/>
              </w:rPr>
            </w:pPr>
            <w:r w:rsidRPr="00702BE1">
              <w:rPr>
                <w:rFonts w:ascii="Arial" w:eastAsia="Arial Unicode MS" w:hAnsi="Arial" w:cs="Arial"/>
                <w:sz w:val="18"/>
                <w:szCs w:val="18"/>
              </w:rPr>
              <w:t>Hlavní ventil parní přípojky na vstupu do objektu (pata budovy)</w:t>
            </w:r>
          </w:p>
        </w:tc>
        <w:tc>
          <w:tcPr>
            <w:tcW w:w="2694" w:type="dxa"/>
            <w:shd w:val="clear" w:color="auto" w:fill="auto"/>
            <w:vAlign w:val="center"/>
          </w:tcPr>
          <w:p w:rsidR="00A91132" w:rsidRPr="00702BE1" w:rsidRDefault="00702BE1" w:rsidP="00C61D6E">
            <w:pPr>
              <w:jc w:val="center"/>
              <w:rPr>
                <w:rFonts w:ascii="Arial" w:eastAsia="Arial Unicode MS" w:hAnsi="Arial" w:cs="Arial"/>
                <w:sz w:val="18"/>
                <w:szCs w:val="18"/>
              </w:rPr>
            </w:pPr>
            <w:r w:rsidRPr="00702BE1">
              <w:rPr>
                <w:rFonts w:ascii="Arial" w:eastAsia="Arial Unicode MS" w:hAnsi="Arial" w:cs="Arial"/>
                <w:sz w:val="18"/>
                <w:szCs w:val="18"/>
              </w:rPr>
              <w:t>VS - Měřící úsečka v přívodním potrubí páry</w:t>
            </w:r>
          </w:p>
        </w:tc>
        <w:tc>
          <w:tcPr>
            <w:tcW w:w="1251" w:type="dxa"/>
            <w:shd w:val="clear" w:color="auto" w:fill="auto"/>
            <w:noWrap/>
            <w:vAlign w:val="center"/>
          </w:tcPr>
          <w:p w:rsidR="00A91132" w:rsidRPr="00702BE1" w:rsidRDefault="00702BE1" w:rsidP="00C61D6E">
            <w:pPr>
              <w:jc w:val="center"/>
              <w:rPr>
                <w:rFonts w:ascii="Arial" w:eastAsia="Arial Unicode MS" w:hAnsi="Arial" w:cs="Arial"/>
                <w:sz w:val="18"/>
                <w:szCs w:val="18"/>
              </w:rPr>
            </w:pPr>
            <w:r w:rsidRPr="00702BE1">
              <w:rPr>
                <w:rFonts w:ascii="Arial" w:eastAsia="Arial Unicode MS" w:hAnsi="Arial" w:cs="Arial"/>
                <w:sz w:val="18"/>
                <w:szCs w:val="18"/>
              </w:rPr>
              <w:t>0</w:t>
            </w:r>
          </w:p>
        </w:tc>
        <w:tc>
          <w:tcPr>
            <w:tcW w:w="733" w:type="dxa"/>
            <w:vAlign w:val="center"/>
          </w:tcPr>
          <w:p w:rsidR="00A91132" w:rsidRPr="00702BE1" w:rsidRDefault="00702BE1" w:rsidP="00C61D6E">
            <w:pPr>
              <w:jc w:val="center"/>
              <w:rPr>
                <w:rFonts w:ascii="Arial" w:hAnsi="Arial" w:cs="Arial"/>
                <w:sz w:val="18"/>
                <w:szCs w:val="18"/>
              </w:rPr>
            </w:pPr>
            <w:r w:rsidRPr="00702BE1">
              <w:rPr>
                <w:rFonts w:ascii="Arial" w:hAnsi="Arial" w:cs="Arial"/>
                <w:sz w:val="18"/>
                <w:szCs w:val="18"/>
              </w:rPr>
              <w:t>0,27</w:t>
            </w:r>
          </w:p>
        </w:tc>
        <w:tc>
          <w:tcPr>
            <w:tcW w:w="709" w:type="dxa"/>
            <w:vAlign w:val="center"/>
          </w:tcPr>
          <w:p w:rsidR="00A91132" w:rsidRPr="00702BE1" w:rsidRDefault="00702BE1" w:rsidP="00C61D6E">
            <w:pPr>
              <w:jc w:val="center"/>
              <w:rPr>
                <w:rFonts w:ascii="Arial" w:hAnsi="Arial" w:cs="Arial"/>
                <w:sz w:val="18"/>
                <w:szCs w:val="18"/>
              </w:rPr>
            </w:pPr>
            <w:r w:rsidRPr="00702BE1">
              <w:rPr>
                <w:rFonts w:ascii="Arial" w:hAnsi="Arial" w:cs="Arial"/>
                <w:sz w:val="18"/>
                <w:szCs w:val="18"/>
              </w:rPr>
              <w:t>0,33</w:t>
            </w:r>
          </w:p>
        </w:tc>
      </w:tr>
      <w:tr w:rsidR="00A91132" w:rsidRPr="00D420F9" w:rsidTr="00A91132">
        <w:trPr>
          <w:trHeight w:val="284"/>
        </w:trPr>
        <w:tc>
          <w:tcPr>
            <w:tcW w:w="642" w:type="dxa"/>
            <w:shd w:val="clear" w:color="auto" w:fill="auto"/>
            <w:noWrap/>
            <w:vAlign w:val="center"/>
          </w:tcPr>
          <w:p w:rsidR="00A91132" w:rsidRPr="00702BE1" w:rsidRDefault="00A91132" w:rsidP="00C61D6E">
            <w:pPr>
              <w:jc w:val="center"/>
              <w:rPr>
                <w:rFonts w:ascii="Arial" w:hAnsi="Arial" w:cs="Arial"/>
                <w:color w:val="000000"/>
                <w:sz w:val="18"/>
                <w:szCs w:val="18"/>
              </w:rPr>
            </w:pPr>
            <w:r w:rsidRPr="00702BE1">
              <w:rPr>
                <w:rFonts w:ascii="Arial" w:hAnsi="Arial" w:cs="Arial"/>
                <w:color w:val="000000"/>
                <w:sz w:val="18"/>
                <w:szCs w:val="18"/>
              </w:rPr>
              <w:t>3</w:t>
            </w:r>
          </w:p>
        </w:tc>
        <w:tc>
          <w:tcPr>
            <w:tcW w:w="705" w:type="dxa"/>
            <w:shd w:val="clear" w:color="000000" w:fill="FFFFFF"/>
            <w:noWrap/>
            <w:vAlign w:val="center"/>
          </w:tcPr>
          <w:p w:rsidR="00A91132" w:rsidRPr="00702BE1" w:rsidRDefault="00702BE1" w:rsidP="00C61D6E">
            <w:pPr>
              <w:jc w:val="center"/>
              <w:rPr>
                <w:rFonts w:ascii="Arial" w:eastAsia="Arial Unicode MS" w:hAnsi="Arial" w:cs="Arial"/>
                <w:sz w:val="18"/>
                <w:szCs w:val="18"/>
              </w:rPr>
            </w:pPr>
            <w:r w:rsidRPr="00702BE1">
              <w:rPr>
                <w:rFonts w:ascii="Arial" w:eastAsia="Arial Unicode MS" w:hAnsi="Arial" w:cs="Arial"/>
                <w:sz w:val="18"/>
                <w:szCs w:val="18"/>
              </w:rPr>
              <w:t>0233</w:t>
            </w:r>
          </w:p>
        </w:tc>
        <w:tc>
          <w:tcPr>
            <w:tcW w:w="2126" w:type="dxa"/>
            <w:shd w:val="clear" w:color="000000" w:fill="FFFFFF"/>
            <w:noWrap/>
            <w:vAlign w:val="center"/>
          </w:tcPr>
          <w:p w:rsidR="00A91132" w:rsidRPr="00702BE1" w:rsidRDefault="00702BE1" w:rsidP="00C61D6E">
            <w:pPr>
              <w:jc w:val="center"/>
              <w:rPr>
                <w:rFonts w:ascii="Arial" w:eastAsia="Arial Unicode MS" w:hAnsi="Arial" w:cs="Arial"/>
                <w:sz w:val="18"/>
                <w:szCs w:val="18"/>
              </w:rPr>
            </w:pPr>
            <w:r w:rsidRPr="00702BE1">
              <w:rPr>
                <w:rFonts w:ascii="Arial" w:eastAsia="Arial Unicode MS" w:hAnsi="Arial" w:cs="Arial"/>
                <w:sz w:val="18"/>
                <w:szCs w:val="18"/>
              </w:rPr>
              <w:t>B21 - Zlínský kraj léto</w:t>
            </w:r>
          </w:p>
        </w:tc>
        <w:tc>
          <w:tcPr>
            <w:tcW w:w="1418" w:type="dxa"/>
            <w:tcBorders>
              <w:top w:val="single" w:sz="4" w:space="0" w:color="auto"/>
              <w:bottom w:val="single" w:sz="4" w:space="0" w:color="auto"/>
            </w:tcBorders>
            <w:shd w:val="clear" w:color="auto" w:fill="auto"/>
            <w:noWrap/>
            <w:vAlign w:val="center"/>
          </w:tcPr>
          <w:p w:rsidR="00702BE1" w:rsidRPr="00702BE1" w:rsidRDefault="00702BE1" w:rsidP="00702BE1">
            <w:pPr>
              <w:jc w:val="center"/>
              <w:rPr>
                <w:rFonts w:ascii="Arial" w:eastAsia="Arial Unicode MS" w:hAnsi="Arial" w:cs="Arial"/>
                <w:sz w:val="18"/>
                <w:szCs w:val="18"/>
              </w:rPr>
            </w:pPr>
            <w:r w:rsidRPr="00702BE1">
              <w:rPr>
                <w:rFonts w:ascii="Arial" w:eastAsia="Arial Unicode MS" w:hAnsi="Arial" w:cs="Arial"/>
                <w:sz w:val="18"/>
                <w:szCs w:val="18"/>
              </w:rPr>
              <w:t xml:space="preserve">Pára - </w:t>
            </w:r>
          </w:p>
          <w:p w:rsidR="00A91132" w:rsidRPr="00702BE1" w:rsidRDefault="00702BE1" w:rsidP="00702BE1">
            <w:pPr>
              <w:jc w:val="center"/>
              <w:rPr>
                <w:rFonts w:ascii="Arial" w:eastAsia="Arial Unicode MS" w:hAnsi="Arial" w:cs="Arial"/>
                <w:sz w:val="18"/>
                <w:szCs w:val="18"/>
              </w:rPr>
            </w:pPr>
            <w:r w:rsidRPr="00702BE1">
              <w:rPr>
                <w:rFonts w:ascii="Arial" w:hAnsi="Arial" w:cs="Arial"/>
                <w:sz w:val="18"/>
                <w:szCs w:val="18"/>
              </w:rPr>
              <w:t xml:space="preserve">0,3 </w:t>
            </w:r>
            <w:proofErr w:type="spellStart"/>
            <w:r w:rsidRPr="00702BE1">
              <w:rPr>
                <w:rFonts w:ascii="Arial" w:hAnsi="Arial" w:cs="Arial"/>
                <w:sz w:val="18"/>
                <w:szCs w:val="18"/>
              </w:rPr>
              <w:t>MPa</w:t>
            </w:r>
            <w:proofErr w:type="spellEnd"/>
          </w:p>
        </w:tc>
        <w:tc>
          <w:tcPr>
            <w:tcW w:w="3259" w:type="dxa"/>
            <w:tcBorders>
              <w:top w:val="single" w:sz="4" w:space="0" w:color="auto"/>
              <w:bottom w:val="single" w:sz="4" w:space="0" w:color="auto"/>
            </w:tcBorders>
            <w:shd w:val="clear" w:color="auto" w:fill="auto"/>
            <w:vAlign w:val="center"/>
          </w:tcPr>
          <w:p w:rsidR="00A91132" w:rsidRPr="00702BE1" w:rsidRDefault="00702BE1" w:rsidP="00C61D6E">
            <w:pPr>
              <w:jc w:val="center"/>
              <w:rPr>
                <w:rFonts w:ascii="Arial" w:eastAsia="Arial Unicode MS" w:hAnsi="Arial" w:cs="Arial"/>
                <w:sz w:val="18"/>
                <w:szCs w:val="18"/>
              </w:rPr>
            </w:pPr>
            <w:r w:rsidRPr="00702BE1">
              <w:rPr>
                <w:rFonts w:ascii="Arial" w:eastAsia="Arial Unicode MS" w:hAnsi="Arial" w:cs="Arial"/>
                <w:sz w:val="18"/>
                <w:szCs w:val="18"/>
              </w:rPr>
              <w:t>Hlavní ventil parní přípojky na vstupu do objektu (pata budovy)</w:t>
            </w:r>
          </w:p>
        </w:tc>
        <w:tc>
          <w:tcPr>
            <w:tcW w:w="2694" w:type="dxa"/>
            <w:shd w:val="clear" w:color="auto" w:fill="auto"/>
            <w:vAlign w:val="center"/>
          </w:tcPr>
          <w:p w:rsidR="00A91132" w:rsidRPr="00702BE1" w:rsidRDefault="00702BE1" w:rsidP="00C61D6E">
            <w:pPr>
              <w:jc w:val="center"/>
              <w:rPr>
                <w:rFonts w:ascii="Arial" w:eastAsia="Arial Unicode MS" w:hAnsi="Arial" w:cs="Arial"/>
                <w:sz w:val="18"/>
                <w:szCs w:val="18"/>
              </w:rPr>
            </w:pPr>
            <w:r w:rsidRPr="00702BE1">
              <w:rPr>
                <w:rFonts w:ascii="Arial" w:eastAsia="Arial Unicode MS" w:hAnsi="Arial" w:cs="Arial"/>
                <w:sz w:val="18"/>
                <w:szCs w:val="18"/>
              </w:rPr>
              <w:t>VS - Měřící úsečka v přívodním potrubí páry</w:t>
            </w:r>
          </w:p>
        </w:tc>
        <w:tc>
          <w:tcPr>
            <w:tcW w:w="1251" w:type="dxa"/>
            <w:shd w:val="clear" w:color="auto" w:fill="auto"/>
            <w:noWrap/>
            <w:vAlign w:val="center"/>
          </w:tcPr>
          <w:p w:rsidR="00A91132" w:rsidRPr="00702BE1" w:rsidRDefault="00702BE1" w:rsidP="00C61D6E">
            <w:pPr>
              <w:jc w:val="center"/>
              <w:rPr>
                <w:rFonts w:ascii="Arial" w:eastAsia="Arial Unicode MS" w:hAnsi="Arial" w:cs="Arial"/>
                <w:sz w:val="18"/>
                <w:szCs w:val="18"/>
              </w:rPr>
            </w:pPr>
            <w:r w:rsidRPr="00702BE1">
              <w:rPr>
                <w:rFonts w:ascii="Arial" w:eastAsia="Arial Unicode MS" w:hAnsi="Arial" w:cs="Arial"/>
                <w:sz w:val="18"/>
                <w:szCs w:val="18"/>
              </w:rPr>
              <w:t>0</w:t>
            </w:r>
          </w:p>
        </w:tc>
        <w:tc>
          <w:tcPr>
            <w:tcW w:w="733" w:type="dxa"/>
            <w:vAlign w:val="center"/>
          </w:tcPr>
          <w:p w:rsidR="00A91132" w:rsidRPr="00702BE1" w:rsidRDefault="00702BE1" w:rsidP="00C61D6E">
            <w:pPr>
              <w:jc w:val="center"/>
              <w:rPr>
                <w:rFonts w:ascii="Arial" w:hAnsi="Arial" w:cs="Arial"/>
                <w:sz w:val="18"/>
                <w:szCs w:val="18"/>
              </w:rPr>
            </w:pPr>
            <w:r w:rsidRPr="00702BE1">
              <w:rPr>
                <w:rFonts w:ascii="Arial" w:hAnsi="Arial" w:cs="Arial"/>
                <w:sz w:val="18"/>
                <w:szCs w:val="18"/>
              </w:rPr>
              <w:t>0,27</w:t>
            </w:r>
          </w:p>
        </w:tc>
        <w:tc>
          <w:tcPr>
            <w:tcW w:w="709" w:type="dxa"/>
            <w:vAlign w:val="center"/>
          </w:tcPr>
          <w:p w:rsidR="00A91132" w:rsidRPr="00702BE1" w:rsidRDefault="00702BE1" w:rsidP="00C61D6E">
            <w:pPr>
              <w:jc w:val="center"/>
              <w:rPr>
                <w:rFonts w:ascii="Arial" w:hAnsi="Arial" w:cs="Arial"/>
                <w:sz w:val="18"/>
                <w:szCs w:val="18"/>
              </w:rPr>
            </w:pPr>
            <w:r w:rsidRPr="00702BE1">
              <w:rPr>
                <w:rFonts w:ascii="Arial" w:hAnsi="Arial" w:cs="Arial"/>
                <w:sz w:val="18"/>
                <w:szCs w:val="18"/>
              </w:rPr>
              <w:t>0,33</w:t>
            </w:r>
          </w:p>
        </w:tc>
      </w:tr>
    </w:tbl>
    <w:p w:rsidR="005E03EC"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5E03EC"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Pr>
          <w:b/>
          <w:snapToGrid w:val="0"/>
        </w:rPr>
        <w:t>Výkon v kW</w:t>
      </w:r>
    </w:p>
    <w:p w:rsidR="005E03EC"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1"/>
        <w:gridCol w:w="1193"/>
        <w:gridCol w:w="5060"/>
        <w:gridCol w:w="1519"/>
        <w:gridCol w:w="1735"/>
        <w:gridCol w:w="1893"/>
        <w:gridCol w:w="1735"/>
      </w:tblGrid>
      <w:tr w:rsidR="005E03EC" w:rsidRPr="00D6732D" w:rsidTr="002D4D83">
        <w:trPr>
          <w:trHeight w:val="300"/>
          <w:tblHeader/>
          <w:jc w:val="center"/>
        </w:trPr>
        <w:tc>
          <w:tcPr>
            <w:tcW w:w="1152" w:type="dxa"/>
            <w:shd w:val="clear" w:color="auto" w:fill="BFBFBF"/>
            <w:noWrap/>
            <w:vAlign w:val="center"/>
            <w:hideMark/>
          </w:tcPr>
          <w:p w:rsidR="005E03EC" w:rsidRPr="00D6732D" w:rsidRDefault="005E03EC" w:rsidP="002D4D83">
            <w:pPr>
              <w:jc w:val="center"/>
              <w:rPr>
                <w:rFonts w:ascii="Calibri" w:hAnsi="Calibri"/>
                <w:b/>
                <w:bCs/>
                <w:color w:val="000000"/>
                <w:sz w:val="18"/>
                <w:szCs w:val="18"/>
              </w:rPr>
            </w:pPr>
            <w:proofErr w:type="spellStart"/>
            <w:proofErr w:type="gramStart"/>
            <w:r>
              <w:rPr>
                <w:rFonts w:ascii="Calibri" w:hAnsi="Calibri"/>
                <w:b/>
                <w:bCs/>
                <w:color w:val="000000"/>
                <w:sz w:val="18"/>
                <w:szCs w:val="18"/>
              </w:rPr>
              <w:t>Poř.č</w:t>
            </w:r>
            <w:proofErr w:type="spellEnd"/>
            <w:r>
              <w:rPr>
                <w:rFonts w:ascii="Calibri" w:hAnsi="Calibri"/>
                <w:b/>
                <w:bCs/>
                <w:color w:val="000000"/>
                <w:sz w:val="18"/>
                <w:szCs w:val="18"/>
              </w:rPr>
              <w:t>.</w:t>
            </w:r>
            <w:proofErr w:type="gramEnd"/>
          </w:p>
        </w:tc>
        <w:tc>
          <w:tcPr>
            <w:tcW w:w="1205" w:type="dxa"/>
            <w:shd w:val="clear" w:color="auto" w:fill="BFBFBF"/>
            <w:noWrap/>
            <w:vAlign w:val="center"/>
            <w:hideMark/>
          </w:tcPr>
          <w:p w:rsidR="005E03EC" w:rsidRPr="00D6732D" w:rsidRDefault="005E03EC" w:rsidP="002D4D83">
            <w:pPr>
              <w:jc w:val="center"/>
              <w:rPr>
                <w:rFonts w:ascii="Calibri" w:hAnsi="Calibri"/>
                <w:b/>
                <w:bCs/>
                <w:color w:val="000000"/>
                <w:sz w:val="18"/>
                <w:szCs w:val="18"/>
              </w:rPr>
            </w:pPr>
            <w:r>
              <w:rPr>
                <w:rFonts w:ascii="Calibri" w:hAnsi="Calibri"/>
                <w:b/>
                <w:bCs/>
                <w:color w:val="000000"/>
                <w:sz w:val="18"/>
                <w:szCs w:val="18"/>
              </w:rPr>
              <w:t xml:space="preserve">Kód </w:t>
            </w:r>
            <w:r w:rsidRPr="00D6732D">
              <w:rPr>
                <w:rFonts w:ascii="Calibri" w:hAnsi="Calibri"/>
                <w:b/>
                <w:bCs/>
                <w:color w:val="000000"/>
                <w:sz w:val="18"/>
                <w:szCs w:val="18"/>
              </w:rPr>
              <w:t>OM</w:t>
            </w:r>
          </w:p>
        </w:tc>
        <w:tc>
          <w:tcPr>
            <w:tcW w:w="5115" w:type="dxa"/>
            <w:shd w:val="clear" w:color="auto" w:fill="BFBFBF"/>
            <w:noWrap/>
            <w:vAlign w:val="center"/>
            <w:hideMark/>
          </w:tcPr>
          <w:p w:rsidR="005E03EC" w:rsidRPr="00D6732D" w:rsidRDefault="005E03EC" w:rsidP="002D4D83">
            <w:pPr>
              <w:jc w:val="center"/>
              <w:rPr>
                <w:rFonts w:ascii="Calibri" w:hAnsi="Calibri"/>
                <w:b/>
                <w:bCs/>
                <w:color w:val="000000"/>
                <w:sz w:val="18"/>
                <w:szCs w:val="18"/>
              </w:rPr>
            </w:pPr>
            <w:r w:rsidRPr="00D6732D">
              <w:rPr>
                <w:rFonts w:ascii="Calibri" w:hAnsi="Calibri"/>
                <w:b/>
                <w:bCs/>
                <w:color w:val="000000"/>
                <w:sz w:val="18"/>
                <w:szCs w:val="18"/>
              </w:rPr>
              <w:t>Jméno OM</w:t>
            </w:r>
          </w:p>
        </w:tc>
        <w:tc>
          <w:tcPr>
            <w:tcW w:w="1535" w:type="dxa"/>
            <w:shd w:val="clear" w:color="auto" w:fill="BFBFBF"/>
            <w:noWrap/>
            <w:vAlign w:val="center"/>
            <w:hideMark/>
          </w:tcPr>
          <w:p w:rsidR="005E03EC" w:rsidRPr="00D6732D" w:rsidRDefault="005E03EC" w:rsidP="002D4D83">
            <w:pPr>
              <w:jc w:val="center"/>
              <w:rPr>
                <w:rFonts w:ascii="Calibri" w:hAnsi="Calibri"/>
                <w:b/>
                <w:bCs/>
                <w:color w:val="000000"/>
                <w:sz w:val="18"/>
                <w:szCs w:val="18"/>
              </w:rPr>
            </w:pPr>
            <w:r w:rsidRPr="00D6732D">
              <w:rPr>
                <w:rFonts w:ascii="Calibri" w:hAnsi="Calibri"/>
                <w:b/>
                <w:bCs/>
                <w:color w:val="000000"/>
                <w:sz w:val="18"/>
                <w:szCs w:val="18"/>
              </w:rPr>
              <w:t>Topení</w:t>
            </w:r>
          </w:p>
        </w:tc>
        <w:tc>
          <w:tcPr>
            <w:tcW w:w="1753" w:type="dxa"/>
            <w:shd w:val="clear" w:color="auto" w:fill="BFBFBF"/>
            <w:noWrap/>
            <w:vAlign w:val="center"/>
            <w:hideMark/>
          </w:tcPr>
          <w:p w:rsidR="005E03EC" w:rsidRPr="00D6732D" w:rsidRDefault="005E03EC" w:rsidP="002D4D83">
            <w:pPr>
              <w:jc w:val="center"/>
              <w:rPr>
                <w:rFonts w:ascii="Calibri" w:hAnsi="Calibri"/>
                <w:b/>
                <w:bCs/>
                <w:color w:val="000000"/>
                <w:sz w:val="18"/>
                <w:szCs w:val="18"/>
              </w:rPr>
            </w:pPr>
            <w:r w:rsidRPr="00D6732D">
              <w:rPr>
                <w:rFonts w:ascii="Calibri" w:hAnsi="Calibri"/>
                <w:b/>
                <w:bCs/>
                <w:color w:val="000000"/>
                <w:sz w:val="18"/>
                <w:szCs w:val="18"/>
              </w:rPr>
              <w:t>TUV</w:t>
            </w:r>
          </w:p>
        </w:tc>
        <w:tc>
          <w:tcPr>
            <w:tcW w:w="1913" w:type="dxa"/>
            <w:shd w:val="clear" w:color="auto" w:fill="BFBFBF"/>
            <w:noWrap/>
            <w:vAlign w:val="center"/>
            <w:hideMark/>
          </w:tcPr>
          <w:p w:rsidR="005E03EC" w:rsidRPr="00D6732D" w:rsidRDefault="005E03EC" w:rsidP="002D4D83">
            <w:pPr>
              <w:jc w:val="center"/>
              <w:rPr>
                <w:rFonts w:ascii="Calibri" w:hAnsi="Calibri"/>
                <w:b/>
                <w:bCs/>
                <w:color w:val="000000"/>
                <w:sz w:val="18"/>
                <w:szCs w:val="18"/>
              </w:rPr>
            </w:pPr>
            <w:r w:rsidRPr="00D6732D">
              <w:rPr>
                <w:rFonts w:ascii="Calibri" w:hAnsi="Calibri"/>
                <w:b/>
                <w:bCs/>
                <w:color w:val="000000"/>
                <w:sz w:val="18"/>
                <w:szCs w:val="18"/>
              </w:rPr>
              <w:t>Technologie</w:t>
            </w:r>
          </w:p>
        </w:tc>
        <w:tc>
          <w:tcPr>
            <w:tcW w:w="1753" w:type="dxa"/>
            <w:shd w:val="clear" w:color="auto" w:fill="BFBFBF"/>
            <w:noWrap/>
            <w:vAlign w:val="center"/>
            <w:hideMark/>
          </w:tcPr>
          <w:p w:rsidR="005E03EC" w:rsidRPr="00D6732D" w:rsidRDefault="005E03EC" w:rsidP="002D4D83">
            <w:pPr>
              <w:jc w:val="center"/>
              <w:rPr>
                <w:rFonts w:ascii="Calibri" w:hAnsi="Calibri"/>
                <w:b/>
                <w:bCs/>
                <w:color w:val="000000"/>
                <w:sz w:val="18"/>
                <w:szCs w:val="18"/>
              </w:rPr>
            </w:pPr>
            <w:r w:rsidRPr="00D6732D">
              <w:rPr>
                <w:rFonts w:ascii="Calibri" w:hAnsi="Calibri"/>
                <w:b/>
                <w:bCs/>
                <w:color w:val="000000"/>
                <w:sz w:val="18"/>
                <w:szCs w:val="18"/>
              </w:rPr>
              <w:t>Celkem</w:t>
            </w:r>
          </w:p>
        </w:tc>
      </w:tr>
      <w:tr w:rsidR="005E03EC" w:rsidRPr="00D6732D" w:rsidTr="002D4D83">
        <w:trPr>
          <w:trHeight w:val="284"/>
          <w:jc w:val="center"/>
        </w:trPr>
        <w:tc>
          <w:tcPr>
            <w:tcW w:w="1152" w:type="dxa"/>
            <w:shd w:val="clear" w:color="auto" w:fill="auto"/>
            <w:noWrap/>
            <w:vAlign w:val="center"/>
            <w:hideMark/>
          </w:tcPr>
          <w:p w:rsidR="005E03EC" w:rsidRPr="00702BE1" w:rsidRDefault="005E03EC" w:rsidP="002D4D83">
            <w:pPr>
              <w:jc w:val="center"/>
              <w:rPr>
                <w:rFonts w:ascii="Arial" w:hAnsi="Arial" w:cs="Arial"/>
                <w:color w:val="000000"/>
                <w:sz w:val="18"/>
                <w:szCs w:val="18"/>
              </w:rPr>
            </w:pPr>
            <w:r w:rsidRPr="00702BE1">
              <w:rPr>
                <w:rFonts w:ascii="Arial" w:hAnsi="Arial" w:cs="Arial"/>
                <w:color w:val="000000"/>
                <w:sz w:val="18"/>
                <w:szCs w:val="18"/>
              </w:rPr>
              <w:t>1</w:t>
            </w:r>
          </w:p>
        </w:tc>
        <w:tc>
          <w:tcPr>
            <w:tcW w:w="1205" w:type="dxa"/>
            <w:shd w:val="clear" w:color="000000" w:fill="FFFFFF"/>
            <w:noWrap/>
            <w:vAlign w:val="center"/>
          </w:tcPr>
          <w:p w:rsidR="005E03EC" w:rsidRPr="00702BE1" w:rsidRDefault="00702BE1" w:rsidP="002D4D83">
            <w:pPr>
              <w:jc w:val="center"/>
              <w:rPr>
                <w:rFonts w:ascii="Arial" w:hAnsi="Arial" w:cs="Arial"/>
                <w:color w:val="000000"/>
                <w:sz w:val="18"/>
                <w:szCs w:val="18"/>
              </w:rPr>
            </w:pPr>
            <w:r w:rsidRPr="00702BE1">
              <w:rPr>
                <w:rFonts w:ascii="Arial" w:hAnsi="Arial" w:cs="Arial"/>
                <w:color w:val="000000"/>
                <w:sz w:val="18"/>
                <w:szCs w:val="18"/>
              </w:rPr>
              <w:t>0210</w:t>
            </w:r>
          </w:p>
        </w:tc>
        <w:tc>
          <w:tcPr>
            <w:tcW w:w="5115" w:type="dxa"/>
            <w:shd w:val="clear" w:color="000000" w:fill="FFFFFF"/>
            <w:noWrap/>
            <w:vAlign w:val="center"/>
          </w:tcPr>
          <w:p w:rsidR="005E03EC" w:rsidRPr="00702BE1" w:rsidRDefault="00702BE1" w:rsidP="002D4D83">
            <w:pPr>
              <w:jc w:val="center"/>
              <w:rPr>
                <w:rFonts w:ascii="Arial" w:hAnsi="Arial" w:cs="Arial"/>
                <w:color w:val="000000"/>
                <w:sz w:val="18"/>
                <w:szCs w:val="18"/>
              </w:rPr>
            </w:pPr>
            <w:r w:rsidRPr="00702BE1">
              <w:rPr>
                <w:rFonts w:ascii="Arial" w:hAnsi="Arial" w:cs="Arial"/>
                <w:sz w:val="18"/>
                <w:szCs w:val="18"/>
              </w:rPr>
              <w:t>B1 - Zlínský kraj</w:t>
            </w:r>
          </w:p>
        </w:tc>
        <w:tc>
          <w:tcPr>
            <w:tcW w:w="1535" w:type="dxa"/>
            <w:shd w:val="clear" w:color="auto" w:fill="auto"/>
            <w:noWrap/>
            <w:vAlign w:val="center"/>
          </w:tcPr>
          <w:p w:rsidR="005E03EC" w:rsidRPr="00702BE1" w:rsidRDefault="00702BE1" w:rsidP="002D4D83">
            <w:pPr>
              <w:jc w:val="center"/>
              <w:rPr>
                <w:rFonts w:ascii="Arial" w:hAnsi="Arial" w:cs="Arial"/>
                <w:color w:val="000000"/>
                <w:sz w:val="18"/>
                <w:szCs w:val="18"/>
              </w:rPr>
            </w:pPr>
            <w:r w:rsidRPr="00702BE1">
              <w:rPr>
                <w:rFonts w:ascii="Arial" w:hAnsi="Arial" w:cs="Arial"/>
                <w:color w:val="000000"/>
                <w:sz w:val="18"/>
                <w:szCs w:val="18"/>
              </w:rPr>
              <w:t>190</w:t>
            </w:r>
          </w:p>
        </w:tc>
        <w:tc>
          <w:tcPr>
            <w:tcW w:w="1753" w:type="dxa"/>
            <w:shd w:val="clear" w:color="auto" w:fill="auto"/>
            <w:vAlign w:val="center"/>
          </w:tcPr>
          <w:p w:rsidR="005E03EC" w:rsidRPr="00702BE1" w:rsidRDefault="00702BE1" w:rsidP="002D4D83">
            <w:pPr>
              <w:jc w:val="center"/>
              <w:rPr>
                <w:rFonts w:ascii="Arial" w:hAnsi="Arial" w:cs="Arial"/>
                <w:color w:val="000000"/>
                <w:sz w:val="18"/>
                <w:szCs w:val="18"/>
              </w:rPr>
            </w:pPr>
            <w:r w:rsidRPr="00702BE1">
              <w:rPr>
                <w:rFonts w:ascii="Arial" w:hAnsi="Arial" w:cs="Arial"/>
                <w:color w:val="000000"/>
                <w:sz w:val="18"/>
                <w:szCs w:val="18"/>
              </w:rPr>
              <w:t>22</w:t>
            </w:r>
          </w:p>
        </w:tc>
        <w:tc>
          <w:tcPr>
            <w:tcW w:w="1913" w:type="dxa"/>
            <w:shd w:val="clear" w:color="auto" w:fill="auto"/>
            <w:vAlign w:val="center"/>
          </w:tcPr>
          <w:p w:rsidR="005E03EC" w:rsidRPr="00702BE1" w:rsidRDefault="00702BE1" w:rsidP="002D4D83">
            <w:pPr>
              <w:jc w:val="center"/>
              <w:rPr>
                <w:rFonts w:ascii="Arial" w:hAnsi="Arial" w:cs="Arial"/>
                <w:color w:val="000000"/>
                <w:sz w:val="18"/>
                <w:szCs w:val="18"/>
              </w:rPr>
            </w:pPr>
            <w:r w:rsidRPr="00702BE1">
              <w:rPr>
                <w:rFonts w:ascii="Arial" w:hAnsi="Arial" w:cs="Arial"/>
                <w:color w:val="000000"/>
                <w:sz w:val="18"/>
                <w:szCs w:val="18"/>
              </w:rPr>
              <w:t>x</w:t>
            </w:r>
          </w:p>
        </w:tc>
        <w:tc>
          <w:tcPr>
            <w:tcW w:w="1753" w:type="dxa"/>
            <w:shd w:val="clear" w:color="auto" w:fill="auto"/>
            <w:noWrap/>
            <w:vAlign w:val="center"/>
          </w:tcPr>
          <w:p w:rsidR="005E03EC" w:rsidRPr="00702BE1" w:rsidRDefault="00702BE1" w:rsidP="002D4D83">
            <w:pPr>
              <w:jc w:val="center"/>
              <w:rPr>
                <w:rFonts w:ascii="Arial" w:hAnsi="Arial" w:cs="Arial"/>
                <w:color w:val="000000"/>
                <w:sz w:val="18"/>
                <w:szCs w:val="18"/>
              </w:rPr>
            </w:pPr>
            <w:r w:rsidRPr="00702BE1">
              <w:rPr>
                <w:rFonts w:ascii="Arial" w:hAnsi="Arial" w:cs="Arial"/>
                <w:color w:val="000000"/>
                <w:sz w:val="18"/>
                <w:szCs w:val="18"/>
              </w:rPr>
              <w:t>212</w:t>
            </w:r>
          </w:p>
        </w:tc>
      </w:tr>
      <w:tr w:rsidR="00702BE1" w:rsidRPr="00D6732D" w:rsidTr="002D4D83">
        <w:trPr>
          <w:trHeight w:val="284"/>
          <w:jc w:val="center"/>
        </w:trPr>
        <w:tc>
          <w:tcPr>
            <w:tcW w:w="1152" w:type="dxa"/>
            <w:shd w:val="clear" w:color="auto" w:fill="auto"/>
            <w:noWrap/>
            <w:vAlign w:val="center"/>
            <w:hideMark/>
          </w:tcPr>
          <w:p w:rsidR="00702BE1" w:rsidRPr="00702BE1" w:rsidRDefault="00702BE1" w:rsidP="002D4D83">
            <w:pPr>
              <w:jc w:val="center"/>
              <w:rPr>
                <w:rFonts w:ascii="Arial" w:hAnsi="Arial" w:cs="Arial"/>
                <w:color w:val="000000"/>
                <w:sz w:val="18"/>
                <w:szCs w:val="18"/>
              </w:rPr>
            </w:pPr>
            <w:r w:rsidRPr="00702BE1">
              <w:rPr>
                <w:rFonts w:ascii="Arial" w:hAnsi="Arial" w:cs="Arial"/>
                <w:color w:val="000000"/>
                <w:sz w:val="18"/>
                <w:szCs w:val="18"/>
              </w:rPr>
              <w:t>2</w:t>
            </w:r>
          </w:p>
        </w:tc>
        <w:tc>
          <w:tcPr>
            <w:tcW w:w="1205" w:type="dxa"/>
            <w:shd w:val="clear" w:color="000000" w:fill="FFFFFF"/>
            <w:noWrap/>
            <w:vAlign w:val="center"/>
          </w:tcPr>
          <w:p w:rsidR="00702BE1" w:rsidRPr="00702BE1" w:rsidRDefault="00702BE1" w:rsidP="002D4D83">
            <w:pPr>
              <w:jc w:val="center"/>
              <w:rPr>
                <w:rFonts w:ascii="Arial" w:hAnsi="Arial" w:cs="Arial"/>
                <w:color w:val="000000"/>
                <w:sz w:val="18"/>
                <w:szCs w:val="18"/>
              </w:rPr>
            </w:pPr>
            <w:r w:rsidRPr="00702BE1">
              <w:rPr>
                <w:rFonts w:ascii="Arial" w:hAnsi="Arial" w:cs="Arial"/>
                <w:color w:val="000000"/>
                <w:sz w:val="18"/>
                <w:szCs w:val="18"/>
              </w:rPr>
              <w:t>0232</w:t>
            </w:r>
          </w:p>
        </w:tc>
        <w:tc>
          <w:tcPr>
            <w:tcW w:w="5115" w:type="dxa"/>
            <w:shd w:val="clear" w:color="000000" w:fill="FFFFFF"/>
            <w:noWrap/>
            <w:vAlign w:val="center"/>
          </w:tcPr>
          <w:p w:rsidR="00702BE1" w:rsidRPr="00702BE1" w:rsidRDefault="00702BE1" w:rsidP="002D4D83">
            <w:pPr>
              <w:jc w:val="center"/>
              <w:rPr>
                <w:rFonts w:ascii="Arial" w:hAnsi="Arial" w:cs="Arial"/>
                <w:color w:val="000000"/>
                <w:sz w:val="18"/>
                <w:szCs w:val="18"/>
              </w:rPr>
            </w:pPr>
            <w:r w:rsidRPr="00702BE1">
              <w:rPr>
                <w:rFonts w:ascii="Arial" w:eastAsia="Arial Unicode MS" w:hAnsi="Arial" w:cs="Arial"/>
                <w:sz w:val="18"/>
                <w:szCs w:val="18"/>
              </w:rPr>
              <w:t>B21 - Zlínský kraj</w:t>
            </w:r>
          </w:p>
        </w:tc>
        <w:tc>
          <w:tcPr>
            <w:tcW w:w="1535" w:type="dxa"/>
            <w:vMerge w:val="restart"/>
            <w:shd w:val="clear" w:color="auto" w:fill="auto"/>
            <w:noWrap/>
            <w:vAlign w:val="center"/>
          </w:tcPr>
          <w:p w:rsidR="00702BE1" w:rsidRPr="00702BE1" w:rsidRDefault="00702BE1" w:rsidP="002D4D83">
            <w:pPr>
              <w:jc w:val="center"/>
              <w:rPr>
                <w:rFonts w:ascii="Arial" w:hAnsi="Arial" w:cs="Arial"/>
                <w:color w:val="000000"/>
                <w:sz w:val="18"/>
                <w:szCs w:val="18"/>
              </w:rPr>
            </w:pPr>
            <w:r w:rsidRPr="00702BE1">
              <w:rPr>
                <w:rFonts w:ascii="Arial" w:hAnsi="Arial" w:cs="Arial"/>
                <w:color w:val="000000"/>
                <w:sz w:val="18"/>
                <w:szCs w:val="18"/>
              </w:rPr>
              <w:t>2985</w:t>
            </w:r>
          </w:p>
        </w:tc>
        <w:tc>
          <w:tcPr>
            <w:tcW w:w="1753" w:type="dxa"/>
            <w:vMerge w:val="restart"/>
            <w:shd w:val="clear" w:color="auto" w:fill="auto"/>
            <w:vAlign w:val="center"/>
          </w:tcPr>
          <w:p w:rsidR="00702BE1" w:rsidRPr="00702BE1" w:rsidRDefault="00702BE1" w:rsidP="002D4D83">
            <w:pPr>
              <w:jc w:val="center"/>
              <w:rPr>
                <w:rFonts w:ascii="Arial" w:hAnsi="Arial" w:cs="Arial"/>
                <w:color w:val="000000"/>
                <w:sz w:val="18"/>
                <w:szCs w:val="18"/>
              </w:rPr>
            </w:pPr>
            <w:r w:rsidRPr="00702BE1">
              <w:rPr>
                <w:rFonts w:ascii="Arial" w:hAnsi="Arial" w:cs="Arial"/>
                <w:color w:val="000000"/>
                <w:sz w:val="18"/>
                <w:szCs w:val="18"/>
              </w:rPr>
              <w:t>251</w:t>
            </w:r>
          </w:p>
        </w:tc>
        <w:tc>
          <w:tcPr>
            <w:tcW w:w="1913" w:type="dxa"/>
            <w:vMerge w:val="restart"/>
            <w:shd w:val="clear" w:color="auto" w:fill="auto"/>
            <w:vAlign w:val="center"/>
          </w:tcPr>
          <w:p w:rsidR="00702BE1" w:rsidRPr="00702BE1" w:rsidRDefault="00702BE1" w:rsidP="002D4D83">
            <w:pPr>
              <w:jc w:val="center"/>
              <w:rPr>
                <w:rFonts w:ascii="Arial" w:hAnsi="Arial" w:cs="Arial"/>
                <w:color w:val="000000"/>
                <w:sz w:val="18"/>
                <w:szCs w:val="18"/>
              </w:rPr>
            </w:pPr>
            <w:r w:rsidRPr="00702BE1">
              <w:rPr>
                <w:rFonts w:ascii="Arial" w:hAnsi="Arial" w:cs="Arial"/>
                <w:color w:val="000000"/>
                <w:sz w:val="18"/>
                <w:szCs w:val="18"/>
              </w:rPr>
              <w:t>x</w:t>
            </w:r>
          </w:p>
        </w:tc>
        <w:tc>
          <w:tcPr>
            <w:tcW w:w="1753" w:type="dxa"/>
            <w:vMerge w:val="restart"/>
            <w:shd w:val="clear" w:color="auto" w:fill="auto"/>
            <w:noWrap/>
            <w:vAlign w:val="center"/>
          </w:tcPr>
          <w:p w:rsidR="00702BE1" w:rsidRPr="00702BE1" w:rsidRDefault="00702BE1" w:rsidP="002D4D83">
            <w:pPr>
              <w:jc w:val="center"/>
              <w:rPr>
                <w:rFonts w:ascii="Arial" w:hAnsi="Arial" w:cs="Arial"/>
                <w:color w:val="000000"/>
                <w:sz w:val="18"/>
                <w:szCs w:val="18"/>
              </w:rPr>
            </w:pPr>
            <w:r w:rsidRPr="00702BE1">
              <w:rPr>
                <w:rFonts w:ascii="Arial" w:hAnsi="Arial" w:cs="Arial"/>
                <w:color w:val="000000"/>
                <w:sz w:val="18"/>
                <w:szCs w:val="18"/>
              </w:rPr>
              <w:t>3236</w:t>
            </w:r>
          </w:p>
        </w:tc>
      </w:tr>
      <w:tr w:rsidR="00702BE1" w:rsidRPr="00D6732D" w:rsidTr="002D4D83">
        <w:trPr>
          <w:trHeight w:val="284"/>
          <w:jc w:val="center"/>
        </w:trPr>
        <w:tc>
          <w:tcPr>
            <w:tcW w:w="1152" w:type="dxa"/>
            <w:shd w:val="clear" w:color="auto" w:fill="auto"/>
            <w:noWrap/>
            <w:vAlign w:val="center"/>
            <w:hideMark/>
          </w:tcPr>
          <w:p w:rsidR="00702BE1" w:rsidRPr="00702BE1" w:rsidRDefault="00702BE1" w:rsidP="002D4D83">
            <w:pPr>
              <w:jc w:val="center"/>
              <w:rPr>
                <w:rFonts w:ascii="Arial" w:hAnsi="Arial" w:cs="Arial"/>
                <w:color w:val="000000"/>
                <w:sz w:val="18"/>
                <w:szCs w:val="18"/>
              </w:rPr>
            </w:pPr>
            <w:r w:rsidRPr="00702BE1">
              <w:rPr>
                <w:rFonts w:ascii="Arial" w:hAnsi="Arial" w:cs="Arial"/>
                <w:color w:val="000000"/>
                <w:sz w:val="18"/>
                <w:szCs w:val="18"/>
              </w:rPr>
              <w:t>3</w:t>
            </w:r>
          </w:p>
        </w:tc>
        <w:tc>
          <w:tcPr>
            <w:tcW w:w="1205" w:type="dxa"/>
            <w:shd w:val="clear" w:color="000000" w:fill="FFFFFF"/>
            <w:noWrap/>
            <w:vAlign w:val="center"/>
          </w:tcPr>
          <w:p w:rsidR="00702BE1" w:rsidRPr="00702BE1" w:rsidRDefault="00702BE1" w:rsidP="002D4D83">
            <w:pPr>
              <w:jc w:val="center"/>
              <w:rPr>
                <w:rFonts w:ascii="Arial" w:hAnsi="Arial" w:cs="Arial"/>
                <w:color w:val="000000"/>
                <w:sz w:val="18"/>
                <w:szCs w:val="18"/>
              </w:rPr>
            </w:pPr>
            <w:r w:rsidRPr="00702BE1">
              <w:rPr>
                <w:rFonts w:ascii="Arial" w:hAnsi="Arial" w:cs="Arial"/>
                <w:color w:val="000000"/>
                <w:sz w:val="18"/>
                <w:szCs w:val="18"/>
              </w:rPr>
              <w:t>0233</w:t>
            </w:r>
          </w:p>
        </w:tc>
        <w:tc>
          <w:tcPr>
            <w:tcW w:w="5115" w:type="dxa"/>
            <w:shd w:val="clear" w:color="000000" w:fill="FFFFFF"/>
            <w:noWrap/>
            <w:vAlign w:val="center"/>
          </w:tcPr>
          <w:p w:rsidR="00702BE1" w:rsidRPr="00702BE1" w:rsidRDefault="00702BE1" w:rsidP="002D4D83">
            <w:pPr>
              <w:jc w:val="center"/>
              <w:rPr>
                <w:rFonts w:ascii="Arial" w:hAnsi="Arial" w:cs="Arial"/>
                <w:color w:val="000000"/>
                <w:sz w:val="18"/>
                <w:szCs w:val="18"/>
              </w:rPr>
            </w:pPr>
            <w:r w:rsidRPr="00702BE1">
              <w:rPr>
                <w:rFonts w:ascii="Arial" w:eastAsia="Arial Unicode MS" w:hAnsi="Arial" w:cs="Arial"/>
                <w:sz w:val="18"/>
                <w:szCs w:val="18"/>
              </w:rPr>
              <w:t>B21 - Zlínský kraj léto</w:t>
            </w:r>
          </w:p>
        </w:tc>
        <w:tc>
          <w:tcPr>
            <w:tcW w:w="1535" w:type="dxa"/>
            <w:vMerge/>
            <w:shd w:val="clear" w:color="auto" w:fill="auto"/>
            <w:noWrap/>
            <w:vAlign w:val="center"/>
          </w:tcPr>
          <w:p w:rsidR="00702BE1" w:rsidRPr="00702BE1" w:rsidRDefault="00702BE1" w:rsidP="002D4D83">
            <w:pPr>
              <w:jc w:val="center"/>
              <w:rPr>
                <w:rFonts w:ascii="Arial" w:hAnsi="Arial" w:cs="Arial"/>
                <w:color w:val="000000"/>
                <w:sz w:val="18"/>
                <w:szCs w:val="18"/>
              </w:rPr>
            </w:pPr>
          </w:p>
        </w:tc>
        <w:tc>
          <w:tcPr>
            <w:tcW w:w="1753" w:type="dxa"/>
            <w:vMerge/>
            <w:shd w:val="clear" w:color="auto" w:fill="auto"/>
            <w:vAlign w:val="center"/>
          </w:tcPr>
          <w:p w:rsidR="00702BE1" w:rsidRPr="00702BE1" w:rsidRDefault="00702BE1" w:rsidP="002D4D83">
            <w:pPr>
              <w:jc w:val="center"/>
              <w:rPr>
                <w:rFonts w:ascii="Arial" w:hAnsi="Arial" w:cs="Arial"/>
                <w:color w:val="000000"/>
                <w:sz w:val="18"/>
                <w:szCs w:val="18"/>
              </w:rPr>
            </w:pPr>
          </w:p>
        </w:tc>
        <w:tc>
          <w:tcPr>
            <w:tcW w:w="1913" w:type="dxa"/>
            <w:vMerge/>
            <w:shd w:val="clear" w:color="auto" w:fill="auto"/>
            <w:vAlign w:val="center"/>
          </w:tcPr>
          <w:p w:rsidR="00702BE1" w:rsidRPr="00702BE1" w:rsidRDefault="00702BE1" w:rsidP="002D4D83">
            <w:pPr>
              <w:jc w:val="center"/>
              <w:rPr>
                <w:rFonts w:ascii="Arial" w:hAnsi="Arial" w:cs="Arial"/>
                <w:color w:val="000000"/>
                <w:sz w:val="18"/>
                <w:szCs w:val="18"/>
              </w:rPr>
            </w:pPr>
          </w:p>
        </w:tc>
        <w:tc>
          <w:tcPr>
            <w:tcW w:w="1753" w:type="dxa"/>
            <w:vMerge/>
            <w:shd w:val="clear" w:color="auto" w:fill="auto"/>
            <w:noWrap/>
            <w:vAlign w:val="center"/>
          </w:tcPr>
          <w:p w:rsidR="00702BE1" w:rsidRPr="00702BE1" w:rsidRDefault="00702BE1" w:rsidP="002D4D83">
            <w:pPr>
              <w:jc w:val="center"/>
              <w:rPr>
                <w:rFonts w:ascii="Arial" w:hAnsi="Arial" w:cs="Arial"/>
                <w:color w:val="000000"/>
                <w:sz w:val="18"/>
                <w:szCs w:val="18"/>
              </w:rPr>
            </w:pPr>
          </w:p>
        </w:tc>
      </w:tr>
    </w:tbl>
    <w:p w:rsidR="005E03EC" w:rsidRDefault="005E03EC" w:rsidP="005E03EC">
      <w:pPr>
        <w:rPr>
          <w:b/>
          <w:snapToGrid w:val="0"/>
        </w:rPr>
      </w:pPr>
    </w:p>
    <w:p w:rsidR="005E03EC"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Pr>
          <w:b/>
          <w:snapToGrid w:val="0"/>
        </w:rPr>
        <w:t>Rozpis odběrů/měsíc (%)</w:t>
      </w:r>
    </w:p>
    <w:p w:rsidR="005E03EC"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bl>
      <w:tblPr>
        <w:tblW w:w="5036" w:type="pct"/>
        <w:jc w:val="center"/>
        <w:tblCellMar>
          <w:left w:w="70" w:type="dxa"/>
          <w:right w:w="70" w:type="dxa"/>
        </w:tblCellMar>
        <w:tblLook w:val="04A0" w:firstRow="1" w:lastRow="0" w:firstColumn="1" w:lastColumn="0" w:noHBand="0" w:noVBand="1"/>
      </w:tblPr>
      <w:tblGrid>
        <w:gridCol w:w="1066"/>
        <w:gridCol w:w="916"/>
        <w:gridCol w:w="907"/>
        <w:gridCol w:w="907"/>
        <w:gridCol w:w="907"/>
        <w:gridCol w:w="907"/>
        <w:gridCol w:w="907"/>
        <w:gridCol w:w="907"/>
        <w:gridCol w:w="907"/>
        <w:gridCol w:w="907"/>
        <w:gridCol w:w="907"/>
        <w:gridCol w:w="907"/>
        <w:gridCol w:w="907"/>
        <w:gridCol w:w="909"/>
        <w:gridCol w:w="290"/>
        <w:gridCol w:w="1372"/>
      </w:tblGrid>
      <w:tr w:rsidR="005E03EC" w:rsidRPr="00D6732D" w:rsidTr="002D4D83">
        <w:trPr>
          <w:trHeight w:val="631"/>
          <w:tblHeader/>
          <w:jc w:val="center"/>
        </w:trPr>
        <w:tc>
          <w:tcPr>
            <w:tcW w:w="1066" w:type="dxa"/>
            <w:tcBorders>
              <w:top w:val="single" w:sz="4" w:space="0" w:color="auto"/>
              <w:left w:val="single" w:sz="4" w:space="0" w:color="auto"/>
              <w:right w:val="single" w:sz="4" w:space="0" w:color="auto"/>
            </w:tcBorders>
            <w:shd w:val="clear" w:color="auto" w:fill="BFBFBF"/>
            <w:noWrap/>
            <w:vAlign w:val="center"/>
            <w:hideMark/>
          </w:tcPr>
          <w:p w:rsidR="005E03EC" w:rsidRPr="0062583B" w:rsidRDefault="005E03EC" w:rsidP="002D4D83">
            <w:pPr>
              <w:jc w:val="center"/>
              <w:rPr>
                <w:rFonts w:ascii="Arial" w:hAnsi="Arial" w:cs="Arial"/>
                <w:b/>
                <w:bCs/>
                <w:color w:val="000000"/>
                <w:sz w:val="18"/>
                <w:szCs w:val="18"/>
              </w:rPr>
            </w:pPr>
            <w:proofErr w:type="spellStart"/>
            <w:proofErr w:type="gramStart"/>
            <w:r w:rsidRPr="0062583B">
              <w:rPr>
                <w:rFonts w:ascii="Arial" w:hAnsi="Arial" w:cs="Arial"/>
                <w:b/>
                <w:bCs/>
                <w:color w:val="000000"/>
                <w:sz w:val="18"/>
                <w:szCs w:val="18"/>
              </w:rPr>
              <w:t>Poř.č</w:t>
            </w:r>
            <w:proofErr w:type="spellEnd"/>
            <w:r w:rsidRPr="0062583B">
              <w:rPr>
                <w:rFonts w:ascii="Arial" w:hAnsi="Arial" w:cs="Arial"/>
                <w:b/>
                <w:bCs/>
                <w:color w:val="000000"/>
                <w:sz w:val="18"/>
                <w:szCs w:val="18"/>
              </w:rPr>
              <w:t>.</w:t>
            </w:r>
            <w:proofErr w:type="gramEnd"/>
          </w:p>
        </w:tc>
        <w:tc>
          <w:tcPr>
            <w:tcW w:w="916" w:type="dxa"/>
            <w:tcBorders>
              <w:top w:val="single" w:sz="4" w:space="0" w:color="auto"/>
              <w:left w:val="nil"/>
              <w:right w:val="nil"/>
            </w:tcBorders>
            <w:shd w:val="clear" w:color="auto" w:fill="BFBFBF"/>
            <w:noWrap/>
            <w:vAlign w:val="center"/>
            <w:hideMark/>
          </w:tcPr>
          <w:p w:rsidR="005E03EC" w:rsidRPr="0062583B" w:rsidRDefault="005E03EC" w:rsidP="002D4D83">
            <w:pPr>
              <w:jc w:val="center"/>
              <w:rPr>
                <w:rFonts w:ascii="Arial" w:hAnsi="Arial" w:cs="Arial"/>
                <w:b/>
                <w:bCs/>
                <w:color w:val="000000"/>
                <w:sz w:val="18"/>
                <w:szCs w:val="18"/>
              </w:rPr>
            </w:pPr>
            <w:r w:rsidRPr="0062583B">
              <w:rPr>
                <w:rFonts w:ascii="Arial" w:hAnsi="Arial" w:cs="Arial"/>
                <w:b/>
                <w:bCs/>
                <w:color w:val="000000"/>
                <w:sz w:val="18"/>
                <w:szCs w:val="18"/>
              </w:rPr>
              <w:t>Kód OM</w:t>
            </w:r>
          </w:p>
        </w:tc>
        <w:tc>
          <w:tcPr>
            <w:tcW w:w="907" w:type="dxa"/>
            <w:tcBorders>
              <w:top w:val="single" w:sz="4" w:space="0" w:color="auto"/>
              <w:left w:val="single" w:sz="4" w:space="0" w:color="auto"/>
              <w:right w:val="single" w:sz="4" w:space="0" w:color="auto"/>
            </w:tcBorders>
            <w:shd w:val="clear" w:color="auto" w:fill="BFBFBF"/>
            <w:noWrap/>
            <w:vAlign w:val="center"/>
            <w:hideMark/>
          </w:tcPr>
          <w:p w:rsidR="005E03EC" w:rsidRPr="0062583B" w:rsidRDefault="005E03EC" w:rsidP="002D4D83">
            <w:pPr>
              <w:jc w:val="center"/>
              <w:rPr>
                <w:rFonts w:ascii="Arial" w:hAnsi="Arial" w:cs="Arial"/>
                <w:b/>
                <w:bCs/>
                <w:color w:val="000000"/>
                <w:sz w:val="18"/>
                <w:szCs w:val="18"/>
              </w:rPr>
            </w:pPr>
            <w:r w:rsidRPr="0062583B">
              <w:rPr>
                <w:rFonts w:ascii="Arial" w:hAnsi="Arial" w:cs="Arial"/>
                <w:b/>
                <w:bCs/>
                <w:color w:val="000000"/>
                <w:sz w:val="18"/>
                <w:szCs w:val="18"/>
              </w:rPr>
              <w:t>I</w:t>
            </w:r>
          </w:p>
        </w:tc>
        <w:tc>
          <w:tcPr>
            <w:tcW w:w="907" w:type="dxa"/>
            <w:tcBorders>
              <w:top w:val="single" w:sz="4" w:space="0" w:color="auto"/>
              <w:left w:val="nil"/>
              <w:right w:val="nil"/>
            </w:tcBorders>
            <w:shd w:val="clear" w:color="auto" w:fill="BFBFBF"/>
            <w:noWrap/>
            <w:vAlign w:val="center"/>
            <w:hideMark/>
          </w:tcPr>
          <w:p w:rsidR="005E03EC" w:rsidRPr="0062583B" w:rsidRDefault="005E03EC" w:rsidP="002D4D83">
            <w:pPr>
              <w:jc w:val="center"/>
              <w:rPr>
                <w:rFonts w:ascii="Arial" w:hAnsi="Arial" w:cs="Arial"/>
                <w:b/>
                <w:bCs/>
                <w:color w:val="000000"/>
                <w:sz w:val="18"/>
                <w:szCs w:val="18"/>
              </w:rPr>
            </w:pPr>
            <w:r w:rsidRPr="0062583B">
              <w:rPr>
                <w:rFonts w:ascii="Arial" w:hAnsi="Arial" w:cs="Arial"/>
                <w:b/>
                <w:bCs/>
                <w:color w:val="000000"/>
                <w:sz w:val="18"/>
                <w:szCs w:val="18"/>
              </w:rPr>
              <w:t>II</w:t>
            </w:r>
          </w:p>
        </w:tc>
        <w:tc>
          <w:tcPr>
            <w:tcW w:w="907" w:type="dxa"/>
            <w:tcBorders>
              <w:top w:val="single" w:sz="4" w:space="0" w:color="auto"/>
              <w:left w:val="single" w:sz="4" w:space="0" w:color="auto"/>
              <w:right w:val="single" w:sz="4" w:space="0" w:color="auto"/>
            </w:tcBorders>
            <w:shd w:val="clear" w:color="auto" w:fill="BFBFBF"/>
            <w:noWrap/>
            <w:vAlign w:val="center"/>
            <w:hideMark/>
          </w:tcPr>
          <w:p w:rsidR="005E03EC" w:rsidRPr="0062583B" w:rsidRDefault="005E03EC" w:rsidP="002D4D83">
            <w:pPr>
              <w:jc w:val="center"/>
              <w:rPr>
                <w:rFonts w:ascii="Arial" w:hAnsi="Arial" w:cs="Arial"/>
                <w:b/>
                <w:bCs/>
                <w:color w:val="000000"/>
                <w:sz w:val="18"/>
                <w:szCs w:val="18"/>
              </w:rPr>
            </w:pPr>
            <w:r w:rsidRPr="0062583B">
              <w:rPr>
                <w:rFonts w:ascii="Arial" w:hAnsi="Arial" w:cs="Arial"/>
                <w:b/>
                <w:bCs/>
                <w:color w:val="000000"/>
                <w:sz w:val="18"/>
                <w:szCs w:val="18"/>
              </w:rPr>
              <w:t>III</w:t>
            </w:r>
          </w:p>
        </w:tc>
        <w:tc>
          <w:tcPr>
            <w:tcW w:w="907" w:type="dxa"/>
            <w:tcBorders>
              <w:top w:val="single" w:sz="4" w:space="0" w:color="auto"/>
              <w:left w:val="nil"/>
              <w:right w:val="nil"/>
            </w:tcBorders>
            <w:shd w:val="clear" w:color="auto" w:fill="BFBFBF"/>
            <w:noWrap/>
            <w:vAlign w:val="center"/>
            <w:hideMark/>
          </w:tcPr>
          <w:p w:rsidR="005E03EC" w:rsidRPr="0062583B" w:rsidRDefault="005E03EC" w:rsidP="002D4D83">
            <w:pPr>
              <w:jc w:val="center"/>
              <w:rPr>
                <w:rFonts w:ascii="Arial" w:hAnsi="Arial" w:cs="Arial"/>
                <w:b/>
                <w:bCs/>
                <w:color w:val="000000"/>
                <w:sz w:val="18"/>
                <w:szCs w:val="18"/>
              </w:rPr>
            </w:pPr>
            <w:r w:rsidRPr="0062583B">
              <w:rPr>
                <w:rFonts w:ascii="Arial" w:hAnsi="Arial" w:cs="Arial"/>
                <w:b/>
                <w:bCs/>
                <w:color w:val="000000"/>
                <w:sz w:val="18"/>
                <w:szCs w:val="18"/>
              </w:rPr>
              <w:t>IV</w:t>
            </w:r>
          </w:p>
        </w:tc>
        <w:tc>
          <w:tcPr>
            <w:tcW w:w="907" w:type="dxa"/>
            <w:tcBorders>
              <w:top w:val="single" w:sz="4" w:space="0" w:color="auto"/>
              <w:left w:val="single" w:sz="4" w:space="0" w:color="auto"/>
              <w:right w:val="single" w:sz="4" w:space="0" w:color="auto"/>
            </w:tcBorders>
            <w:shd w:val="clear" w:color="auto" w:fill="BFBFBF"/>
            <w:noWrap/>
            <w:vAlign w:val="center"/>
            <w:hideMark/>
          </w:tcPr>
          <w:p w:rsidR="005E03EC" w:rsidRPr="0062583B" w:rsidRDefault="005E03EC" w:rsidP="002D4D83">
            <w:pPr>
              <w:jc w:val="center"/>
              <w:rPr>
                <w:rFonts w:ascii="Arial" w:hAnsi="Arial" w:cs="Arial"/>
                <w:b/>
                <w:bCs/>
                <w:color w:val="000000"/>
                <w:sz w:val="18"/>
                <w:szCs w:val="18"/>
              </w:rPr>
            </w:pPr>
            <w:r w:rsidRPr="0062583B">
              <w:rPr>
                <w:rFonts w:ascii="Arial" w:hAnsi="Arial" w:cs="Arial"/>
                <w:b/>
                <w:bCs/>
                <w:color w:val="000000"/>
                <w:sz w:val="18"/>
                <w:szCs w:val="18"/>
              </w:rPr>
              <w:t>V</w:t>
            </w:r>
          </w:p>
        </w:tc>
        <w:tc>
          <w:tcPr>
            <w:tcW w:w="907" w:type="dxa"/>
            <w:tcBorders>
              <w:top w:val="single" w:sz="4" w:space="0" w:color="auto"/>
              <w:left w:val="nil"/>
              <w:right w:val="single" w:sz="4" w:space="0" w:color="auto"/>
            </w:tcBorders>
            <w:shd w:val="clear" w:color="auto" w:fill="BFBFBF"/>
            <w:noWrap/>
            <w:vAlign w:val="center"/>
            <w:hideMark/>
          </w:tcPr>
          <w:p w:rsidR="005E03EC" w:rsidRPr="0062583B" w:rsidRDefault="005E03EC" w:rsidP="002D4D83">
            <w:pPr>
              <w:jc w:val="center"/>
              <w:rPr>
                <w:rFonts w:ascii="Arial" w:hAnsi="Arial" w:cs="Arial"/>
                <w:b/>
                <w:bCs/>
                <w:color w:val="000000"/>
                <w:sz w:val="18"/>
                <w:szCs w:val="18"/>
              </w:rPr>
            </w:pPr>
            <w:r w:rsidRPr="0062583B">
              <w:rPr>
                <w:rFonts w:ascii="Arial" w:hAnsi="Arial" w:cs="Arial"/>
                <w:b/>
                <w:bCs/>
                <w:color w:val="000000"/>
                <w:sz w:val="18"/>
                <w:szCs w:val="18"/>
              </w:rPr>
              <w:t>VI</w:t>
            </w:r>
          </w:p>
        </w:tc>
        <w:tc>
          <w:tcPr>
            <w:tcW w:w="907" w:type="dxa"/>
            <w:tcBorders>
              <w:top w:val="single" w:sz="4" w:space="0" w:color="auto"/>
              <w:left w:val="nil"/>
              <w:right w:val="nil"/>
            </w:tcBorders>
            <w:shd w:val="clear" w:color="auto" w:fill="BFBFBF"/>
            <w:noWrap/>
            <w:vAlign w:val="center"/>
            <w:hideMark/>
          </w:tcPr>
          <w:p w:rsidR="005E03EC" w:rsidRPr="0062583B" w:rsidRDefault="005E03EC" w:rsidP="002D4D83">
            <w:pPr>
              <w:jc w:val="center"/>
              <w:rPr>
                <w:rFonts w:ascii="Arial" w:hAnsi="Arial" w:cs="Arial"/>
                <w:b/>
                <w:bCs/>
                <w:color w:val="000000"/>
                <w:sz w:val="18"/>
                <w:szCs w:val="18"/>
              </w:rPr>
            </w:pPr>
            <w:r w:rsidRPr="0062583B">
              <w:rPr>
                <w:rFonts w:ascii="Arial" w:hAnsi="Arial" w:cs="Arial"/>
                <w:b/>
                <w:bCs/>
                <w:color w:val="000000"/>
                <w:sz w:val="18"/>
                <w:szCs w:val="18"/>
              </w:rPr>
              <w:t>VII</w:t>
            </w:r>
          </w:p>
        </w:tc>
        <w:tc>
          <w:tcPr>
            <w:tcW w:w="907" w:type="dxa"/>
            <w:tcBorders>
              <w:top w:val="single" w:sz="4" w:space="0" w:color="auto"/>
              <w:left w:val="single" w:sz="4" w:space="0" w:color="auto"/>
              <w:right w:val="single" w:sz="4" w:space="0" w:color="auto"/>
            </w:tcBorders>
            <w:shd w:val="clear" w:color="auto" w:fill="BFBFBF"/>
            <w:noWrap/>
            <w:vAlign w:val="center"/>
            <w:hideMark/>
          </w:tcPr>
          <w:p w:rsidR="005E03EC" w:rsidRPr="0062583B" w:rsidRDefault="005E03EC" w:rsidP="002D4D83">
            <w:pPr>
              <w:jc w:val="center"/>
              <w:rPr>
                <w:rFonts w:ascii="Arial" w:hAnsi="Arial" w:cs="Arial"/>
                <w:b/>
                <w:bCs/>
                <w:color w:val="000000"/>
                <w:sz w:val="18"/>
                <w:szCs w:val="18"/>
              </w:rPr>
            </w:pPr>
            <w:r w:rsidRPr="0062583B">
              <w:rPr>
                <w:rFonts w:ascii="Arial" w:hAnsi="Arial" w:cs="Arial"/>
                <w:b/>
                <w:bCs/>
                <w:color w:val="000000"/>
                <w:sz w:val="18"/>
                <w:szCs w:val="18"/>
              </w:rPr>
              <w:t>VIII</w:t>
            </w:r>
          </w:p>
        </w:tc>
        <w:tc>
          <w:tcPr>
            <w:tcW w:w="907" w:type="dxa"/>
            <w:tcBorders>
              <w:top w:val="single" w:sz="4" w:space="0" w:color="auto"/>
              <w:left w:val="nil"/>
              <w:right w:val="nil"/>
            </w:tcBorders>
            <w:shd w:val="clear" w:color="auto" w:fill="BFBFBF"/>
            <w:noWrap/>
            <w:vAlign w:val="center"/>
            <w:hideMark/>
          </w:tcPr>
          <w:p w:rsidR="005E03EC" w:rsidRPr="0062583B" w:rsidRDefault="005E03EC" w:rsidP="002D4D83">
            <w:pPr>
              <w:jc w:val="center"/>
              <w:rPr>
                <w:rFonts w:ascii="Arial" w:hAnsi="Arial" w:cs="Arial"/>
                <w:b/>
                <w:bCs/>
                <w:color w:val="000000"/>
                <w:sz w:val="18"/>
                <w:szCs w:val="18"/>
              </w:rPr>
            </w:pPr>
            <w:r w:rsidRPr="0062583B">
              <w:rPr>
                <w:rFonts w:ascii="Arial" w:hAnsi="Arial" w:cs="Arial"/>
                <w:b/>
                <w:bCs/>
                <w:color w:val="000000"/>
                <w:sz w:val="18"/>
                <w:szCs w:val="18"/>
              </w:rPr>
              <w:t>IX</w:t>
            </w:r>
          </w:p>
        </w:tc>
        <w:tc>
          <w:tcPr>
            <w:tcW w:w="907" w:type="dxa"/>
            <w:tcBorders>
              <w:top w:val="single" w:sz="4" w:space="0" w:color="auto"/>
              <w:left w:val="single" w:sz="4" w:space="0" w:color="auto"/>
              <w:right w:val="single" w:sz="4" w:space="0" w:color="auto"/>
            </w:tcBorders>
            <w:shd w:val="clear" w:color="auto" w:fill="BFBFBF"/>
            <w:noWrap/>
            <w:vAlign w:val="center"/>
            <w:hideMark/>
          </w:tcPr>
          <w:p w:rsidR="005E03EC" w:rsidRPr="0062583B" w:rsidRDefault="005E03EC" w:rsidP="002D4D83">
            <w:pPr>
              <w:jc w:val="center"/>
              <w:rPr>
                <w:rFonts w:ascii="Arial" w:hAnsi="Arial" w:cs="Arial"/>
                <w:b/>
                <w:bCs/>
                <w:color w:val="000000"/>
                <w:sz w:val="18"/>
                <w:szCs w:val="18"/>
              </w:rPr>
            </w:pPr>
            <w:r w:rsidRPr="0062583B">
              <w:rPr>
                <w:rFonts w:ascii="Arial" w:hAnsi="Arial" w:cs="Arial"/>
                <w:b/>
                <w:bCs/>
                <w:color w:val="000000"/>
                <w:sz w:val="18"/>
                <w:szCs w:val="18"/>
              </w:rPr>
              <w:t>X</w:t>
            </w:r>
          </w:p>
        </w:tc>
        <w:tc>
          <w:tcPr>
            <w:tcW w:w="907" w:type="dxa"/>
            <w:tcBorders>
              <w:top w:val="single" w:sz="4" w:space="0" w:color="auto"/>
              <w:left w:val="nil"/>
              <w:right w:val="nil"/>
            </w:tcBorders>
            <w:shd w:val="clear" w:color="auto" w:fill="BFBFBF"/>
            <w:noWrap/>
            <w:vAlign w:val="center"/>
            <w:hideMark/>
          </w:tcPr>
          <w:p w:rsidR="005E03EC" w:rsidRPr="0062583B" w:rsidRDefault="005E03EC" w:rsidP="002D4D83">
            <w:pPr>
              <w:jc w:val="center"/>
              <w:rPr>
                <w:rFonts w:ascii="Arial" w:hAnsi="Arial" w:cs="Arial"/>
                <w:b/>
                <w:bCs/>
                <w:color w:val="000000"/>
                <w:sz w:val="18"/>
                <w:szCs w:val="18"/>
              </w:rPr>
            </w:pPr>
            <w:r w:rsidRPr="0062583B">
              <w:rPr>
                <w:rFonts w:ascii="Arial" w:hAnsi="Arial" w:cs="Arial"/>
                <w:b/>
                <w:bCs/>
                <w:color w:val="000000"/>
                <w:sz w:val="18"/>
                <w:szCs w:val="18"/>
              </w:rPr>
              <w:t>XI</w:t>
            </w:r>
          </w:p>
        </w:tc>
        <w:tc>
          <w:tcPr>
            <w:tcW w:w="909" w:type="dxa"/>
            <w:tcBorders>
              <w:top w:val="single" w:sz="4" w:space="0" w:color="auto"/>
              <w:left w:val="single" w:sz="4" w:space="0" w:color="auto"/>
              <w:right w:val="single" w:sz="4" w:space="0" w:color="auto"/>
            </w:tcBorders>
            <w:shd w:val="clear" w:color="auto" w:fill="BFBFBF"/>
            <w:noWrap/>
            <w:vAlign w:val="center"/>
            <w:hideMark/>
          </w:tcPr>
          <w:p w:rsidR="005E03EC" w:rsidRPr="0062583B" w:rsidRDefault="005E03EC" w:rsidP="002D4D83">
            <w:pPr>
              <w:jc w:val="center"/>
              <w:rPr>
                <w:rFonts w:ascii="Arial" w:hAnsi="Arial" w:cs="Arial"/>
                <w:b/>
                <w:bCs/>
                <w:color w:val="000000"/>
                <w:sz w:val="18"/>
                <w:szCs w:val="18"/>
              </w:rPr>
            </w:pPr>
            <w:r w:rsidRPr="0062583B">
              <w:rPr>
                <w:rFonts w:ascii="Arial" w:hAnsi="Arial" w:cs="Arial"/>
                <w:b/>
                <w:bCs/>
                <w:color w:val="000000"/>
                <w:sz w:val="18"/>
                <w:szCs w:val="18"/>
              </w:rPr>
              <w:t>XII</w:t>
            </w:r>
          </w:p>
        </w:tc>
        <w:tc>
          <w:tcPr>
            <w:tcW w:w="290" w:type="dxa"/>
            <w:tcBorders>
              <w:top w:val="nil"/>
              <w:left w:val="nil"/>
              <w:right w:val="single" w:sz="4" w:space="0" w:color="auto"/>
            </w:tcBorders>
            <w:shd w:val="clear" w:color="auto" w:fill="auto"/>
            <w:noWrap/>
            <w:vAlign w:val="center"/>
            <w:hideMark/>
          </w:tcPr>
          <w:p w:rsidR="005E03EC" w:rsidRPr="0062583B" w:rsidRDefault="005E03EC" w:rsidP="002D4D83">
            <w:pPr>
              <w:jc w:val="center"/>
              <w:rPr>
                <w:rFonts w:ascii="Arial" w:hAnsi="Arial" w:cs="Arial"/>
                <w:b/>
                <w:bCs/>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BFBFBF"/>
            <w:noWrap/>
            <w:vAlign w:val="center"/>
            <w:hideMark/>
          </w:tcPr>
          <w:p w:rsidR="005E03EC" w:rsidRPr="0062583B" w:rsidRDefault="005E03EC" w:rsidP="002D4D83">
            <w:pPr>
              <w:jc w:val="center"/>
              <w:rPr>
                <w:rFonts w:ascii="Arial" w:hAnsi="Arial" w:cs="Arial"/>
                <w:b/>
                <w:bCs/>
                <w:color w:val="000000"/>
                <w:sz w:val="18"/>
                <w:szCs w:val="18"/>
              </w:rPr>
            </w:pPr>
            <w:r w:rsidRPr="0062583B">
              <w:rPr>
                <w:rFonts w:ascii="Arial" w:hAnsi="Arial" w:cs="Arial"/>
                <w:b/>
                <w:bCs/>
                <w:color w:val="000000"/>
                <w:sz w:val="18"/>
                <w:szCs w:val="18"/>
              </w:rPr>
              <w:t xml:space="preserve">Celkem ( </w:t>
            </w:r>
            <w:proofErr w:type="gramStart"/>
            <w:r w:rsidRPr="0062583B">
              <w:rPr>
                <w:rFonts w:ascii="Arial" w:hAnsi="Arial" w:cs="Arial"/>
                <w:b/>
                <w:bCs/>
                <w:color w:val="000000"/>
                <w:sz w:val="18"/>
                <w:szCs w:val="18"/>
              </w:rPr>
              <w:t>GJ )</w:t>
            </w:r>
            <w:proofErr w:type="gramEnd"/>
          </w:p>
        </w:tc>
      </w:tr>
      <w:tr w:rsidR="005E03EC" w:rsidRPr="00D6732D" w:rsidTr="002D4D83">
        <w:trPr>
          <w:trHeight w:val="284"/>
          <w:jc w:val="center"/>
        </w:trPr>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3EC" w:rsidRDefault="005E03EC" w:rsidP="002D4D83">
            <w:pPr>
              <w:jc w:val="center"/>
              <w:rPr>
                <w:rFonts w:ascii="Arial" w:hAnsi="Arial" w:cs="Arial"/>
                <w:color w:val="000000"/>
                <w:sz w:val="18"/>
                <w:szCs w:val="18"/>
              </w:rPr>
            </w:pPr>
            <w:r>
              <w:rPr>
                <w:rFonts w:ascii="Arial" w:hAnsi="Arial" w:cs="Arial"/>
                <w:color w:val="000000"/>
                <w:sz w:val="18"/>
                <w:szCs w:val="18"/>
              </w:rPr>
              <w:t>1</w:t>
            </w:r>
          </w:p>
        </w:tc>
        <w:tc>
          <w:tcPr>
            <w:tcW w:w="916" w:type="dxa"/>
            <w:tcBorders>
              <w:top w:val="single" w:sz="4" w:space="0" w:color="auto"/>
              <w:left w:val="nil"/>
              <w:bottom w:val="single" w:sz="4" w:space="0" w:color="auto"/>
              <w:right w:val="single" w:sz="4" w:space="0" w:color="auto"/>
            </w:tcBorders>
            <w:shd w:val="clear" w:color="000000" w:fill="FFFFFF"/>
            <w:noWrap/>
            <w:vAlign w:val="center"/>
          </w:tcPr>
          <w:p w:rsidR="005E03EC" w:rsidRDefault="005151D7" w:rsidP="002D4D83">
            <w:pPr>
              <w:jc w:val="center"/>
              <w:rPr>
                <w:rFonts w:ascii="Arial" w:hAnsi="Arial" w:cs="Arial"/>
                <w:color w:val="000000"/>
                <w:sz w:val="18"/>
                <w:szCs w:val="18"/>
              </w:rPr>
            </w:pPr>
            <w:r>
              <w:rPr>
                <w:rFonts w:ascii="Arial" w:hAnsi="Arial" w:cs="Arial"/>
                <w:color w:val="000000"/>
                <w:sz w:val="18"/>
                <w:szCs w:val="18"/>
              </w:rPr>
              <w:t>0210</w:t>
            </w:r>
          </w:p>
        </w:tc>
        <w:tc>
          <w:tcPr>
            <w:tcW w:w="907" w:type="dxa"/>
            <w:tcBorders>
              <w:top w:val="single" w:sz="4" w:space="0" w:color="auto"/>
              <w:left w:val="nil"/>
              <w:bottom w:val="single" w:sz="4" w:space="0" w:color="auto"/>
              <w:right w:val="single" w:sz="4" w:space="0" w:color="auto"/>
            </w:tcBorders>
            <w:shd w:val="clear" w:color="000000" w:fill="FFFFFF"/>
            <w:noWrap/>
            <w:vAlign w:val="center"/>
          </w:tcPr>
          <w:p w:rsidR="005E03EC" w:rsidRDefault="005151D7" w:rsidP="002D4D83">
            <w:pPr>
              <w:jc w:val="center"/>
              <w:rPr>
                <w:rFonts w:ascii="Arial" w:hAnsi="Arial" w:cs="Arial"/>
                <w:color w:val="000000"/>
                <w:sz w:val="18"/>
                <w:szCs w:val="18"/>
              </w:rPr>
            </w:pPr>
            <w:r>
              <w:rPr>
                <w:rFonts w:ascii="Arial" w:hAnsi="Arial" w:cs="Arial"/>
                <w:color w:val="000000"/>
                <w:sz w:val="18"/>
                <w:szCs w:val="18"/>
              </w:rPr>
              <w:t>25,2</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E03EC" w:rsidRDefault="005151D7" w:rsidP="002D4D83">
            <w:pPr>
              <w:jc w:val="center"/>
              <w:rPr>
                <w:rFonts w:ascii="Arial" w:hAnsi="Arial" w:cs="Arial"/>
                <w:color w:val="000000"/>
                <w:sz w:val="18"/>
                <w:szCs w:val="18"/>
              </w:rPr>
            </w:pPr>
            <w:r>
              <w:rPr>
                <w:rFonts w:ascii="Arial" w:hAnsi="Arial" w:cs="Arial"/>
                <w:color w:val="000000"/>
                <w:sz w:val="18"/>
                <w:szCs w:val="18"/>
              </w:rPr>
              <w:t>21,0</w:t>
            </w:r>
          </w:p>
        </w:tc>
        <w:tc>
          <w:tcPr>
            <w:tcW w:w="907" w:type="dxa"/>
            <w:tcBorders>
              <w:top w:val="single" w:sz="4" w:space="0" w:color="auto"/>
              <w:left w:val="nil"/>
              <w:bottom w:val="single" w:sz="4" w:space="0" w:color="auto"/>
              <w:right w:val="single" w:sz="4" w:space="0" w:color="auto"/>
            </w:tcBorders>
            <w:shd w:val="clear" w:color="auto" w:fill="auto"/>
            <w:vAlign w:val="center"/>
          </w:tcPr>
          <w:p w:rsidR="005E03EC" w:rsidRDefault="005151D7" w:rsidP="002D4D83">
            <w:pPr>
              <w:jc w:val="center"/>
              <w:rPr>
                <w:rFonts w:ascii="Arial" w:hAnsi="Arial" w:cs="Arial"/>
                <w:color w:val="000000"/>
                <w:sz w:val="18"/>
                <w:szCs w:val="18"/>
              </w:rPr>
            </w:pPr>
            <w:r>
              <w:rPr>
                <w:rFonts w:ascii="Arial" w:hAnsi="Arial" w:cs="Arial"/>
                <w:color w:val="000000"/>
                <w:sz w:val="18"/>
                <w:szCs w:val="18"/>
              </w:rPr>
              <w:t>18,2</w:t>
            </w:r>
          </w:p>
        </w:tc>
        <w:tc>
          <w:tcPr>
            <w:tcW w:w="907" w:type="dxa"/>
            <w:tcBorders>
              <w:top w:val="single" w:sz="4" w:space="0" w:color="auto"/>
              <w:left w:val="nil"/>
              <w:bottom w:val="single" w:sz="4" w:space="0" w:color="auto"/>
              <w:right w:val="single" w:sz="4" w:space="0" w:color="auto"/>
            </w:tcBorders>
            <w:shd w:val="clear" w:color="auto" w:fill="auto"/>
            <w:vAlign w:val="center"/>
          </w:tcPr>
          <w:p w:rsidR="005E03EC" w:rsidRDefault="005151D7" w:rsidP="002D4D83">
            <w:pPr>
              <w:jc w:val="center"/>
              <w:rPr>
                <w:rFonts w:ascii="Arial" w:hAnsi="Arial" w:cs="Arial"/>
                <w:color w:val="000000"/>
                <w:sz w:val="18"/>
                <w:szCs w:val="18"/>
              </w:rPr>
            </w:pPr>
            <w:r>
              <w:rPr>
                <w:rFonts w:ascii="Arial" w:hAnsi="Arial" w:cs="Arial"/>
                <w:color w:val="000000"/>
                <w:sz w:val="18"/>
                <w:szCs w:val="18"/>
              </w:rPr>
              <w:t>11,4</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E03EC" w:rsidRDefault="005151D7" w:rsidP="002D4D83">
            <w:pPr>
              <w:jc w:val="center"/>
              <w:rPr>
                <w:rFonts w:ascii="Arial" w:hAnsi="Arial" w:cs="Arial"/>
                <w:color w:val="000000"/>
                <w:sz w:val="18"/>
                <w:szCs w:val="18"/>
              </w:rPr>
            </w:pPr>
            <w:r>
              <w:rPr>
                <w:rFonts w:ascii="Arial" w:hAnsi="Arial" w:cs="Arial"/>
                <w:color w:val="000000"/>
                <w:sz w:val="18"/>
                <w:szCs w:val="18"/>
              </w:rPr>
              <w:t>0,8</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E03EC" w:rsidRDefault="005151D7" w:rsidP="002D4D83">
            <w:pPr>
              <w:jc w:val="center"/>
              <w:rPr>
                <w:rFonts w:ascii="Arial" w:hAnsi="Arial" w:cs="Arial"/>
                <w:color w:val="000000"/>
                <w:sz w:val="18"/>
                <w:szCs w:val="18"/>
              </w:rPr>
            </w:pPr>
            <w:r>
              <w:rPr>
                <w:rFonts w:ascii="Arial" w:hAnsi="Arial" w:cs="Arial"/>
                <w:color w:val="000000"/>
                <w:sz w:val="18"/>
                <w:szCs w:val="18"/>
              </w:rPr>
              <w:t>0,5</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E03EC" w:rsidRDefault="005151D7" w:rsidP="002D4D83">
            <w:pPr>
              <w:jc w:val="center"/>
              <w:rPr>
                <w:rFonts w:ascii="Arial" w:hAnsi="Arial" w:cs="Arial"/>
                <w:color w:val="000000"/>
                <w:sz w:val="18"/>
                <w:szCs w:val="18"/>
              </w:rPr>
            </w:pPr>
            <w:r>
              <w:rPr>
                <w:rFonts w:ascii="Arial" w:hAnsi="Arial" w:cs="Arial"/>
                <w:color w:val="000000"/>
                <w:sz w:val="18"/>
                <w:szCs w:val="18"/>
              </w:rPr>
              <w:t>0,5</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E03EC" w:rsidRDefault="005151D7" w:rsidP="002D4D83">
            <w:pPr>
              <w:jc w:val="center"/>
              <w:rPr>
                <w:rFonts w:ascii="Arial" w:hAnsi="Arial" w:cs="Arial"/>
                <w:color w:val="000000"/>
                <w:sz w:val="18"/>
                <w:szCs w:val="18"/>
              </w:rPr>
            </w:pPr>
            <w:r>
              <w:rPr>
                <w:rFonts w:ascii="Arial" w:hAnsi="Arial" w:cs="Arial"/>
                <w:color w:val="000000"/>
                <w:sz w:val="18"/>
                <w:szCs w:val="18"/>
              </w:rPr>
              <w:t>0,5</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E03EC" w:rsidRDefault="005151D7" w:rsidP="002D4D83">
            <w:pPr>
              <w:jc w:val="center"/>
              <w:rPr>
                <w:rFonts w:ascii="Arial" w:hAnsi="Arial" w:cs="Arial"/>
                <w:color w:val="000000"/>
                <w:sz w:val="18"/>
                <w:szCs w:val="18"/>
              </w:rPr>
            </w:pPr>
            <w:r>
              <w:rPr>
                <w:rFonts w:ascii="Arial" w:hAnsi="Arial" w:cs="Arial"/>
                <w:color w:val="000000"/>
                <w:sz w:val="18"/>
                <w:szCs w:val="18"/>
              </w:rPr>
              <w:t>0,7</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E03EC" w:rsidRDefault="005151D7" w:rsidP="002D4D83">
            <w:pPr>
              <w:jc w:val="center"/>
              <w:rPr>
                <w:rFonts w:ascii="Arial" w:hAnsi="Arial" w:cs="Arial"/>
                <w:color w:val="000000"/>
                <w:sz w:val="18"/>
                <w:szCs w:val="18"/>
              </w:rPr>
            </w:pPr>
            <w:r>
              <w:rPr>
                <w:rFonts w:ascii="Arial" w:hAnsi="Arial" w:cs="Arial"/>
                <w:color w:val="000000"/>
                <w:sz w:val="18"/>
                <w:szCs w:val="18"/>
              </w:rPr>
              <w:t>3,2</w:t>
            </w:r>
          </w:p>
        </w:tc>
        <w:tc>
          <w:tcPr>
            <w:tcW w:w="907" w:type="dxa"/>
            <w:tcBorders>
              <w:top w:val="single" w:sz="4" w:space="0" w:color="auto"/>
              <w:left w:val="nil"/>
              <w:bottom w:val="single" w:sz="4" w:space="0" w:color="auto"/>
              <w:right w:val="single" w:sz="4" w:space="0" w:color="auto"/>
            </w:tcBorders>
            <w:shd w:val="clear" w:color="auto" w:fill="auto"/>
            <w:noWrap/>
            <w:vAlign w:val="center"/>
          </w:tcPr>
          <w:p w:rsidR="005E03EC" w:rsidRDefault="005151D7" w:rsidP="002D4D83">
            <w:pPr>
              <w:jc w:val="center"/>
              <w:rPr>
                <w:rFonts w:ascii="Arial" w:hAnsi="Arial" w:cs="Arial"/>
                <w:color w:val="000000"/>
                <w:sz w:val="18"/>
                <w:szCs w:val="18"/>
              </w:rPr>
            </w:pPr>
            <w:r>
              <w:rPr>
                <w:rFonts w:ascii="Arial" w:hAnsi="Arial" w:cs="Arial"/>
                <w:color w:val="000000"/>
                <w:sz w:val="18"/>
                <w:szCs w:val="18"/>
              </w:rPr>
              <w:t>5,6</w:t>
            </w:r>
          </w:p>
        </w:tc>
        <w:tc>
          <w:tcPr>
            <w:tcW w:w="909" w:type="dxa"/>
            <w:tcBorders>
              <w:top w:val="single" w:sz="4" w:space="0" w:color="auto"/>
              <w:left w:val="nil"/>
              <w:bottom w:val="single" w:sz="4" w:space="0" w:color="auto"/>
              <w:right w:val="single" w:sz="4" w:space="0" w:color="auto"/>
            </w:tcBorders>
            <w:shd w:val="clear" w:color="auto" w:fill="auto"/>
            <w:noWrap/>
            <w:vAlign w:val="center"/>
          </w:tcPr>
          <w:p w:rsidR="005E03EC" w:rsidRDefault="005151D7" w:rsidP="002D4D83">
            <w:pPr>
              <w:jc w:val="center"/>
              <w:rPr>
                <w:rFonts w:ascii="Arial" w:hAnsi="Arial" w:cs="Arial"/>
                <w:color w:val="000000"/>
                <w:sz w:val="18"/>
                <w:szCs w:val="18"/>
              </w:rPr>
            </w:pPr>
            <w:r>
              <w:rPr>
                <w:rFonts w:ascii="Arial" w:hAnsi="Arial" w:cs="Arial"/>
                <w:color w:val="000000"/>
                <w:sz w:val="18"/>
                <w:szCs w:val="18"/>
              </w:rPr>
              <w:t>12,4</w:t>
            </w:r>
          </w:p>
        </w:tc>
        <w:tc>
          <w:tcPr>
            <w:tcW w:w="290" w:type="dxa"/>
            <w:tcBorders>
              <w:top w:val="nil"/>
              <w:left w:val="nil"/>
              <w:bottom w:val="nil"/>
              <w:right w:val="single" w:sz="4" w:space="0" w:color="auto"/>
            </w:tcBorders>
            <w:shd w:val="clear" w:color="auto" w:fill="auto"/>
            <w:noWrap/>
            <w:vAlign w:val="center"/>
            <w:hideMark/>
          </w:tcPr>
          <w:p w:rsidR="005E03EC" w:rsidRDefault="005E03EC" w:rsidP="002D4D83">
            <w:pPr>
              <w:jc w:val="center"/>
              <w:rPr>
                <w:rFonts w:ascii="Calibri" w:hAnsi="Calibri"/>
                <w:color w:val="000000"/>
                <w:szCs w:val="22"/>
              </w:rPr>
            </w:pP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5E03EC" w:rsidRDefault="005151D7" w:rsidP="002D4D83">
            <w:pPr>
              <w:jc w:val="center"/>
              <w:rPr>
                <w:rFonts w:ascii="Arial" w:hAnsi="Arial" w:cs="Arial"/>
                <w:color w:val="000000"/>
                <w:sz w:val="20"/>
              </w:rPr>
            </w:pPr>
            <w:r>
              <w:rPr>
                <w:rFonts w:ascii="Arial" w:hAnsi="Arial" w:cs="Arial"/>
                <w:color w:val="000000"/>
                <w:sz w:val="20"/>
              </w:rPr>
              <w:t>600</w:t>
            </w:r>
          </w:p>
        </w:tc>
      </w:tr>
      <w:tr w:rsidR="005151D7" w:rsidRPr="00D6732D" w:rsidTr="00094381">
        <w:trPr>
          <w:trHeight w:val="284"/>
          <w:jc w:val="center"/>
        </w:trPr>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1D7" w:rsidRDefault="005151D7" w:rsidP="002D4D83">
            <w:pPr>
              <w:jc w:val="center"/>
              <w:rPr>
                <w:rFonts w:ascii="Arial" w:hAnsi="Arial" w:cs="Arial"/>
                <w:color w:val="000000"/>
                <w:sz w:val="18"/>
                <w:szCs w:val="18"/>
              </w:rPr>
            </w:pPr>
            <w:r>
              <w:rPr>
                <w:rFonts w:ascii="Arial" w:hAnsi="Arial" w:cs="Arial"/>
                <w:color w:val="000000"/>
                <w:sz w:val="18"/>
                <w:szCs w:val="18"/>
              </w:rPr>
              <w:t>2</w:t>
            </w:r>
          </w:p>
        </w:tc>
        <w:tc>
          <w:tcPr>
            <w:tcW w:w="916" w:type="dxa"/>
            <w:tcBorders>
              <w:top w:val="single" w:sz="4" w:space="0" w:color="auto"/>
              <w:left w:val="nil"/>
              <w:bottom w:val="single" w:sz="4" w:space="0" w:color="auto"/>
              <w:right w:val="single" w:sz="4" w:space="0" w:color="auto"/>
            </w:tcBorders>
            <w:shd w:val="clear" w:color="000000" w:fill="FFFFFF"/>
            <w:noWrap/>
            <w:vAlign w:val="center"/>
          </w:tcPr>
          <w:p w:rsidR="005151D7" w:rsidRDefault="005151D7" w:rsidP="002D4D83">
            <w:pPr>
              <w:jc w:val="center"/>
              <w:rPr>
                <w:rFonts w:ascii="Arial" w:hAnsi="Arial" w:cs="Arial"/>
                <w:color w:val="000000"/>
                <w:sz w:val="18"/>
                <w:szCs w:val="18"/>
              </w:rPr>
            </w:pPr>
            <w:r>
              <w:rPr>
                <w:rFonts w:ascii="Arial" w:hAnsi="Arial" w:cs="Arial"/>
                <w:color w:val="000000"/>
                <w:sz w:val="18"/>
                <w:szCs w:val="18"/>
              </w:rPr>
              <w:t>0232</w:t>
            </w:r>
          </w:p>
        </w:tc>
        <w:tc>
          <w:tcPr>
            <w:tcW w:w="907" w:type="dxa"/>
            <w:vMerge w:val="restart"/>
            <w:tcBorders>
              <w:top w:val="single" w:sz="4" w:space="0" w:color="auto"/>
              <w:left w:val="nil"/>
              <w:right w:val="single" w:sz="4" w:space="0" w:color="auto"/>
            </w:tcBorders>
            <w:shd w:val="clear" w:color="000000" w:fill="FFFFFF"/>
            <w:noWrap/>
            <w:vAlign w:val="center"/>
          </w:tcPr>
          <w:p w:rsidR="005151D7" w:rsidRDefault="005151D7" w:rsidP="002D4D83">
            <w:pPr>
              <w:jc w:val="center"/>
              <w:rPr>
                <w:rFonts w:ascii="Arial" w:hAnsi="Arial" w:cs="Arial"/>
                <w:color w:val="000000"/>
                <w:sz w:val="18"/>
                <w:szCs w:val="18"/>
              </w:rPr>
            </w:pPr>
            <w:r>
              <w:rPr>
                <w:rFonts w:ascii="Arial" w:hAnsi="Arial" w:cs="Arial"/>
                <w:color w:val="000000"/>
                <w:sz w:val="18"/>
                <w:szCs w:val="18"/>
              </w:rPr>
              <w:t>21,5</w:t>
            </w:r>
          </w:p>
        </w:tc>
        <w:tc>
          <w:tcPr>
            <w:tcW w:w="907" w:type="dxa"/>
            <w:vMerge w:val="restart"/>
            <w:tcBorders>
              <w:top w:val="single" w:sz="4" w:space="0" w:color="auto"/>
              <w:left w:val="nil"/>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r>
              <w:rPr>
                <w:rFonts w:ascii="Arial" w:hAnsi="Arial" w:cs="Arial"/>
                <w:color w:val="000000"/>
                <w:sz w:val="18"/>
                <w:szCs w:val="18"/>
              </w:rPr>
              <w:t>18,5</w:t>
            </w:r>
          </w:p>
        </w:tc>
        <w:tc>
          <w:tcPr>
            <w:tcW w:w="907" w:type="dxa"/>
            <w:vMerge w:val="restart"/>
            <w:tcBorders>
              <w:top w:val="single" w:sz="4" w:space="0" w:color="auto"/>
              <w:left w:val="nil"/>
              <w:right w:val="single" w:sz="4" w:space="0" w:color="auto"/>
            </w:tcBorders>
            <w:shd w:val="clear" w:color="auto" w:fill="auto"/>
            <w:vAlign w:val="center"/>
          </w:tcPr>
          <w:p w:rsidR="005151D7" w:rsidRDefault="005151D7" w:rsidP="002D4D83">
            <w:pPr>
              <w:jc w:val="center"/>
              <w:rPr>
                <w:rFonts w:ascii="Arial" w:hAnsi="Arial" w:cs="Arial"/>
                <w:color w:val="000000"/>
                <w:sz w:val="18"/>
                <w:szCs w:val="18"/>
              </w:rPr>
            </w:pPr>
            <w:r>
              <w:rPr>
                <w:rFonts w:ascii="Arial" w:hAnsi="Arial" w:cs="Arial"/>
                <w:color w:val="000000"/>
                <w:sz w:val="18"/>
                <w:szCs w:val="18"/>
              </w:rPr>
              <w:t>15,6</w:t>
            </w:r>
          </w:p>
        </w:tc>
        <w:tc>
          <w:tcPr>
            <w:tcW w:w="907" w:type="dxa"/>
            <w:vMerge w:val="restart"/>
            <w:tcBorders>
              <w:top w:val="single" w:sz="4" w:space="0" w:color="auto"/>
              <w:left w:val="nil"/>
              <w:right w:val="single" w:sz="4" w:space="0" w:color="auto"/>
            </w:tcBorders>
            <w:shd w:val="clear" w:color="auto" w:fill="auto"/>
            <w:vAlign w:val="center"/>
          </w:tcPr>
          <w:p w:rsidR="005151D7" w:rsidRDefault="005151D7" w:rsidP="002D4D83">
            <w:pPr>
              <w:jc w:val="center"/>
              <w:rPr>
                <w:rFonts w:ascii="Arial" w:hAnsi="Arial" w:cs="Arial"/>
                <w:color w:val="000000"/>
                <w:sz w:val="18"/>
                <w:szCs w:val="18"/>
              </w:rPr>
            </w:pPr>
            <w:r>
              <w:rPr>
                <w:rFonts w:ascii="Arial" w:hAnsi="Arial" w:cs="Arial"/>
                <w:color w:val="000000"/>
                <w:sz w:val="18"/>
                <w:szCs w:val="18"/>
              </w:rPr>
              <w:t>8,5</w:t>
            </w:r>
          </w:p>
        </w:tc>
        <w:tc>
          <w:tcPr>
            <w:tcW w:w="907" w:type="dxa"/>
            <w:vMerge w:val="restart"/>
            <w:tcBorders>
              <w:top w:val="single" w:sz="4" w:space="0" w:color="auto"/>
              <w:left w:val="nil"/>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r>
              <w:rPr>
                <w:rFonts w:ascii="Arial" w:hAnsi="Arial" w:cs="Arial"/>
                <w:color w:val="000000"/>
                <w:sz w:val="18"/>
                <w:szCs w:val="18"/>
              </w:rPr>
              <w:t>0,9</w:t>
            </w:r>
          </w:p>
        </w:tc>
        <w:tc>
          <w:tcPr>
            <w:tcW w:w="907" w:type="dxa"/>
            <w:vMerge w:val="restart"/>
            <w:tcBorders>
              <w:top w:val="single" w:sz="4" w:space="0" w:color="auto"/>
              <w:left w:val="nil"/>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r>
              <w:rPr>
                <w:rFonts w:ascii="Arial" w:hAnsi="Arial" w:cs="Arial"/>
                <w:color w:val="000000"/>
                <w:sz w:val="18"/>
                <w:szCs w:val="18"/>
              </w:rPr>
              <w:t>1,1</w:t>
            </w:r>
          </w:p>
        </w:tc>
        <w:tc>
          <w:tcPr>
            <w:tcW w:w="907" w:type="dxa"/>
            <w:vMerge w:val="restart"/>
            <w:tcBorders>
              <w:top w:val="single" w:sz="4" w:space="0" w:color="auto"/>
              <w:left w:val="nil"/>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r>
              <w:rPr>
                <w:rFonts w:ascii="Arial" w:hAnsi="Arial" w:cs="Arial"/>
                <w:color w:val="000000"/>
                <w:sz w:val="18"/>
                <w:szCs w:val="18"/>
              </w:rPr>
              <w:t>0,25</w:t>
            </w:r>
          </w:p>
        </w:tc>
        <w:tc>
          <w:tcPr>
            <w:tcW w:w="907" w:type="dxa"/>
            <w:vMerge w:val="restart"/>
            <w:tcBorders>
              <w:top w:val="single" w:sz="4" w:space="0" w:color="auto"/>
              <w:left w:val="nil"/>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r>
              <w:rPr>
                <w:rFonts w:ascii="Arial" w:hAnsi="Arial" w:cs="Arial"/>
                <w:color w:val="000000"/>
                <w:sz w:val="18"/>
                <w:szCs w:val="18"/>
              </w:rPr>
              <w:t>0,2</w:t>
            </w:r>
          </w:p>
        </w:tc>
        <w:tc>
          <w:tcPr>
            <w:tcW w:w="907" w:type="dxa"/>
            <w:vMerge w:val="restart"/>
            <w:tcBorders>
              <w:top w:val="single" w:sz="4" w:space="0" w:color="auto"/>
              <w:left w:val="nil"/>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r>
              <w:rPr>
                <w:rFonts w:ascii="Arial" w:hAnsi="Arial" w:cs="Arial"/>
                <w:color w:val="000000"/>
                <w:sz w:val="18"/>
                <w:szCs w:val="18"/>
              </w:rPr>
              <w:t>1,9</w:t>
            </w:r>
          </w:p>
        </w:tc>
        <w:tc>
          <w:tcPr>
            <w:tcW w:w="907" w:type="dxa"/>
            <w:vMerge w:val="restart"/>
            <w:tcBorders>
              <w:top w:val="single" w:sz="4" w:space="0" w:color="auto"/>
              <w:left w:val="nil"/>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r>
              <w:rPr>
                <w:rFonts w:ascii="Arial" w:hAnsi="Arial" w:cs="Arial"/>
                <w:color w:val="000000"/>
                <w:sz w:val="18"/>
                <w:szCs w:val="18"/>
              </w:rPr>
              <w:t>6,1</w:t>
            </w:r>
          </w:p>
        </w:tc>
        <w:tc>
          <w:tcPr>
            <w:tcW w:w="907" w:type="dxa"/>
            <w:vMerge w:val="restart"/>
            <w:tcBorders>
              <w:top w:val="single" w:sz="4" w:space="0" w:color="auto"/>
              <w:left w:val="nil"/>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r>
              <w:rPr>
                <w:rFonts w:ascii="Arial" w:hAnsi="Arial" w:cs="Arial"/>
                <w:color w:val="000000"/>
                <w:sz w:val="18"/>
                <w:szCs w:val="18"/>
              </w:rPr>
              <w:t>8,45</w:t>
            </w:r>
          </w:p>
        </w:tc>
        <w:tc>
          <w:tcPr>
            <w:tcW w:w="909" w:type="dxa"/>
            <w:vMerge w:val="restart"/>
            <w:tcBorders>
              <w:top w:val="single" w:sz="4" w:space="0" w:color="auto"/>
              <w:left w:val="nil"/>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r>
              <w:rPr>
                <w:rFonts w:ascii="Arial" w:hAnsi="Arial" w:cs="Arial"/>
                <w:color w:val="000000"/>
                <w:sz w:val="18"/>
                <w:szCs w:val="18"/>
              </w:rPr>
              <w:t>17,0</w:t>
            </w:r>
          </w:p>
        </w:tc>
        <w:tc>
          <w:tcPr>
            <w:tcW w:w="290" w:type="dxa"/>
            <w:tcBorders>
              <w:top w:val="nil"/>
              <w:left w:val="nil"/>
              <w:bottom w:val="nil"/>
              <w:right w:val="single" w:sz="4" w:space="0" w:color="auto"/>
            </w:tcBorders>
            <w:shd w:val="clear" w:color="auto" w:fill="auto"/>
            <w:noWrap/>
            <w:vAlign w:val="center"/>
            <w:hideMark/>
          </w:tcPr>
          <w:p w:rsidR="005151D7" w:rsidRDefault="005151D7" w:rsidP="002D4D83">
            <w:pPr>
              <w:jc w:val="center"/>
              <w:rPr>
                <w:rFonts w:ascii="Calibri" w:hAnsi="Calibri"/>
                <w:color w:val="000000"/>
                <w:szCs w:val="22"/>
              </w:rPr>
            </w:pPr>
          </w:p>
        </w:tc>
        <w:tc>
          <w:tcPr>
            <w:tcW w:w="1372" w:type="dxa"/>
            <w:vMerge w:val="restart"/>
            <w:tcBorders>
              <w:top w:val="single" w:sz="4" w:space="0" w:color="auto"/>
              <w:left w:val="nil"/>
              <w:right w:val="single" w:sz="4" w:space="0" w:color="auto"/>
            </w:tcBorders>
            <w:shd w:val="clear" w:color="auto" w:fill="auto"/>
            <w:noWrap/>
            <w:vAlign w:val="center"/>
          </w:tcPr>
          <w:p w:rsidR="005151D7" w:rsidRDefault="005151D7" w:rsidP="002D4D83">
            <w:pPr>
              <w:jc w:val="center"/>
              <w:rPr>
                <w:rFonts w:ascii="Arial" w:hAnsi="Arial" w:cs="Arial"/>
                <w:color w:val="000000"/>
                <w:sz w:val="20"/>
              </w:rPr>
            </w:pPr>
            <w:r>
              <w:rPr>
                <w:rFonts w:ascii="Arial" w:hAnsi="Arial" w:cs="Arial"/>
                <w:color w:val="000000"/>
                <w:sz w:val="20"/>
              </w:rPr>
              <w:t>8000</w:t>
            </w:r>
          </w:p>
        </w:tc>
      </w:tr>
      <w:tr w:rsidR="005151D7" w:rsidRPr="00D6732D" w:rsidTr="00094381">
        <w:trPr>
          <w:trHeight w:val="284"/>
          <w:jc w:val="center"/>
        </w:trPr>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1D7" w:rsidRDefault="005151D7" w:rsidP="002D4D83">
            <w:pPr>
              <w:jc w:val="center"/>
              <w:rPr>
                <w:rFonts w:ascii="Arial" w:hAnsi="Arial" w:cs="Arial"/>
                <w:color w:val="000000"/>
                <w:sz w:val="18"/>
                <w:szCs w:val="18"/>
              </w:rPr>
            </w:pPr>
            <w:r>
              <w:rPr>
                <w:rFonts w:ascii="Arial" w:hAnsi="Arial" w:cs="Arial"/>
                <w:color w:val="000000"/>
                <w:sz w:val="18"/>
                <w:szCs w:val="18"/>
              </w:rPr>
              <w:t>3</w:t>
            </w:r>
          </w:p>
        </w:tc>
        <w:tc>
          <w:tcPr>
            <w:tcW w:w="916" w:type="dxa"/>
            <w:tcBorders>
              <w:top w:val="single" w:sz="4" w:space="0" w:color="auto"/>
              <w:left w:val="nil"/>
              <w:bottom w:val="single" w:sz="4" w:space="0" w:color="auto"/>
              <w:right w:val="single" w:sz="4" w:space="0" w:color="auto"/>
            </w:tcBorders>
            <w:shd w:val="clear" w:color="000000" w:fill="FFFFFF"/>
            <w:noWrap/>
            <w:vAlign w:val="center"/>
          </w:tcPr>
          <w:p w:rsidR="005151D7" w:rsidRDefault="005151D7" w:rsidP="002D4D83">
            <w:pPr>
              <w:jc w:val="center"/>
              <w:rPr>
                <w:rFonts w:ascii="Arial" w:hAnsi="Arial" w:cs="Arial"/>
                <w:color w:val="000000"/>
                <w:sz w:val="18"/>
                <w:szCs w:val="18"/>
              </w:rPr>
            </w:pPr>
            <w:r>
              <w:rPr>
                <w:rFonts w:ascii="Arial" w:hAnsi="Arial" w:cs="Arial"/>
                <w:color w:val="000000"/>
                <w:sz w:val="18"/>
                <w:szCs w:val="18"/>
              </w:rPr>
              <w:t>0233</w:t>
            </w:r>
          </w:p>
        </w:tc>
        <w:tc>
          <w:tcPr>
            <w:tcW w:w="907" w:type="dxa"/>
            <w:vMerge/>
            <w:tcBorders>
              <w:left w:val="nil"/>
              <w:bottom w:val="single" w:sz="4" w:space="0" w:color="auto"/>
              <w:right w:val="single" w:sz="4" w:space="0" w:color="auto"/>
            </w:tcBorders>
            <w:shd w:val="clear" w:color="000000" w:fill="FFFFFF"/>
            <w:noWrap/>
            <w:vAlign w:val="center"/>
          </w:tcPr>
          <w:p w:rsidR="005151D7" w:rsidRDefault="005151D7" w:rsidP="002D4D83">
            <w:pPr>
              <w:jc w:val="center"/>
              <w:rPr>
                <w:rFonts w:ascii="Arial" w:hAnsi="Arial" w:cs="Arial"/>
                <w:color w:val="000000"/>
                <w:sz w:val="18"/>
                <w:szCs w:val="18"/>
              </w:rPr>
            </w:pPr>
          </w:p>
        </w:tc>
        <w:tc>
          <w:tcPr>
            <w:tcW w:w="907" w:type="dxa"/>
            <w:vMerge/>
            <w:tcBorders>
              <w:left w:val="nil"/>
              <w:bottom w:val="single" w:sz="4" w:space="0" w:color="auto"/>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p>
        </w:tc>
        <w:tc>
          <w:tcPr>
            <w:tcW w:w="907" w:type="dxa"/>
            <w:vMerge/>
            <w:tcBorders>
              <w:left w:val="nil"/>
              <w:bottom w:val="single" w:sz="4" w:space="0" w:color="auto"/>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p>
        </w:tc>
        <w:tc>
          <w:tcPr>
            <w:tcW w:w="907" w:type="dxa"/>
            <w:vMerge/>
            <w:tcBorders>
              <w:left w:val="nil"/>
              <w:bottom w:val="single" w:sz="4" w:space="0" w:color="auto"/>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p>
        </w:tc>
        <w:tc>
          <w:tcPr>
            <w:tcW w:w="907" w:type="dxa"/>
            <w:vMerge/>
            <w:tcBorders>
              <w:left w:val="nil"/>
              <w:bottom w:val="single" w:sz="4" w:space="0" w:color="auto"/>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p>
        </w:tc>
        <w:tc>
          <w:tcPr>
            <w:tcW w:w="907" w:type="dxa"/>
            <w:vMerge/>
            <w:tcBorders>
              <w:left w:val="nil"/>
              <w:bottom w:val="single" w:sz="4" w:space="0" w:color="auto"/>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p>
        </w:tc>
        <w:tc>
          <w:tcPr>
            <w:tcW w:w="907" w:type="dxa"/>
            <w:vMerge/>
            <w:tcBorders>
              <w:left w:val="nil"/>
              <w:bottom w:val="single" w:sz="4" w:space="0" w:color="auto"/>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p>
        </w:tc>
        <w:tc>
          <w:tcPr>
            <w:tcW w:w="907" w:type="dxa"/>
            <w:vMerge/>
            <w:tcBorders>
              <w:left w:val="nil"/>
              <w:bottom w:val="single" w:sz="4" w:space="0" w:color="auto"/>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p>
        </w:tc>
        <w:tc>
          <w:tcPr>
            <w:tcW w:w="907" w:type="dxa"/>
            <w:vMerge/>
            <w:tcBorders>
              <w:left w:val="nil"/>
              <w:bottom w:val="single" w:sz="4" w:space="0" w:color="auto"/>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p>
        </w:tc>
        <w:tc>
          <w:tcPr>
            <w:tcW w:w="907" w:type="dxa"/>
            <w:vMerge/>
            <w:tcBorders>
              <w:left w:val="nil"/>
              <w:bottom w:val="single" w:sz="4" w:space="0" w:color="auto"/>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p>
        </w:tc>
        <w:tc>
          <w:tcPr>
            <w:tcW w:w="907" w:type="dxa"/>
            <w:vMerge/>
            <w:tcBorders>
              <w:left w:val="nil"/>
              <w:bottom w:val="single" w:sz="4" w:space="0" w:color="auto"/>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p>
        </w:tc>
        <w:tc>
          <w:tcPr>
            <w:tcW w:w="909" w:type="dxa"/>
            <w:vMerge/>
            <w:tcBorders>
              <w:left w:val="nil"/>
              <w:bottom w:val="single" w:sz="4" w:space="0" w:color="auto"/>
              <w:right w:val="single" w:sz="4" w:space="0" w:color="auto"/>
            </w:tcBorders>
            <w:shd w:val="clear" w:color="auto" w:fill="auto"/>
            <w:noWrap/>
            <w:vAlign w:val="center"/>
          </w:tcPr>
          <w:p w:rsidR="005151D7" w:rsidRDefault="005151D7" w:rsidP="002D4D83">
            <w:pPr>
              <w:jc w:val="center"/>
              <w:rPr>
                <w:rFonts w:ascii="Arial" w:hAnsi="Arial" w:cs="Arial"/>
                <w:color w:val="000000"/>
                <w:sz w:val="18"/>
                <w:szCs w:val="18"/>
              </w:rPr>
            </w:pPr>
          </w:p>
        </w:tc>
        <w:tc>
          <w:tcPr>
            <w:tcW w:w="290" w:type="dxa"/>
            <w:tcBorders>
              <w:top w:val="nil"/>
              <w:left w:val="nil"/>
              <w:bottom w:val="nil"/>
              <w:right w:val="single" w:sz="4" w:space="0" w:color="auto"/>
            </w:tcBorders>
            <w:shd w:val="clear" w:color="auto" w:fill="auto"/>
            <w:noWrap/>
            <w:vAlign w:val="center"/>
            <w:hideMark/>
          </w:tcPr>
          <w:p w:rsidR="005151D7" w:rsidRDefault="005151D7" w:rsidP="002D4D83">
            <w:pPr>
              <w:jc w:val="center"/>
              <w:rPr>
                <w:rFonts w:ascii="Arial" w:hAnsi="Arial" w:cs="Arial"/>
                <w:color w:val="000000"/>
                <w:sz w:val="18"/>
                <w:szCs w:val="18"/>
              </w:rPr>
            </w:pPr>
          </w:p>
        </w:tc>
        <w:tc>
          <w:tcPr>
            <w:tcW w:w="1372" w:type="dxa"/>
            <w:vMerge/>
            <w:tcBorders>
              <w:left w:val="nil"/>
              <w:bottom w:val="single" w:sz="4" w:space="0" w:color="auto"/>
              <w:right w:val="single" w:sz="4" w:space="0" w:color="auto"/>
            </w:tcBorders>
            <w:shd w:val="clear" w:color="auto" w:fill="auto"/>
            <w:noWrap/>
            <w:vAlign w:val="center"/>
          </w:tcPr>
          <w:p w:rsidR="005151D7" w:rsidRDefault="005151D7" w:rsidP="002D4D83">
            <w:pPr>
              <w:jc w:val="center"/>
              <w:rPr>
                <w:rFonts w:ascii="Arial" w:hAnsi="Arial" w:cs="Arial"/>
                <w:color w:val="000000"/>
                <w:sz w:val="20"/>
              </w:rPr>
            </w:pPr>
          </w:p>
        </w:tc>
      </w:tr>
    </w:tbl>
    <w:p w:rsidR="005E03EC"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sectPr w:rsidR="005E03EC" w:rsidSect="00A3584C">
          <w:headerReference w:type="default" r:id="rId9"/>
          <w:footerReference w:type="default" r:id="rId10"/>
          <w:pgSz w:w="16838" w:h="11906" w:orient="landscape"/>
          <w:pgMar w:top="1418" w:right="1418" w:bottom="1134" w:left="1134" w:header="709" w:footer="709" w:gutter="0"/>
          <w:cols w:space="708"/>
          <w:titlePg/>
          <w:docGrid w:linePitch="299"/>
        </w:sectPr>
      </w:pP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snapToGrid w:val="0"/>
        </w:rPr>
      </w:pPr>
      <w:r w:rsidRPr="000139C2">
        <w:rPr>
          <w:b/>
          <w:snapToGrid w:val="0"/>
        </w:rPr>
        <w:t>Příloha č. 2</w:t>
      </w:r>
    </w:p>
    <w:p w:rsidR="005E03EC" w:rsidRPr="000139C2" w:rsidRDefault="005E03EC" w:rsidP="005E03EC">
      <w:pPr>
        <w:widowControl w:val="0"/>
        <w:tabs>
          <w:tab w:val="center" w:pos="4535"/>
          <w:tab w:val="left" w:pos="6744"/>
          <w:tab w:val="left" w:pos="7310"/>
          <w:tab w:val="decimal" w:pos="7878"/>
          <w:tab w:val="left" w:pos="8444"/>
          <w:tab w:val="left" w:pos="9012"/>
        </w:tabs>
        <w:jc w:val="center"/>
        <w:rPr>
          <w:b/>
          <w:caps/>
          <w:snapToGrid w:val="0"/>
        </w:rPr>
      </w:pPr>
      <w:r w:rsidRPr="000139C2">
        <w:rPr>
          <w:b/>
          <w:snapToGrid w:val="0"/>
        </w:rPr>
        <w:t>Vzor objednávky</w:t>
      </w: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Odběratel:</w:t>
      </w: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Rok:</w:t>
      </w: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9"/>
        <w:gridCol w:w="1481"/>
        <w:gridCol w:w="2080"/>
      </w:tblGrid>
      <w:tr w:rsidR="00D742F1" w:rsidRPr="000139C2" w:rsidTr="00D742F1">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měsíc</w:t>
            </w:r>
          </w:p>
        </w:tc>
        <w:tc>
          <w:tcPr>
            <w:tcW w:w="0" w:type="auto"/>
            <w:vAlign w:val="center"/>
          </w:tcPr>
          <w:p w:rsidR="00D742F1" w:rsidRDefault="00D742F1" w:rsidP="00D742F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r>
              <w:rPr>
                <w:b/>
                <w:snapToGrid w:val="0"/>
              </w:rPr>
              <w:t xml:space="preserve">Topná pára </w:t>
            </w:r>
          </w:p>
          <w:p w:rsidR="00D742F1" w:rsidRPr="000139C2" w:rsidRDefault="00D742F1" w:rsidP="00D742F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r>
              <w:rPr>
                <w:b/>
                <w:snapToGrid w:val="0"/>
              </w:rPr>
              <w:t>0,3 </w:t>
            </w:r>
            <w:proofErr w:type="spellStart"/>
            <w:r>
              <w:rPr>
                <w:b/>
                <w:snapToGrid w:val="0"/>
              </w:rPr>
              <w:t>MPa</w:t>
            </w:r>
            <w:proofErr w:type="spellEnd"/>
            <w:r>
              <w:rPr>
                <w:b/>
                <w:snapToGrid w:val="0"/>
              </w:rPr>
              <w:t xml:space="preserve"> </w:t>
            </w:r>
            <w:r w:rsidRPr="000139C2">
              <w:rPr>
                <w:b/>
                <w:snapToGrid w:val="0"/>
              </w:rPr>
              <w:t>[GJ]</w:t>
            </w:r>
          </w:p>
        </w:tc>
        <w:tc>
          <w:tcPr>
            <w:tcW w:w="0" w:type="auto"/>
            <w:vAlign w:val="center"/>
          </w:tcPr>
          <w:p w:rsidR="00D742F1" w:rsidRDefault="00D742F1" w:rsidP="00D742F1">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r>
              <w:rPr>
                <w:b/>
                <w:snapToGrid w:val="0"/>
              </w:rPr>
              <w:t xml:space="preserve">Technologická pára </w:t>
            </w:r>
          </w:p>
          <w:p w:rsidR="00D742F1" w:rsidRDefault="00D742F1" w:rsidP="00675DC8">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r>
              <w:rPr>
                <w:b/>
                <w:snapToGrid w:val="0"/>
              </w:rPr>
              <w:t xml:space="preserve">1,2 </w:t>
            </w:r>
            <w:proofErr w:type="spellStart"/>
            <w:r>
              <w:rPr>
                <w:b/>
                <w:snapToGrid w:val="0"/>
              </w:rPr>
              <w:t>MPa</w:t>
            </w:r>
            <w:proofErr w:type="spellEnd"/>
            <w:r w:rsidRPr="000139C2">
              <w:rPr>
                <w:b/>
                <w:snapToGrid w:val="0"/>
              </w:rPr>
              <w:t xml:space="preserve"> [GJ]</w:t>
            </w:r>
          </w:p>
        </w:tc>
      </w:tr>
      <w:tr w:rsidR="00D742F1" w:rsidRPr="000139C2" w:rsidTr="00D742F1">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leden</w:t>
            </w: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D742F1" w:rsidRPr="000139C2" w:rsidTr="00D742F1">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únor</w:t>
            </w: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D742F1" w:rsidRPr="000139C2" w:rsidTr="00D742F1">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březen</w:t>
            </w: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D742F1" w:rsidRPr="000139C2" w:rsidTr="00D742F1">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duben</w:t>
            </w: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D742F1" w:rsidRPr="000139C2" w:rsidTr="00D742F1">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květen</w:t>
            </w: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D742F1" w:rsidRPr="000139C2" w:rsidTr="00D742F1">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červen</w:t>
            </w: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D742F1" w:rsidRPr="000139C2" w:rsidTr="00D742F1">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červenec</w:t>
            </w: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D742F1" w:rsidRPr="000139C2" w:rsidTr="00D742F1">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srpen</w:t>
            </w: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D742F1" w:rsidRPr="000139C2" w:rsidTr="00D742F1">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září</w:t>
            </w: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D742F1" w:rsidRPr="000139C2" w:rsidTr="00D742F1">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říjen</w:t>
            </w: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D742F1" w:rsidRPr="000139C2" w:rsidTr="00D742F1">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listopad</w:t>
            </w: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D742F1" w:rsidRPr="000139C2" w:rsidTr="00D742F1">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prosinec</w:t>
            </w: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D742F1" w:rsidRPr="000139C2" w:rsidTr="00D742F1">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rok CELKEM</w:t>
            </w: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c>
          <w:tcPr>
            <w:tcW w:w="0" w:type="auto"/>
          </w:tcPr>
          <w:p w:rsidR="00D742F1" w:rsidRPr="000139C2" w:rsidRDefault="00D742F1" w:rsidP="002D4D83">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bl>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V …………………….</w:t>
      </w: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Dne…………………</w:t>
      </w: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Podpis:………………</w:t>
      </w:r>
      <w:proofErr w:type="gramStart"/>
      <w:r w:rsidRPr="000139C2">
        <w:rPr>
          <w:b/>
          <w:snapToGrid w:val="0"/>
        </w:rPr>
        <w:t>…..</w:t>
      </w:r>
      <w:proofErr w:type="gramEnd"/>
    </w:p>
    <w:p w:rsidR="005E03EC" w:rsidRPr="000139C2" w:rsidRDefault="005E03EC" w:rsidP="005E03EC">
      <w:pPr>
        <w:jc w:val="both"/>
        <w:rPr>
          <w:b/>
        </w:rPr>
      </w:pPr>
    </w:p>
    <w:p w:rsidR="005E03EC" w:rsidRPr="000139C2" w:rsidRDefault="005E03EC" w:rsidP="005E03EC">
      <w:pPr>
        <w:jc w:val="both"/>
      </w:pPr>
      <w:r w:rsidRPr="000139C2">
        <w:rPr>
          <w:b/>
        </w:rPr>
        <w:br w:type="page"/>
      </w: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r w:rsidRPr="000139C2">
        <w:rPr>
          <w:b/>
          <w:snapToGrid w:val="0"/>
        </w:rPr>
        <w:lastRenderedPageBreak/>
        <w:t>Příloha č. 3</w:t>
      </w:r>
    </w:p>
    <w:p w:rsidR="005E03EC"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r w:rsidRPr="000139C2">
        <w:rPr>
          <w:b/>
          <w:snapToGrid w:val="0"/>
        </w:rPr>
        <w:t>Přihláška k</w:t>
      </w:r>
      <w:r>
        <w:rPr>
          <w:b/>
          <w:snapToGrid w:val="0"/>
        </w:rPr>
        <w:t> </w:t>
      </w:r>
      <w:r w:rsidRPr="000139C2">
        <w:rPr>
          <w:b/>
          <w:snapToGrid w:val="0"/>
        </w:rPr>
        <w:t>odběru</w:t>
      </w:r>
      <w:r w:rsidRPr="003E00DB">
        <w:rPr>
          <w:noProof/>
        </w:rPr>
        <w:drawing>
          <wp:inline distT="0" distB="0" distL="0" distR="0" wp14:anchorId="35CDAACD" wp14:editId="2E1E55BD">
            <wp:extent cx="5313600" cy="6840000"/>
            <wp:effectExtent l="0" t="0" r="190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3600" cy="6840000"/>
                    </a:xfrm>
                    <a:prstGeom prst="rect">
                      <a:avLst/>
                    </a:prstGeom>
                    <a:noFill/>
                    <a:ln>
                      <a:noFill/>
                    </a:ln>
                  </pic:spPr>
                </pic:pic>
              </a:graphicData>
            </a:graphic>
          </wp:inline>
        </w:drawing>
      </w: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r w:rsidRPr="003E00DB">
        <w:rPr>
          <w:noProof/>
        </w:rPr>
        <w:lastRenderedPageBreak/>
        <w:drawing>
          <wp:inline distT="0" distB="0" distL="0" distR="0" wp14:anchorId="5CCBF047" wp14:editId="16CDAB9D">
            <wp:extent cx="5277600" cy="5796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7600" cy="5796000"/>
                    </a:xfrm>
                    <a:prstGeom prst="rect">
                      <a:avLst/>
                    </a:prstGeom>
                    <a:noFill/>
                    <a:ln>
                      <a:noFill/>
                    </a:ln>
                  </pic:spPr>
                </pic:pic>
              </a:graphicData>
            </a:graphic>
          </wp:inline>
        </w:drawing>
      </w:r>
    </w:p>
    <w:p w:rsidR="005E03EC" w:rsidRDefault="005E03EC" w:rsidP="005E03EC">
      <w:pPr>
        <w:rPr>
          <w:b/>
          <w:snapToGrid w:val="0"/>
        </w:rPr>
      </w:pPr>
      <w:r>
        <w:rPr>
          <w:b/>
          <w:snapToGrid w:val="0"/>
        </w:rPr>
        <w:br w:type="page"/>
      </w: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r w:rsidRPr="000139C2">
        <w:rPr>
          <w:b/>
          <w:snapToGrid w:val="0"/>
        </w:rPr>
        <w:lastRenderedPageBreak/>
        <w:t>Příloha č. 4</w:t>
      </w: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r w:rsidRPr="000139C2">
        <w:rPr>
          <w:b/>
          <w:snapToGrid w:val="0"/>
        </w:rPr>
        <w:t>Ceník</w:t>
      </w: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b/>
          <w:snapToGrid w:val="0"/>
        </w:rPr>
      </w:pPr>
    </w:p>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b/>
          <w:snapToGrid w:val="0"/>
        </w:rPr>
      </w:pPr>
    </w:p>
    <w:tbl>
      <w:tblPr>
        <w:tblStyle w:val="Mkatabulky"/>
        <w:tblW w:w="5000" w:type="pct"/>
        <w:jc w:val="center"/>
        <w:tblLook w:val="04A0" w:firstRow="1" w:lastRow="0" w:firstColumn="1" w:lastColumn="0" w:noHBand="0" w:noVBand="1"/>
      </w:tblPr>
      <w:tblGrid>
        <w:gridCol w:w="6235"/>
        <w:gridCol w:w="667"/>
        <w:gridCol w:w="333"/>
        <w:gridCol w:w="1077"/>
      </w:tblGrid>
      <w:tr w:rsidR="00A91132" w:rsidRPr="003C7B41" w:rsidTr="00A91132">
        <w:trPr>
          <w:trHeight w:val="986"/>
          <w:jc w:val="center"/>
        </w:trPr>
        <w:tc>
          <w:tcPr>
            <w:tcW w:w="9071" w:type="dxa"/>
            <w:gridSpan w:val="4"/>
            <w:tcBorders>
              <w:top w:val="nil"/>
              <w:left w:val="nil"/>
              <w:bottom w:val="nil"/>
              <w:right w:val="nil"/>
            </w:tcBorders>
            <w:hideMark/>
          </w:tcPr>
          <w:p w:rsidR="00A91132" w:rsidRDefault="00A91132" w:rsidP="00C61D6E">
            <w:pPr>
              <w:rPr>
                <w:b/>
                <w:bCs/>
              </w:rPr>
            </w:pPr>
            <w:bookmarkStart w:id="17" w:name="Address"/>
            <w:bookmarkEnd w:id="17"/>
            <w:r w:rsidRPr="003C7B41">
              <w:br w:type="page"/>
            </w:r>
            <w:r>
              <w:rPr>
                <w:b/>
                <w:bCs/>
              </w:rPr>
              <w:t>Předběžné ceny</w:t>
            </w:r>
            <w:r w:rsidRPr="003C7B41">
              <w:rPr>
                <w:b/>
                <w:bCs/>
              </w:rPr>
              <w:t xml:space="preserve"> tepelné energie </w:t>
            </w:r>
            <w:r>
              <w:rPr>
                <w:b/>
                <w:bCs/>
              </w:rPr>
              <w:t xml:space="preserve">společnosti </w:t>
            </w:r>
            <w:proofErr w:type="spellStart"/>
            <w:r w:rsidRPr="003C7B41">
              <w:rPr>
                <w:b/>
                <w:bCs/>
              </w:rPr>
              <w:t>Alpiq</w:t>
            </w:r>
            <w:proofErr w:type="spellEnd"/>
            <w:r w:rsidRPr="003C7B41">
              <w:rPr>
                <w:b/>
                <w:bCs/>
              </w:rPr>
              <w:t xml:space="preserve"> </w:t>
            </w:r>
            <w:proofErr w:type="spellStart"/>
            <w:r w:rsidRPr="003C7B41">
              <w:rPr>
                <w:b/>
                <w:bCs/>
              </w:rPr>
              <w:t>Generation</w:t>
            </w:r>
            <w:proofErr w:type="spellEnd"/>
            <w:r w:rsidRPr="003C7B41">
              <w:rPr>
                <w:b/>
                <w:bCs/>
              </w:rPr>
              <w:t xml:space="preserve"> (CZ) s.r.o.  </w:t>
            </w:r>
          </w:p>
          <w:p w:rsidR="00A91132" w:rsidRPr="003C7B41" w:rsidRDefault="00A91132" w:rsidP="00C61D6E">
            <w:pPr>
              <w:rPr>
                <w:b/>
                <w:bCs/>
              </w:rPr>
            </w:pPr>
            <w:r w:rsidRPr="003C7B41">
              <w:rPr>
                <w:b/>
                <w:bCs/>
              </w:rPr>
              <w:t>pro odběratele, připojené k SZTE Zlín</w:t>
            </w:r>
          </w:p>
        </w:tc>
      </w:tr>
      <w:tr w:rsidR="00A91132" w:rsidRPr="003C7B41" w:rsidTr="00A91132">
        <w:trPr>
          <w:trHeight w:val="986"/>
          <w:jc w:val="center"/>
        </w:trPr>
        <w:tc>
          <w:tcPr>
            <w:tcW w:w="9071" w:type="dxa"/>
            <w:gridSpan w:val="4"/>
            <w:tcBorders>
              <w:top w:val="nil"/>
              <w:left w:val="nil"/>
              <w:bottom w:val="nil"/>
              <w:right w:val="nil"/>
            </w:tcBorders>
            <w:hideMark/>
          </w:tcPr>
          <w:p w:rsidR="00A91132" w:rsidRPr="003C7B41" w:rsidRDefault="00A91132" w:rsidP="00C61D6E">
            <w:r w:rsidRPr="003C7B41">
              <w:t>platn</w:t>
            </w:r>
            <w:r>
              <w:t>é</w:t>
            </w:r>
            <w:r w:rsidRPr="003C7B41">
              <w:t xml:space="preserve"> </w:t>
            </w:r>
            <w:r>
              <w:t>pro období od</w:t>
            </w:r>
            <w:r w:rsidRPr="003C7B41">
              <w:t xml:space="preserve"> 1.</w:t>
            </w:r>
            <w:r>
              <w:t xml:space="preserve"> </w:t>
            </w:r>
            <w:r w:rsidRPr="003C7B41">
              <w:t>1.</w:t>
            </w:r>
            <w:r>
              <w:t xml:space="preserve"> </w:t>
            </w:r>
            <w:r w:rsidRPr="003C7B41">
              <w:t>201</w:t>
            </w:r>
            <w:r>
              <w:t>6</w:t>
            </w:r>
          </w:p>
        </w:tc>
      </w:tr>
      <w:tr w:rsidR="00A91132" w:rsidRPr="003C7B41" w:rsidTr="00A91132">
        <w:trPr>
          <w:trHeight w:val="406"/>
          <w:jc w:val="center"/>
        </w:trPr>
        <w:tc>
          <w:tcPr>
            <w:tcW w:w="9071" w:type="dxa"/>
            <w:gridSpan w:val="4"/>
            <w:tcBorders>
              <w:top w:val="nil"/>
              <w:left w:val="nil"/>
              <w:bottom w:val="nil"/>
              <w:right w:val="nil"/>
            </w:tcBorders>
            <w:hideMark/>
          </w:tcPr>
          <w:p w:rsidR="00A91132" w:rsidRPr="003C7B41" w:rsidRDefault="00A91132" w:rsidP="00C61D6E">
            <w:r w:rsidRPr="003C7B41">
              <w:t>Pro odběr tepelné energie z primárních rozvodů SZTE platí následující</w:t>
            </w:r>
            <w:r>
              <w:t xml:space="preserve"> předběžné</w:t>
            </w:r>
            <w:r w:rsidRPr="003C7B41">
              <w:t xml:space="preserve"> ceny:</w:t>
            </w:r>
          </w:p>
        </w:tc>
      </w:tr>
      <w:tr w:rsidR="00A91132" w:rsidRPr="003C7B41" w:rsidTr="00A91132">
        <w:trPr>
          <w:trHeight w:val="285"/>
          <w:jc w:val="center"/>
        </w:trPr>
        <w:tc>
          <w:tcPr>
            <w:tcW w:w="6891" w:type="dxa"/>
            <w:tcBorders>
              <w:top w:val="nil"/>
              <w:left w:val="nil"/>
              <w:bottom w:val="nil"/>
              <w:right w:val="nil"/>
            </w:tcBorders>
          </w:tcPr>
          <w:p w:rsidR="00A91132" w:rsidRPr="003C7B41" w:rsidRDefault="00A91132" w:rsidP="00C61D6E">
            <w:r w:rsidRPr="003C7B41">
              <w:t xml:space="preserve">cenová lokalita 120 – teplo v horké vodě </w:t>
            </w:r>
          </w:p>
        </w:tc>
        <w:tc>
          <w:tcPr>
            <w:tcW w:w="1069" w:type="dxa"/>
            <w:gridSpan w:val="2"/>
            <w:tcBorders>
              <w:top w:val="nil"/>
              <w:left w:val="nil"/>
              <w:bottom w:val="nil"/>
              <w:right w:val="nil"/>
            </w:tcBorders>
          </w:tcPr>
          <w:p w:rsidR="00A91132" w:rsidRPr="003C7B41" w:rsidRDefault="00A91132" w:rsidP="00C61D6E">
            <w:pPr>
              <w:jc w:val="center"/>
            </w:pPr>
            <w:r w:rsidRPr="003C7B41">
              <w:t>Kč / GJ</w:t>
            </w:r>
          </w:p>
        </w:tc>
        <w:tc>
          <w:tcPr>
            <w:tcW w:w="1111" w:type="dxa"/>
            <w:tcBorders>
              <w:top w:val="nil"/>
              <w:left w:val="nil"/>
              <w:bottom w:val="nil"/>
              <w:right w:val="nil"/>
            </w:tcBorders>
          </w:tcPr>
          <w:p w:rsidR="00A91132" w:rsidRPr="003C7B41" w:rsidRDefault="00A91132" w:rsidP="00C61D6E">
            <w:pPr>
              <w:jc w:val="right"/>
            </w:pPr>
            <w:r w:rsidRPr="00D7270C">
              <w:t>377,61</w:t>
            </w:r>
          </w:p>
        </w:tc>
      </w:tr>
      <w:tr w:rsidR="00A91132" w:rsidRPr="003C7B41" w:rsidTr="00A91132">
        <w:trPr>
          <w:trHeight w:val="285"/>
          <w:jc w:val="center"/>
        </w:trPr>
        <w:tc>
          <w:tcPr>
            <w:tcW w:w="6891" w:type="dxa"/>
            <w:tcBorders>
              <w:top w:val="nil"/>
              <w:left w:val="nil"/>
              <w:bottom w:val="nil"/>
              <w:right w:val="nil"/>
            </w:tcBorders>
            <w:hideMark/>
          </w:tcPr>
          <w:p w:rsidR="00A91132" w:rsidRPr="003C7B41" w:rsidRDefault="00A91132" w:rsidP="00C61D6E">
            <w:r w:rsidRPr="003C7B41">
              <w:t>cenová lokalita 320 – teplo v páře</w:t>
            </w:r>
          </w:p>
        </w:tc>
        <w:tc>
          <w:tcPr>
            <w:tcW w:w="1069" w:type="dxa"/>
            <w:gridSpan w:val="2"/>
            <w:tcBorders>
              <w:top w:val="nil"/>
              <w:left w:val="nil"/>
              <w:bottom w:val="nil"/>
              <w:right w:val="nil"/>
            </w:tcBorders>
            <w:hideMark/>
          </w:tcPr>
          <w:p w:rsidR="00A91132" w:rsidRPr="003C7B41" w:rsidRDefault="00A91132" w:rsidP="00C61D6E">
            <w:pPr>
              <w:jc w:val="center"/>
            </w:pPr>
            <w:r w:rsidRPr="003C7B41">
              <w:t>Kč / GJ</w:t>
            </w:r>
          </w:p>
        </w:tc>
        <w:tc>
          <w:tcPr>
            <w:tcW w:w="1111" w:type="dxa"/>
            <w:tcBorders>
              <w:top w:val="nil"/>
              <w:left w:val="nil"/>
              <w:bottom w:val="nil"/>
              <w:right w:val="nil"/>
            </w:tcBorders>
            <w:hideMark/>
          </w:tcPr>
          <w:p w:rsidR="00A91132" w:rsidRPr="003C7B41" w:rsidRDefault="00A91132" w:rsidP="00C61D6E">
            <w:pPr>
              <w:jc w:val="right"/>
            </w:pPr>
            <w:r w:rsidRPr="00D7270C">
              <w:t>400,88</w:t>
            </w:r>
          </w:p>
        </w:tc>
      </w:tr>
      <w:tr w:rsidR="00A91132" w:rsidRPr="001314B7" w:rsidTr="00A91132">
        <w:trPr>
          <w:trHeight w:val="1112"/>
          <w:jc w:val="center"/>
        </w:trPr>
        <w:tc>
          <w:tcPr>
            <w:tcW w:w="9071" w:type="dxa"/>
            <w:gridSpan w:val="4"/>
            <w:tcBorders>
              <w:top w:val="nil"/>
              <w:left w:val="nil"/>
              <w:bottom w:val="nil"/>
              <w:right w:val="nil"/>
            </w:tcBorders>
            <w:vAlign w:val="bottom"/>
            <w:hideMark/>
          </w:tcPr>
          <w:p w:rsidR="00A91132" w:rsidRPr="001314B7" w:rsidRDefault="00A91132" w:rsidP="00C61D6E">
            <w:pPr>
              <w:spacing w:after="120"/>
            </w:pPr>
            <w:r>
              <w:t xml:space="preserve">Pro odběr </w:t>
            </w:r>
            <w:r w:rsidRPr="008E05C7">
              <w:t>tep</w:t>
            </w:r>
            <w:r>
              <w:t>e</w:t>
            </w:r>
            <w:r w:rsidRPr="008E05C7">
              <w:t>l</w:t>
            </w:r>
            <w:r>
              <w:t xml:space="preserve">né energie z předávací stanice společnosti </w:t>
            </w:r>
            <w:proofErr w:type="spellStart"/>
            <w:r>
              <w:t>Alpiq</w:t>
            </w:r>
            <w:proofErr w:type="spellEnd"/>
            <w:r>
              <w:t xml:space="preserve"> </w:t>
            </w:r>
            <w:proofErr w:type="spellStart"/>
            <w:r>
              <w:t>Generation</w:t>
            </w:r>
            <w:proofErr w:type="spellEnd"/>
            <w:r>
              <w:t xml:space="preserve"> (CZ) s.r.o. platí následující předběžné ceny:</w:t>
            </w:r>
          </w:p>
        </w:tc>
      </w:tr>
      <w:tr w:rsidR="00A91132" w:rsidRPr="001314B7" w:rsidTr="00A91132">
        <w:trPr>
          <w:trHeight w:val="285"/>
          <w:jc w:val="center"/>
        </w:trPr>
        <w:tc>
          <w:tcPr>
            <w:tcW w:w="6891" w:type="dxa"/>
            <w:tcBorders>
              <w:top w:val="nil"/>
              <w:left w:val="nil"/>
              <w:bottom w:val="nil"/>
              <w:right w:val="nil"/>
            </w:tcBorders>
          </w:tcPr>
          <w:p w:rsidR="00A91132" w:rsidRPr="001314B7" w:rsidRDefault="00A91132" w:rsidP="00C61D6E">
            <w:r>
              <w:t>cenová lokalita 130 – teplo z předávací stanice horká voda / teplá voda</w:t>
            </w:r>
          </w:p>
        </w:tc>
        <w:tc>
          <w:tcPr>
            <w:tcW w:w="1069" w:type="dxa"/>
            <w:gridSpan w:val="2"/>
            <w:tcBorders>
              <w:top w:val="nil"/>
              <w:left w:val="nil"/>
              <w:bottom w:val="nil"/>
              <w:right w:val="nil"/>
            </w:tcBorders>
          </w:tcPr>
          <w:p w:rsidR="00A91132" w:rsidRPr="001314B7" w:rsidRDefault="00A91132" w:rsidP="00C61D6E">
            <w:pPr>
              <w:jc w:val="center"/>
            </w:pPr>
            <w:r w:rsidRPr="001314B7">
              <w:t>Kč / GJ</w:t>
            </w:r>
          </w:p>
        </w:tc>
        <w:tc>
          <w:tcPr>
            <w:tcW w:w="1111" w:type="dxa"/>
            <w:tcBorders>
              <w:top w:val="nil"/>
              <w:left w:val="nil"/>
              <w:bottom w:val="nil"/>
              <w:right w:val="nil"/>
            </w:tcBorders>
          </w:tcPr>
          <w:p w:rsidR="00A91132" w:rsidRDefault="00A91132" w:rsidP="00C61D6E">
            <w:pPr>
              <w:jc w:val="right"/>
            </w:pPr>
            <w:r w:rsidRPr="00FA1EFE">
              <w:t>450,2</w:t>
            </w:r>
            <w:r>
              <w:t>0</w:t>
            </w:r>
          </w:p>
        </w:tc>
      </w:tr>
      <w:tr w:rsidR="00A91132" w:rsidRPr="001314B7" w:rsidTr="00A91132">
        <w:trPr>
          <w:trHeight w:val="773"/>
          <w:jc w:val="center"/>
        </w:trPr>
        <w:tc>
          <w:tcPr>
            <w:tcW w:w="6891" w:type="dxa"/>
            <w:tcBorders>
              <w:top w:val="nil"/>
              <w:left w:val="nil"/>
              <w:bottom w:val="nil"/>
              <w:right w:val="nil"/>
            </w:tcBorders>
            <w:hideMark/>
          </w:tcPr>
          <w:p w:rsidR="00A91132" w:rsidRPr="001314B7" w:rsidRDefault="00A91132" w:rsidP="00C61D6E">
            <w:r>
              <w:t>cenová lokalita 330 – teplo z předávací stanice pára / teplá voda</w:t>
            </w:r>
          </w:p>
        </w:tc>
        <w:tc>
          <w:tcPr>
            <w:tcW w:w="1069" w:type="dxa"/>
            <w:gridSpan w:val="2"/>
            <w:tcBorders>
              <w:top w:val="nil"/>
              <w:left w:val="nil"/>
              <w:bottom w:val="nil"/>
              <w:right w:val="nil"/>
            </w:tcBorders>
            <w:hideMark/>
          </w:tcPr>
          <w:p w:rsidR="00A91132" w:rsidRPr="001314B7" w:rsidRDefault="00A91132" w:rsidP="00C61D6E">
            <w:pPr>
              <w:jc w:val="center"/>
            </w:pPr>
            <w:r w:rsidRPr="001314B7">
              <w:t>Kč / GJ</w:t>
            </w:r>
          </w:p>
        </w:tc>
        <w:tc>
          <w:tcPr>
            <w:tcW w:w="1111" w:type="dxa"/>
            <w:tcBorders>
              <w:top w:val="nil"/>
              <w:left w:val="nil"/>
              <w:bottom w:val="nil"/>
              <w:right w:val="nil"/>
            </w:tcBorders>
            <w:hideMark/>
          </w:tcPr>
          <w:p w:rsidR="00A91132" w:rsidRPr="001314B7" w:rsidRDefault="00A91132" w:rsidP="00C61D6E">
            <w:pPr>
              <w:jc w:val="right"/>
            </w:pPr>
            <w:r w:rsidRPr="00FA1EFE">
              <w:t>473,47</w:t>
            </w:r>
          </w:p>
        </w:tc>
      </w:tr>
      <w:tr w:rsidR="00A91132" w:rsidRPr="003C7B41" w:rsidTr="00A91132">
        <w:trPr>
          <w:trHeight w:val="931"/>
          <w:jc w:val="center"/>
        </w:trPr>
        <w:tc>
          <w:tcPr>
            <w:tcW w:w="9071" w:type="dxa"/>
            <w:gridSpan w:val="4"/>
            <w:tcBorders>
              <w:top w:val="nil"/>
              <w:left w:val="nil"/>
              <w:bottom w:val="nil"/>
              <w:right w:val="nil"/>
            </w:tcBorders>
            <w:hideMark/>
          </w:tcPr>
          <w:p w:rsidR="00A91132" w:rsidRPr="003C7B41" w:rsidRDefault="00A91132" w:rsidP="00C61D6E">
            <w:r>
              <w:t>Ceny tepelné energie</w:t>
            </w:r>
            <w:r w:rsidRPr="003C7B41">
              <w:t xml:space="preserve"> jsou stanoveny </w:t>
            </w:r>
            <w:r>
              <w:t xml:space="preserve">podle pravidel věcného usměrňování cen tepelné energie, zveřejněných </w:t>
            </w:r>
            <w:r w:rsidRPr="003C7B41">
              <w:t>E</w:t>
            </w:r>
            <w:r>
              <w:t>nergetickým regulačním úřadem v platných cenových rozhodnutích k cenám tepelné energie</w:t>
            </w:r>
            <w:r w:rsidRPr="003C7B41">
              <w:t>.</w:t>
            </w:r>
          </w:p>
        </w:tc>
      </w:tr>
      <w:tr w:rsidR="00A91132" w:rsidRPr="003C7B41" w:rsidTr="00A91132">
        <w:trPr>
          <w:trHeight w:val="845"/>
          <w:jc w:val="center"/>
        </w:trPr>
        <w:tc>
          <w:tcPr>
            <w:tcW w:w="6891" w:type="dxa"/>
            <w:tcBorders>
              <w:top w:val="nil"/>
              <w:left w:val="nil"/>
              <w:bottom w:val="nil"/>
              <w:right w:val="nil"/>
            </w:tcBorders>
            <w:hideMark/>
          </w:tcPr>
          <w:p w:rsidR="00A91132" w:rsidRPr="003C7B41" w:rsidRDefault="00A91132" w:rsidP="00C61D6E">
            <w:r w:rsidRPr="003C7B41">
              <w:t>Cena za nevrácenou teplonosnou látku (</w:t>
            </w:r>
            <w:r>
              <w:t>upravená voda</w:t>
            </w:r>
            <w:r w:rsidRPr="003C7B41">
              <w:t>)</w:t>
            </w:r>
          </w:p>
        </w:tc>
        <w:tc>
          <w:tcPr>
            <w:tcW w:w="1069" w:type="dxa"/>
            <w:gridSpan w:val="2"/>
            <w:tcBorders>
              <w:top w:val="nil"/>
              <w:left w:val="nil"/>
              <w:bottom w:val="nil"/>
              <w:right w:val="nil"/>
            </w:tcBorders>
            <w:hideMark/>
          </w:tcPr>
          <w:p w:rsidR="00A91132" w:rsidRPr="003C7B41" w:rsidRDefault="00A91132" w:rsidP="00C61D6E">
            <w:pPr>
              <w:jc w:val="center"/>
            </w:pPr>
            <w:r w:rsidRPr="003C7B41">
              <w:t>Kč / t</w:t>
            </w:r>
          </w:p>
        </w:tc>
        <w:tc>
          <w:tcPr>
            <w:tcW w:w="1111" w:type="dxa"/>
            <w:tcBorders>
              <w:top w:val="nil"/>
              <w:left w:val="nil"/>
              <w:bottom w:val="nil"/>
              <w:right w:val="nil"/>
            </w:tcBorders>
            <w:hideMark/>
          </w:tcPr>
          <w:p w:rsidR="00A91132" w:rsidRPr="003C7B41" w:rsidRDefault="00A91132" w:rsidP="00C61D6E">
            <w:pPr>
              <w:jc w:val="right"/>
            </w:pPr>
            <w:r>
              <w:t>115,93</w:t>
            </w:r>
          </w:p>
        </w:tc>
      </w:tr>
      <w:tr w:rsidR="00A91132" w:rsidRPr="003C7B41" w:rsidTr="00A91132">
        <w:trPr>
          <w:trHeight w:val="285"/>
          <w:jc w:val="center"/>
        </w:trPr>
        <w:tc>
          <w:tcPr>
            <w:tcW w:w="9071" w:type="dxa"/>
            <w:gridSpan w:val="4"/>
            <w:tcBorders>
              <w:top w:val="nil"/>
              <w:left w:val="nil"/>
              <w:bottom w:val="nil"/>
              <w:right w:val="nil"/>
            </w:tcBorders>
            <w:hideMark/>
          </w:tcPr>
          <w:p w:rsidR="00A91132" w:rsidRPr="003C7B41" w:rsidRDefault="00A91132" w:rsidP="00C61D6E">
            <w:r w:rsidRPr="003C7B41">
              <w:t>Pro ostatní služby souvisící s dodávkami tepelné energie platí následující ceny:</w:t>
            </w:r>
          </w:p>
        </w:tc>
      </w:tr>
      <w:tr w:rsidR="00A91132" w:rsidRPr="003C7B41" w:rsidTr="00A91132">
        <w:trPr>
          <w:trHeight w:val="300"/>
          <w:jc w:val="center"/>
        </w:trPr>
        <w:tc>
          <w:tcPr>
            <w:tcW w:w="7598" w:type="dxa"/>
            <w:gridSpan w:val="2"/>
            <w:tcBorders>
              <w:top w:val="nil"/>
              <w:left w:val="nil"/>
              <w:bottom w:val="nil"/>
              <w:right w:val="nil"/>
            </w:tcBorders>
            <w:hideMark/>
          </w:tcPr>
          <w:p w:rsidR="00A91132" w:rsidRPr="003C7B41" w:rsidRDefault="00A91132" w:rsidP="00C61D6E">
            <w:r w:rsidRPr="003C7B41">
              <w:t>Poplatek za 1. upomínku</w:t>
            </w:r>
          </w:p>
        </w:tc>
        <w:tc>
          <w:tcPr>
            <w:tcW w:w="1473" w:type="dxa"/>
            <w:gridSpan w:val="2"/>
            <w:tcBorders>
              <w:top w:val="nil"/>
              <w:left w:val="nil"/>
              <w:bottom w:val="nil"/>
              <w:right w:val="nil"/>
            </w:tcBorders>
            <w:hideMark/>
          </w:tcPr>
          <w:p w:rsidR="00A91132" w:rsidRPr="003C7B41" w:rsidRDefault="00A91132" w:rsidP="00C61D6E">
            <w:pPr>
              <w:jc w:val="right"/>
            </w:pPr>
            <w:r w:rsidRPr="003C7B41">
              <w:t>0 Kč</w:t>
            </w:r>
          </w:p>
        </w:tc>
      </w:tr>
      <w:tr w:rsidR="00A91132" w:rsidRPr="003C7B41" w:rsidTr="00A91132">
        <w:trPr>
          <w:trHeight w:val="300"/>
          <w:jc w:val="center"/>
        </w:trPr>
        <w:tc>
          <w:tcPr>
            <w:tcW w:w="7598" w:type="dxa"/>
            <w:gridSpan w:val="2"/>
            <w:tcBorders>
              <w:top w:val="nil"/>
              <w:left w:val="nil"/>
              <w:bottom w:val="nil"/>
              <w:right w:val="nil"/>
            </w:tcBorders>
            <w:hideMark/>
          </w:tcPr>
          <w:p w:rsidR="00A91132" w:rsidRPr="003C7B41" w:rsidRDefault="00A91132" w:rsidP="00C61D6E">
            <w:r w:rsidRPr="003C7B41">
              <w:t>Poplatek za 2. upomínku</w:t>
            </w:r>
          </w:p>
        </w:tc>
        <w:tc>
          <w:tcPr>
            <w:tcW w:w="1473" w:type="dxa"/>
            <w:gridSpan w:val="2"/>
            <w:tcBorders>
              <w:top w:val="nil"/>
              <w:left w:val="nil"/>
              <w:bottom w:val="nil"/>
              <w:right w:val="nil"/>
            </w:tcBorders>
            <w:hideMark/>
          </w:tcPr>
          <w:p w:rsidR="00A91132" w:rsidRPr="003C7B41" w:rsidRDefault="00A91132" w:rsidP="00C61D6E">
            <w:pPr>
              <w:jc w:val="right"/>
            </w:pPr>
            <w:r w:rsidRPr="003C7B41">
              <w:t>500 Kč</w:t>
            </w:r>
          </w:p>
        </w:tc>
      </w:tr>
      <w:tr w:rsidR="00A91132" w:rsidRPr="003C7B41" w:rsidTr="00A91132">
        <w:trPr>
          <w:trHeight w:val="544"/>
          <w:jc w:val="center"/>
        </w:trPr>
        <w:tc>
          <w:tcPr>
            <w:tcW w:w="7598" w:type="dxa"/>
            <w:gridSpan w:val="2"/>
            <w:tcBorders>
              <w:top w:val="nil"/>
              <w:left w:val="nil"/>
              <w:bottom w:val="nil"/>
              <w:right w:val="nil"/>
            </w:tcBorders>
            <w:hideMark/>
          </w:tcPr>
          <w:p w:rsidR="00A91132" w:rsidRPr="003C7B41" w:rsidRDefault="00A91132" w:rsidP="00C61D6E">
            <w:r w:rsidRPr="003C7B41">
              <w:t>Poplatek za 3. upomínku</w:t>
            </w:r>
          </w:p>
        </w:tc>
        <w:tc>
          <w:tcPr>
            <w:tcW w:w="1473" w:type="dxa"/>
            <w:gridSpan w:val="2"/>
            <w:tcBorders>
              <w:top w:val="nil"/>
              <w:left w:val="nil"/>
              <w:bottom w:val="nil"/>
              <w:right w:val="nil"/>
            </w:tcBorders>
            <w:hideMark/>
          </w:tcPr>
          <w:p w:rsidR="00A91132" w:rsidRPr="003C7B41" w:rsidRDefault="00A91132" w:rsidP="00C61D6E">
            <w:pPr>
              <w:jc w:val="right"/>
            </w:pPr>
            <w:r w:rsidRPr="003C7B41">
              <w:t>1 000 Kč</w:t>
            </w:r>
          </w:p>
        </w:tc>
      </w:tr>
      <w:tr w:rsidR="00A91132" w:rsidRPr="003C7B41" w:rsidTr="00A91132">
        <w:trPr>
          <w:trHeight w:val="300"/>
          <w:jc w:val="center"/>
        </w:trPr>
        <w:tc>
          <w:tcPr>
            <w:tcW w:w="7598" w:type="dxa"/>
            <w:gridSpan w:val="2"/>
            <w:tcBorders>
              <w:top w:val="nil"/>
              <w:left w:val="nil"/>
              <w:bottom w:val="nil"/>
              <w:right w:val="nil"/>
            </w:tcBorders>
            <w:hideMark/>
          </w:tcPr>
          <w:p w:rsidR="00A91132" w:rsidRPr="003C7B41" w:rsidRDefault="00A91132" w:rsidP="00C61D6E">
            <w:r w:rsidRPr="003C7B41">
              <w:t>Poplatek za zpracování platby s nesprávnými identifikačními údaji</w:t>
            </w:r>
          </w:p>
        </w:tc>
        <w:tc>
          <w:tcPr>
            <w:tcW w:w="1473" w:type="dxa"/>
            <w:gridSpan w:val="2"/>
            <w:tcBorders>
              <w:top w:val="nil"/>
              <w:left w:val="nil"/>
              <w:bottom w:val="nil"/>
              <w:right w:val="nil"/>
            </w:tcBorders>
            <w:hideMark/>
          </w:tcPr>
          <w:p w:rsidR="00A91132" w:rsidRPr="003C7B41" w:rsidRDefault="00A91132" w:rsidP="00C61D6E">
            <w:pPr>
              <w:jc w:val="right"/>
            </w:pPr>
            <w:r w:rsidRPr="003C7B41">
              <w:t>50 Kč</w:t>
            </w:r>
          </w:p>
        </w:tc>
      </w:tr>
      <w:tr w:rsidR="00A91132" w:rsidRPr="003C7B41" w:rsidTr="00A91132">
        <w:trPr>
          <w:trHeight w:val="1108"/>
          <w:jc w:val="center"/>
        </w:trPr>
        <w:tc>
          <w:tcPr>
            <w:tcW w:w="7598" w:type="dxa"/>
            <w:gridSpan w:val="2"/>
            <w:tcBorders>
              <w:top w:val="nil"/>
              <w:left w:val="nil"/>
              <w:bottom w:val="nil"/>
              <w:right w:val="nil"/>
            </w:tcBorders>
            <w:hideMark/>
          </w:tcPr>
          <w:p w:rsidR="00A91132" w:rsidRPr="003C7B41" w:rsidRDefault="00A91132" w:rsidP="00C61D6E">
            <w:r w:rsidRPr="003C7B41">
              <w:t xml:space="preserve">Poplatek za provedení mimořádného odečtu na žádost odběratele </w:t>
            </w:r>
            <w:r w:rsidRPr="003C7B41">
              <w:br/>
              <w:t>(cena za započatou hodinu)</w:t>
            </w:r>
          </w:p>
        </w:tc>
        <w:tc>
          <w:tcPr>
            <w:tcW w:w="1473" w:type="dxa"/>
            <w:gridSpan w:val="2"/>
            <w:tcBorders>
              <w:top w:val="nil"/>
              <w:left w:val="nil"/>
              <w:bottom w:val="nil"/>
              <w:right w:val="nil"/>
            </w:tcBorders>
            <w:hideMark/>
          </w:tcPr>
          <w:p w:rsidR="00A91132" w:rsidRPr="003C7B41" w:rsidRDefault="00A91132" w:rsidP="00C61D6E">
            <w:pPr>
              <w:jc w:val="right"/>
            </w:pPr>
            <w:r w:rsidRPr="003C7B41">
              <w:t>500 Kč</w:t>
            </w:r>
          </w:p>
        </w:tc>
      </w:tr>
      <w:tr w:rsidR="00A91132" w:rsidRPr="003C7B41" w:rsidTr="00A91132">
        <w:trPr>
          <w:trHeight w:val="600"/>
          <w:jc w:val="center"/>
        </w:trPr>
        <w:tc>
          <w:tcPr>
            <w:tcW w:w="9071" w:type="dxa"/>
            <w:gridSpan w:val="4"/>
            <w:tcBorders>
              <w:top w:val="nil"/>
              <w:left w:val="nil"/>
              <w:bottom w:val="nil"/>
              <w:right w:val="nil"/>
            </w:tcBorders>
            <w:hideMark/>
          </w:tcPr>
          <w:p w:rsidR="00A91132" w:rsidRPr="003C7B41" w:rsidRDefault="00A91132" w:rsidP="00C61D6E">
            <w:r w:rsidRPr="003C7B41">
              <w:t>Ceny jsou uvedeny bez DPH. K cenám bude přičtena DPH ve výši, platné k datu uskutečnění zdanitelného plnění.</w:t>
            </w:r>
          </w:p>
        </w:tc>
      </w:tr>
    </w:tbl>
    <w:p w:rsidR="005E03EC" w:rsidRPr="000139C2" w:rsidRDefault="005E03EC" w:rsidP="005E03EC">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r>
        <w:rPr>
          <w:b/>
          <w:snapToGrid w:val="0"/>
        </w:rPr>
        <w:br w:type="page"/>
      </w:r>
      <w:r w:rsidRPr="000139C2">
        <w:rPr>
          <w:b/>
          <w:snapToGrid w:val="0"/>
        </w:rPr>
        <w:lastRenderedPageBreak/>
        <w:t>Příloha č. 5</w:t>
      </w:r>
    </w:p>
    <w:p w:rsidR="005E03EC" w:rsidRDefault="005E03EC" w:rsidP="005E03EC">
      <w:pPr>
        <w:spacing w:afterLines="2500" w:after="6000"/>
        <w:jc w:val="center"/>
        <w:rPr>
          <w:sz w:val="20"/>
        </w:rPr>
      </w:pPr>
      <w:r w:rsidRPr="000D7B98">
        <w:rPr>
          <w:b/>
          <w:bCs/>
          <w:sz w:val="36"/>
          <w:szCs w:val="36"/>
        </w:rPr>
        <w:t xml:space="preserve">Pravidla pro připojení </w:t>
      </w:r>
      <w:r>
        <w:rPr>
          <w:b/>
          <w:bCs/>
          <w:sz w:val="36"/>
          <w:szCs w:val="36"/>
        </w:rPr>
        <w:t>a provoz zařízení připojených k </w:t>
      </w:r>
      <w:r w:rsidRPr="000D7B98">
        <w:rPr>
          <w:b/>
          <w:bCs/>
          <w:sz w:val="36"/>
          <w:szCs w:val="36"/>
        </w:rPr>
        <w:t>soustavám centrálního zásobování teplem</w:t>
      </w:r>
      <w:r w:rsidRPr="00E82436">
        <w:rPr>
          <w:b/>
          <w:bCs/>
          <w:sz w:val="36"/>
          <w:szCs w:val="36"/>
        </w:rPr>
        <w:t xml:space="preserve"> </w:t>
      </w:r>
      <w:proofErr w:type="spellStart"/>
      <w:r>
        <w:rPr>
          <w:b/>
          <w:bCs/>
          <w:sz w:val="36"/>
          <w:szCs w:val="36"/>
        </w:rPr>
        <w:t>Alpiq</w:t>
      </w:r>
      <w:proofErr w:type="spellEnd"/>
      <w:r>
        <w:rPr>
          <w:b/>
          <w:bCs/>
          <w:sz w:val="36"/>
          <w:szCs w:val="36"/>
        </w:rPr>
        <w:t> </w:t>
      </w:r>
      <w:proofErr w:type="spellStart"/>
      <w:r>
        <w:rPr>
          <w:b/>
          <w:bCs/>
          <w:sz w:val="36"/>
          <w:szCs w:val="36"/>
        </w:rPr>
        <w:t>Generation</w:t>
      </w:r>
      <w:proofErr w:type="spellEnd"/>
      <w:r>
        <w:rPr>
          <w:b/>
          <w:bCs/>
          <w:sz w:val="36"/>
          <w:szCs w:val="36"/>
        </w:rPr>
        <w:t> (CZ) </w:t>
      </w:r>
      <w:r w:rsidRPr="00E82436">
        <w:rPr>
          <w:b/>
          <w:bCs/>
          <w:sz w:val="36"/>
          <w:szCs w:val="36"/>
        </w:rPr>
        <w:t>s.r.o.</w:t>
      </w:r>
    </w:p>
    <w:p w:rsidR="005E03EC" w:rsidRDefault="005E03EC" w:rsidP="005E03EC">
      <w:pPr>
        <w:pStyle w:val="Nadpisobsahu"/>
      </w:pPr>
      <w:bookmarkStart w:id="18" w:name="_Toc257118317"/>
      <w:r>
        <w:t>Obsah</w:t>
      </w:r>
    </w:p>
    <w:p w:rsidR="005E03EC" w:rsidRDefault="005E03EC" w:rsidP="005E03EC">
      <w:pPr>
        <w:pStyle w:val="Obsah1"/>
        <w:tabs>
          <w:tab w:val="left" w:pos="440"/>
          <w:tab w:val="right" w:leader="dot" w:pos="830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0265723" w:history="1">
        <w:r w:rsidRPr="004666DA">
          <w:rPr>
            <w:rStyle w:val="Hypertextovodkaz"/>
            <w:noProof/>
          </w:rPr>
          <w:t>1.</w:t>
        </w:r>
        <w:r>
          <w:rPr>
            <w:rFonts w:asciiTheme="minorHAnsi" w:eastAsiaTheme="minorEastAsia" w:hAnsiTheme="minorHAnsi" w:cstheme="minorBidi"/>
            <w:noProof/>
            <w:sz w:val="22"/>
            <w:szCs w:val="22"/>
          </w:rPr>
          <w:tab/>
        </w:r>
        <w:r w:rsidRPr="004666DA">
          <w:rPr>
            <w:rStyle w:val="Hypertextovodkaz"/>
            <w:noProof/>
          </w:rPr>
          <w:t>Úvod</w:t>
        </w:r>
        <w:r>
          <w:rPr>
            <w:noProof/>
            <w:webHidden/>
          </w:rPr>
          <w:tab/>
        </w:r>
        <w:r>
          <w:rPr>
            <w:noProof/>
            <w:webHidden/>
          </w:rPr>
          <w:fldChar w:fldCharType="begin"/>
        </w:r>
        <w:r>
          <w:rPr>
            <w:noProof/>
            <w:webHidden/>
          </w:rPr>
          <w:instrText xml:space="preserve"> PAGEREF _Toc430265723 \h </w:instrText>
        </w:r>
        <w:r>
          <w:rPr>
            <w:noProof/>
            <w:webHidden/>
          </w:rPr>
        </w:r>
        <w:r>
          <w:rPr>
            <w:noProof/>
            <w:webHidden/>
          </w:rPr>
          <w:fldChar w:fldCharType="separate"/>
        </w:r>
        <w:r w:rsidR="00C31D98">
          <w:rPr>
            <w:noProof/>
            <w:webHidden/>
          </w:rPr>
          <w:t>17</w:t>
        </w:r>
        <w:r>
          <w:rPr>
            <w:noProof/>
            <w:webHidden/>
          </w:rPr>
          <w:fldChar w:fldCharType="end"/>
        </w:r>
      </w:hyperlink>
    </w:p>
    <w:p w:rsidR="005E03EC" w:rsidRDefault="003F5DF7" w:rsidP="005E03EC">
      <w:pPr>
        <w:pStyle w:val="Obsah1"/>
        <w:tabs>
          <w:tab w:val="left" w:pos="440"/>
          <w:tab w:val="right" w:leader="dot" w:pos="8302"/>
        </w:tabs>
        <w:rPr>
          <w:rFonts w:asciiTheme="minorHAnsi" w:eastAsiaTheme="minorEastAsia" w:hAnsiTheme="minorHAnsi" w:cstheme="minorBidi"/>
          <w:noProof/>
          <w:sz w:val="22"/>
          <w:szCs w:val="22"/>
        </w:rPr>
      </w:pPr>
      <w:hyperlink w:anchor="_Toc430265724" w:history="1">
        <w:r w:rsidR="005E03EC" w:rsidRPr="004666DA">
          <w:rPr>
            <w:rStyle w:val="Hypertextovodkaz"/>
            <w:noProof/>
          </w:rPr>
          <w:t>2.</w:t>
        </w:r>
        <w:r w:rsidR="005E03EC">
          <w:rPr>
            <w:rFonts w:asciiTheme="minorHAnsi" w:eastAsiaTheme="minorEastAsia" w:hAnsiTheme="minorHAnsi" w:cstheme="minorBidi"/>
            <w:noProof/>
            <w:sz w:val="22"/>
            <w:szCs w:val="22"/>
          </w:rPr>
          <w:tab/>
        </w:r>
        <w:r w:rsidR="005E03EC" w:rsidRPr="004666DA">
          <w:rPr>
            <w:rStyle w:val="Hypertextovodkaz"/>
            <w:noProof/>
          </w:rPr>
          <w:t>Pojmy a definice</w:t>
        </w:r>
        <w:r w:rsidR="005E03EC">
          <w:rPr>
            <w:noProof/>
            <w:webHidden/>
          </w:rPr>
          <w:tab/>
        </w:r>
        <w:r w:rsidR="005E03EC">
          <w:rPr>
            <w:noProof/>
            <w:webHidden/>
          </w:rPr>
          <w:fldChar w:fldCharType="begin"/>
        </w:r>
        <w:r w:rsidR="005E03EC">
          <w:rPr>
            <w:noProof/>
            <w:webHidden/>
          </w:rPr>
          <w:instrText xml:space="preserve"> PAGEREF _Toc430265724 \h </w:instrText>
        </w:r>
        <w:r w:rsidR="005E03EC">
          <w:rPr>
            <w:noProof/>
            <w:webHidden/>
          </w:rPr>
        </w:r>
        <w:r w:rsidR="005E03EC">
          <w:rPr>
            <w:noProof/>
            <w:webHidden/>
          </w:rPr>
          <w:fldChar w:fldCharType="separate"/>
        </w:r>
        <w:r w:rsidR="00C31D98">
          <w:rPr>
            <w:noProof/>
            <w:webHidden/>
          </w:rPr>
          <w:t>17</w:t>
        </w:r>
        <w:r w:rsidR="005E03EC">
          <w:rPr>
            <w:noProof/>
            <w:webHidden/>
          </w:rPr>
          <w:fldChar w:fldCharType="end"/>
        </w:r>
      </w:hyperlink>
    </w:p>
    <w:p w:rsidR="005E03EC" w:rsidRDefault="003F5DF7" w:rsidP="005E03EC">
      <w:pPr>
        <w:pStyle w:val="Obsah1"/>
        <w:tabs>
          <w:tab w:val="left" w:pos="440"/>
          <w:tab w:val="right" w:leader="dot" w:pos="8302"/>
        </w:tabs>
        <w:rPr>
          <w:rFonts w:asciiTheme="minorHAnsi" w:eastAsiaTheme="minorEastAsia" w:hAnsiTheme="minorHAnsi" w:cstheme="minorBidi"/>
          <w:noProof/>
          <w:sz w:val="22"/>
          <w:szCs w:val="22"/>
        </w:rPr>
      </w:pPr>
      <w:hyperlink w:anchor="_Toc430265725" w:history="1">
        <w:r w:rsidR="005E03EC" w:rsidRPr="004666DA">
          <w:rPr>
            <w:rStyle w:val="Hypertextovodkaz"/>
            <w:noProof/>
          </w:rPr>
          <w:t>3.</w:t>
        </w:r>
        <w:r w:rsidR="005E03EC">
          <w:rPr>
            <w:rFonts w:asciiTheme="minorHAnsi" w:eastAsiaTheme="minorEastAsia" w:hAnsiTheme="minorHAnsi" w:cstheme="minorBidi"/>
            <w:noProof/>
            <w:sz w:val="22"/>
            <w:szCs w:val="22"/>
          </w:rPr>
          <w:tab/>
        </w:r>
        <w:r w:rsidR="005E03EC" w:rsidRPr="004666DA">
          <w:rPr>
            <w:rStyle w:val="Hypertextovodkaz"/>
            <w:noProof/>
          </w:rPr>
          <w:t>Popisy zabezpečující činnosti</w:t>
        </w:r>
        <w:r w:rsidR="005E03EC">
          <w:rPr>
            <w:noProof/>
            <w:webHidden/>
          </w:rPr>
          <w:tab/>
        </w:r>
        <w:r w:rsidR="005E03EC">
          <w:rPr>
            <w:noProof/>
            <w:webHidden/>
          </w:rPr>
          <w:fldChar w:fldCharType="begin"/>
        </w:r>
        <w:r w:rsidR="005E03EC">
          <w:rPr>
            <w:noProof/>
            <w:webHidden/>
          </w:rPr>
          <w:instrText xml:space="preserve"> PAGEREF _Toc430265725 \h </w:instrText>
        </w:r>
        <w:r w:rsidR="005E03EC">
          <w:rPr>
            <w:noProof/>
            <w:webHidden/>
          </w:rPr>
        </w:r>
        <w:r w:rsidR="005E03EC">
          <w:rPr>
            <w:noProof/>
            <w:webHidden/>
          </w:rPr>
          <w:fldChar w:fldCharType="separate"/>
        </w:r>
        <w:r w:rsidR="00C31D98">
          <w:rPr>
            <w:noProof/>
            <w:webHidden/>
          </w:rPr>
          <w:t>17</w:t>
        </w:r>
        <w:r w:rsidR="005E03EC">
          <w:rPr>
            <w:noProof/>
            <w:webHidden/>
          </w:rPr>
          <w:fldChar w:fldCharType="end"/>
        </w:r>
      </w:hyperlink>
    </w:p>
    <w:p w:rsidR="005E03EC" w:rsidRDefault="003F5DF7" w:rsidP="005E03EC">
      <w:pPr>
        <w:pStyle w:val="Obsah2"/>
        <w:tabs>
          <w:tab w:val="left" w:pos="880"/>
          <w:tab w:val="right" w:leader="dot" w:pos="8302"/>
        </w:tabs>
        <w:rPr>
          <w:rFonts w:asciiTheme="minorHAnsi" w:eastAsiaTheme="minorEastAsia" w:hAnsiTheme="minorHAnsi" w:cstheme="minorBidi"/>
          <w:noProof/>
          <w:sz w:val="22"/>
          <w:szCs w:val="22"/>
        </w:rPr>
      </w:pPr>
      <w:hyperlink w:anchor="_Toc430265729" w:history="1">
        <w:r w:rsidR="005E03EC" w:rsidRPr="004666DA">
          <w:rPr>
            <w:rStyle w:val="Hypertextovodkaz"/>
            <w:noProof/>
          </w:rPr>
          <w:t>3.1</w:t>
        </w:r>
        <w:r w:rsidR="005E03EC">
          <w:rPr>
            <w:rFonts w:asciiTheme="minorHAnsi" w:eastAsiaTheme="minorEastAsia" w:hAnsiTheme="minorHAnsi" w:cstheme="minorBidi"/>
            <w:noProof/>
            <w:sz w:val="22"/>
            <w:szCs w:val="22"/>
          </w:rPr>
          <w:tab/>
        </w:r>
        <w:r w:rsidR="005E03EC" w:rsidRPr="004666DA">
          <w:rPr>
            <w:rStyle w:val="Hypertextovodkaz"/>
            <w:noProof/>
          </w:rPr>
          <w:t>Projednání způsobu připojení odběrného místa</w:t>
        </w:r>
        <w:r w:rsidR="005E03EC">
          <w:rPr>
            <w:noProof/>
            <w:webHidden/>
          </w:rPr>
          <w:tab/>
        </w:r>
        <w:r w:rsidR="005E03EC">
          <w:rPr>
            <w:noProof/>
            <w:webHidden/>
          </w:rPr>
          <w:fldChar w:fldCharType="begin"/>
        </w:r>
        <w:r w:rsidR="005E03EC">
          <w:rPr>
            <w:noProof/>
            <w:webHidden/>
          </w:rPr>
          <w:instrText xml:space="preserve"> PAGEREF _Toc430265729 \h </w:instrText>
        </w:r>
        <w:r w:rsidR="005E03EC">
          <w:rPr>
            <w:noProof/>
            <w:webHidden/>
          </w:rPr>
        </w:r>
        <w:r w:rsidR="005E03EC">
          <w:rPr>
            <w:noProof/>
            <w:webHidden/>
          </w:rPr>
          <w:fldChar w:fldCharType="separate"/>
        </w:r>
        <w:r w:rsidR="00C31D98">
          <w:rPr>
            <w:noProof/>
            <w:webHidden/>
          </w:rPr>
          <w:t>17</w:t>
        </w:r>
        <w:r w:rsidR="005E03EC">
          <w:rPr>
            <w:noProof/>
            <w:webHidden/>
          </w:rPr>
          <w:fldChar w:fldCharType="end"/>
        </w:r>
      </w:hyperlink>
    </w:p>
    <w:p w:rsidR="005E03EC" w:rsidRDefault="003F5DF7" w:rsidP="005E03EC">
      <w:pPr>
        <w:pStyle w:val="Obsah2"/>
        <w:tabs>
          <w:tab w:val="left" w:pos="880"/>
          <w:tab w:val="right" w:leader="dot" w:pos="8302"/>
        </w:tabs>
        <w:rPr>
          <w:rFonts w:asciiTheme="minorHAnsi" w:eastAsiaTheme="minorEastAsia" w:hAnsiTheme="minorHAnsi" w:cstheme="minorBidi"/>
          <w:noProof/>
          <w:sz w:val="22"/>
          <w:szCs w:val="22"/>
        </w:rPr>
      </w:pPr>
      <w:hyperlink w:anchor="_Toc430265730" w:history="1">
        <w:r w:rsidR="005E03EC" w:rsidRPr="004666DA">
          <w:rPr>
            <w:rStyle w:val="Hypertextovodkaz"/>
            <w:noProof/>
          </w:rPr>
          <w:t>3.2</w:t>
        </w:r>
        <w:r w:rsidR="005E03EC">
          <w:rPr>
            <w:rFonts w:asciiTheme="minorHAnsi" w:eastAsiaTheme="minorEastAsia" w:hAnsiTheme="minorHAnsi" w:cstheme="minorBidi"/>
            <w:noProof/>
            <w:sz w:val="22"/>
            <w:szCs w:val="22"/>
          </w:rPr>
          <w:tab/>
        </w:r>
        <w:r w:rsidR="005E03EC" w:rsidRPr="004666DA">
          <w:rPr>
            <w:rStyle w:val="Hypertextovodkaz"/>
            <w:noProof/>
          </w:rPr>
          <w:t>Požadované úpravy měřícího místa pro osazení měření tepla (provádí odběratel)</w:t>
        </w:r>
        <w:r w:rsidR="005E03EC">
          <w:rPr>
            <w:noProof/>
            <w:webHidden/>
          </w:rPr>
          <w:tab/>
        </w:r>
        <w:r w:rsidR="005E03EC">
          <w:rPr>
            <w:noProof/>
            <w:webHidden/>
          </w:rPr>
          <w:fldChar w:fldCharType="begin"/>
        </w:r>
        <w:r w:rsidR="005E03EC">
          <w:rPr>
            <w:noProof/>
            <w:webHidden/>
          </w:rPr>
          <w:instrText xml:space="preserve"> PAGEREF _Toc430265730 \h </w:instrText>
        </w:r>
        <w:r w:rsidR="005E03EC">
          <w:rPr>
            <w:noProof/>
            <w:webHidden/>
          </w:rPr>
        </w:r>
        <w:r w:rsidR="005E03EC">
          <w:rPr>
            <w:noProof/>
            <w:webHidden/>
          </w:rPr>
          <w:fldChar w:fldCharType="separate"/>
        </w:r>
        <w:r w:rsidR="00C31D98">
          <w:rPr>
            <w:noProof/>
            <w:webHidden/>
          </w:rPr>
          <w:t>18</w:t>
        </w:r>
        <w:r w:rsidR="005E03EC">
          <w:rPr>
            <w:noProof/>
            <w:webHidden/>
          </w:rPr>
          <w:fldChar w:fldCharType="end"/>
        </w:r>
      </w:hyperlink>
    </w:p>
    <w:p w:rsidR="005E03EC" w:rsidRDefault="003F5DF7" w:rsidP="005E03EC">
      <w:pPr>
        <w:pStyle w:val="Obsah2"/>
        <w:tabs>
          <w:tab w:val="left" w:pos="880"/>
          <w:tab w:val="right" w:leader="dot" w:pos="8302"/>
        </w:tabs>
        <w:rPr>
          <w:rFonts w:asciiTheme="minorHAnsi" w:eastAsiaTheme="minorEastAsia" w:hAnsiTheme="minorHAnsi" w:cstheme="minorBidi"/>
          <w:noProof/>
          <w:sz w:val="22"/>
          <w:szCs w:val="22"/>
        </w:rPr>
      </w:pPr>
      <w:hyperlink w:anchor="_Toc430265731" w:history="1">
        <w:r w:rsidR="005E03EC" w:rsidRPr="004666DA">
          <w:rPr>
            <w:rStyle w:val="Hypertextovodkaz"/>
            <w:noProof/>
          </w:rPr>
          <w:t>3.3</w:t>
        </w:r>
        <w:r w:rsidR="005E03EC">
          <w:rPr>
            <w:rFonts w:asciiTheme="minorHAnsi" w:eastAsiaTheme="minorEastAsia" w:hAnsiTheme="minorHAnsi" w:cstheme="minorBidi"/>
            <w:noProof/>
            <w:sz w:val="22"/>
            <w:szCs w:val="22"/>
          </w:rPr>
          <w:tab/>
        </w:r>
        <w:r w:rsidR="005E03EC" w:rsidRPr="004666DA">
          <w:rPr>
            <w:rStyle w:val="Hypertextovodkaz"/>
            <w:noProof/>
          </w:rPr>
          <w:t>Jmenovité parametry teplonosné látky v soustavách centrálního zásobování teplem, provozovaných AGCZ</w:t>
        </w:r>
        <w:r w:rsidR="005E03EC">
          <w:rPr>
            <w:noProof/>
            <w:webHidden/>
          </w:rPr>
          <w:tab/>
        </w:r>
        <w:r w:rsidR="005E03EC">
          <w:rPr>
            <w:noProof/>
            <w:webHidden/>
          </w:rPr>
          <w:fldChar w:fldCharType="begin"/>
        </w:r>
        <w:r w:rsidR="005E03EC">
          <w:rPr>
            <w:noProof/>
            <w:webHidden/>
          </w:rPr>
          <w:instrText xml:space="preserve"> PAGEREF _Toc430265731 \h </w:instrText>
        </w:r>
        <w:r w:rsidR="005E03EC">
          <w:rPr>
            <w:noProof/>
            <w:webHidden/>
          </w:rPr>
        </w:r>
        <w:r w:rsidR="005E03EC">
          <w:rPr>
            <w:noProof/>
            <w:webHidden/>
          </w:rPr>
          <w:fldChar w:fldCharType="separate"/>
        </w:r>
        <w:r w:rsidR="00C31D98">
          <w:rPr>
            <w:noProof/>
            <w:webHidden/>
          </w:rPr>
          <w:t>18</w:t>
        </w:r>
        <w:r w:rsidR="005E03EC">
          <w:rPr>
            <w:noProof/>
            <w:webHidden/>
          </w:rPr>
          <w:fldChar w:fldCharType="end"/>
        </w:r>
      </w:hyperlink>
    </w:p>
    <w:p w:rsidR="005E03EC" w:rsidRDefault="003F5DF7" w:rsidP="005E03EC">
      <w:pPr>
        <w:pStyle w:val="Obsah2"/>
        <w:tabs>
          <w:tab w:val="left" w:pos="880"/>
          <w:tab w:val="right" w:leader="dot" w:pos="8302"/>
        </w:tabs>
        <w:rPr>
          <w:rFonts w:asciiTheme="minorHAnsi" w:eastAsiaTheme="minorEastAsia" w:hAnsiTheme="minorHAnsi" w:cstheme="minorBidi"/>
          <w:noProof/>
          <w:sz w:val="22"/>
          <w:szCs w:val="22"/>
        </w:rPr>
      </w:pPr>
      <w:hyperlink w:anchor="_Toc430265732" w:history="1">
        <w:r w:rsidR="005E03EC" w:rsidRPr="004666DA">
          <w:rPr>
            <w:rStyle w:val="Hypertextovodkaz"/>
            <w:noProof/>
          </w:rPr>
          <w:t>3.4</w:t>
        </w:r>
        <w:r w:rsidR="005E03EC">
          <w:rPr>
            <w:rFonts w:asciiTheme="minorHAnsi" w:eastAsiaTheme="minorEastAsia" w:hAnsiTheme="minorHAnsi" w:cstheme="minorBidi"/>
            <w:noProof/>
            <w:sz w:val="22"/>
            <w:szCs w:val="22"/>
          </w:rPr>
          <w:tab/>
        </w:r>
        <w:r w:rsidR="005E03EC" w:rsidRPr="004666DA">
          <w:rPr>
            <w:rStyle w:val="Hypertextovodkaz"/>
            <w:noProof/>
          </w:rPr>
          <w:t>Požadavky na připojení odběrného místa nebo připojení zdroje tepla do soustavy</w:t>
        </w:r>
        <w:r w:rsidR="005E03EC">
          <w:rPr>
            <w:noProof/>
            <w:webHidden/>
          </w:rPr>
          <w:tab/>
        </w:r>
        <w:r w:rsidR="005E03EC">
          <w:rPr>
            <w:noProof/>
            <w:webHidden/>
          </w:rPr>
          <w:fldChar w:fldCharType="begin"/>
        </w:r>
        <w:r w:rsidR="005E03EC">
          <w:rPr>
            <w:noProof/>
            <w:webHidden/>
          </w:rPr>
          <w:instrText xml:space="preserve"> PAGEREF _Toc430265732 \h </w:instrText>
        </w:r>
        <w:r w:rsidR="005E03EC">
          <w:rPr>
            <w:noProof/>
            <w:webHidden/>
          </w:rPr>
        </w:r>
        <w:r w:rsidR="005E03EC">
          <w:rPr>
            <w:noProof/>
            <w:webHidden/>
          </w:rPr>
          <w:fldChar w:fldCharType="separate"/>
        </w:r>
        <w:r w:rsidR="00C31D98">
          <w:rPr>
            <w:noProof/>
            <w:webHidden/>
          </w:rPr>
          <w:t>18</w:t>
        </w:r>
        <w:r w:rsidR="005E03EC">
          <w:rPr>
            <w:noProof/>
            <w:webHidden/>
          </w:rPr>
          <w:fldChar w:fldCharType="end"/>
        </w:r>
      </w:hyperlink>
    </w:p>
    <w:p w:rsidR="005E03EC" w:rsidRDefault="003F5DF7" w:rsidP="005E03EC">
      <w:pPr>
        <w:pStyle w:val="Obsah2"/>
        <w:tabs>
          <w:tab w:val="left" w:pos="880"/>
          <w:tab w:val="right" w:leader="dot" w:pos="8302"/>
        </w:tabs>
        <w:rPr>
          <w:rFonts w:asciiTheme="minorHAnsi" w:eastAsiaTheme="minorEastAsia" w:hAnsiTheme="minorHAnsi" w:cstheme="minorBidi"/>
          <w:noProof/>
          <w:sz w:val="22"/>
          <w:szCs w:val="22"/>
        </w:rPr>
      </w:pPr>
      <w:hyperlink w:anchor="_Toc430265733" w:history="1">
        <w:r w:rsidR="005E03EC" w:rsidRPr="004666DA">
          <w:rPr>
            <w:rStyle w:val="Hypertextovodkaz"/>
            <w:noProof/>
          </w:rPr>
          <w:t>3.5</w:t>
        </w:r>
        <w:r w:rsidR="005E03EC">
          <w:rPr>
            <w:rFonts w:asciiTheme="minorHAnsi" w:eastAsiaTheme="minorEastAsia" w:hAnsiTheme="minorHAnsi" w:cstheme="minorBidi"/>
            <w:noProof/>
            <w:sz w:val="22"/>
            <w:szCs w:val="22"/>
          </w:rPr>
          <w:tab/>
        </w:r>
        <w:r w:rsidR="005E03EC" w:rsidRPr="004666DA">
          <w:rPr>
            <w:rStyle w:val="Hypertextovodkaz"/>
            <w:noProof/>
          </w:rPr>
          <w:t>Všeobecné požadavky na projektovou dokumentaci</w:t>
        </w:r>
        <w:r w:rsidR="005E03EC">
          <w:rPr>
            <w:noProof/>
            <w:webHidden/>
          </w:rPr>
          <w:tab/>
        </w:r>
        <w:r w:rsidR="005E03EC">
          <w:rPr>
            <w:noProof/>
            <w:webHidden/>
          </w:rPr>
          <w:fldChar w:fldCharType="begin"/>
        </w:r>
        <w:r w:rsidR="005E03EC">
          <w:rPr>
            <w:noProof/>
            <w:webHidden/>
          </w:rPr>
          <w:instrText xml:space="preserve"> PAGEREF _Toc430265733 \h </w:instrText>
        </w:r>
        <w:r w:rsidR="005E03EC">
          <w:rPr>
            <w:noProof/>
            <w:webHidden/>
          </w:rPr>
        </w:r>
        <w:r w:rsidR="005E03EC">
          <w:rPr>
            <w:noProof/>
            <w:webHidden/>
          </w:rPr>
          <w:fldChar w:fldCharType="separate"/>
        </w:r>
        <w:r w:rsidR="00C31D98">
          <w:rPr>
            <w:noProof/>
            <w:webHidden/>
          </w:rPr>
          <w:t>19</w:t>
        </w:r>
        <w:r w:rsidR="005E03EC">
          <w:rPr>
            <w:noProof/>
            <w:webHidden/>
          </w:rPr>
          <w:fldChar w:fldCharType="end"/>
        </w:r>
      </w:hyperlink>
    </w:p>
    <w:p w:rsidR="005E03EC" w:rsidRDefault="003F5DF7" w:rsidP="005E03EC">
      <w:pPr>
        <w:pStyle w:val="Obsah1"/>
        <w:tabs>
          <w:tab w:val="left" w:pos="440"/>
          <w:tab w:val="right" w:leader="dot" w:pos="8302"/>
        </w:tabs>
        <w:rPr>
          <w:rFonts w:asciiTheme="minorHAnsi" w:eastAsiaTheme="minorEastAsia" w:hAnsiTheme="minorHAnsi" w:cstheme="minorBidi"/>
          <w:noProof/>
          <w:sz w:val="22"/>
          <w:szCs w:val="22"/>
        </w:rPr>
      </w:pPr>
      <w:hyperlink w:anchor="_Toc430265742" w:history="1">
        <w:r w:rsidR="005E03EC" w:rsidRPr="004666DA">
          <w:rPr>
            <w:rStyle w:val="Hypertextovodkaz"/>
            <w:noProof/>
          </w:rPr>
          <w:t>4.</w:t>
        </w:r>
        <w:r w:rsidR="005E03EC">
          <w:rPr>
            <w:rFonts w:asciiTheme="minorHAnsi" w:eastAsiaTheme="minorEastAsia" w:hAnsiTheme="minorHAnsi" w:cstheme="minorBidi"/>
            <w:noProof/>
            <w:sz w:val="22"/>
            <w:szCs w:val="22"/>
          </w:rPr>
          <w:tab/>
        </w:r>
        <w:r w:rsidR="005E03EC" w:rsidRPr="004666DA">
          <w:rPr>
            <w:rStyle w:val="Hypertextovodkaz"/>
            <w:noProof/>
          </w:rPr>
          <w:t>PŘÍLOHY</w:t>
        </w:r>
        <w:r w:rsidR="005E03EC">
          <w:rPr>
            <w:noProof/>
            <w:webHidden/>
          </w:rPr>
          <w:tab/>
        </w:r>
        <w:r w:rsidR="005E03EC">
          <w:rPr>
            <w:noProof/>
            <w:webHidden/>
          </w:rPr>
          <w:fldChar w:fldCharType="begin"/>
        </w:r>
        <w:r w:rsidR="005E03EC">
          <w:rPr>
            <w:noProof/>
            <w:webHidden/>
          </w:rPr>
          <w:instrText xml:space="preserve"> PAGEREF _Toc430265742 \h </w:instrText>
        </w:r>
        <w:r w:rsidR="005E03EC">
          <w:rPr>
            <w:noProof/>
            <w:webHidden/>
          </w:rPr>
        </w:r>
        <w:r w:rsidR="005E03EC">
          <w:rPr>
            <w:noProof/>
            <w:webHidden/>
          </w:rPr>
          <w:fldChar w:fldCharType="separate"/>
        </w:r>
        <w:r w:rsidR="00C31D98">
          <w:rPr>
            <w:noProof/>
            <w:webHidden/>
          </w:rPr>
          <w:t>20</w:t>
        </w:r>
        <w:r w:rsidR="005E03EC">
          <w:rPr>
            <w:noProof/>
            <w:webHidden/>
          </w:rPr>
          <w:fldChar w:fldCharType="end"/>
        </w:r>
      </w:hyperlink>
    </w:p>
    <w:p w:rsidR="005E03EC" w:rsidRDefault="005E03EC" w:rsidP="005E03EC">
      <w:r>
        <w:rPr>
          <w:b/>
          <w:bCs/>
        </w:rPr>
        <w:fldChar w:fldCharType="end"/>
      </w:r>
    </w:p>
    <w:p w:rsidR="005E03EC" w:rsidRDefault="005E03EC" w:rsidP="005E03EC">
      <w:pPr>
        <w:rPr>
          <w:highlight w:val="red"/>
        </w:rPr>
      </w:pPr>
      <w:r>
        <w:rPr>
          <w:highlight w:val="red"/>
        </w:rPr>
        <w:br w:type="page"/>
      </w:r>
    </w:p>
    <w:p w:rsidR="005E03EC" w:rsidRPr="009D2D1B" w:rsidRDefault="005E03EC" w:rsidP="005E03EC">
      <w:pPr>
        <w:pStyle w:val="Nadpis1"/>
        <w:numPr>
          <w:ilvl w:val="0"/>
          <w:numId w:val="28"/>
        </w:numPr>
        <w:tabs>
          <w:tab w:val="left" w:pos="425"/>
        </w:tabs>
        <w:spacing w:beforeLines="100" w:afterLines="50" w:after="120"/>
      </w:pPr>
      <w:bookmarkStart w:id="19" w:name="_Toc285710695"/>
      <w:bookmarkStart w:id="20" w:name="_Toc430265723"/>
      <w:r w:rsidRPr="009D2D1B">
        <w:lastRenderedPageBreak/>
        <w:t>Ú</w:t>
      </w:r>
      <w:bookmarkEnd w:id="18"/>
      <w:bookmarkEnd w:id="19"/>
      <w:r>
        <w:t>vod</w:t>
      </w:r>
      <w:bookmarkEnd w:id="20"/>
    </w:p>
    <w:p w:rsidR="005E03EC" w:rsidRPr="00501588" w:rsidRDefault="005E03EC" w:rsidP="005E03EC">
      <w:pPr>
        <w:pStyle w:val="Zkladntext2"/>
        <w:spacing w:after="60"/>
      </w:pPr>
      <w:r w:rsidRPr="00501588">
        <w:t>T</w:t>
      </w:r>
      <w:r>
        <w:t>en</w:t>
      </w:r>
      <w:r w:rsidRPr="00501588">
        <w:t xml:space="preserve">to </w:t>
      </w:r>
      <w:r>
        <w:t xml:space="preserve">dokument </w:t>
      </w:r>
      <w:r w:rsidRPr="00501588">
        <w:t xml:space="preserve">specifikuje způsoby a podmínky pro připojení odběratelů tepla k </w:t>
      </w:r>
      <w:r>
        <w:t xml:space="preserve">soustavám centrálního zásobování teplem </w:t>
      </w:r>
      <w:r w:rsidRPr="00501588">
        <w:t>v souladu s platnou legislativou.</w:t>
      </w:r>
    </w:p>
    <w:p w:rsidR="005E03EC" w:rsidRPr="00501588" w:rsidRDefault="005E03EC" w:rsidP="005E03EC">
      <w:pPr>
        <w:tabs>
          <w:tab w:val="left" w:pos="-142"/>
        </w:tabs>
        <w:spacing w:after="60"/>
        <w:jc w:val="both"/>
      </w:pPr>
      <w:r w:rsidRPr="00501588">
        <w:t>Základní předpisy, ze kterých se</w:t>
      </w:r>
      <w:r>
        <w:t xml:space="preserve"> zejména</w:t>
      </w:r>
      <w:r w:rsidRPr="00501588">
        <w:t xml:space="preserve"> vychází při stanovení podmínek připojení odběrných míst k rozvodnému tepelnému zařízení</w:t>
      </w:r>
      <w:r>
        <w:t>,</w:t>
      </w:r>
      <w:r w:rsidRPr="00501588">
        <w:t xml:space="preserve"> jsou:</w:t>
      </w:r>
    </w:p>
    <w:p w:rsidR="005E03EC" w:rsidRPr="00501588" w:rsidRDefault="005E03EC" w:rsidP="005E03EC">
      <w:pPr>
        <w:numPr>
          <w:ilvl w:val="0"/>
          <w:numId w:val="17"/>
        </w:numPr>
        <w:tabs>
          <w:tab w:val="left" w:pos="-142"/>
          <w:tab w:val="num" w:pos="720"/>
        </w:tabs>
        <w:spacing w:after="60"/>
        <w:ind w:left="720" w:hanging="436"/>
      </w:pPr>
      <w:r w:rsidRPr="00501588">
        <w:t>Zákon č. 458/2000 Sb. v platném znění o podmínkách podnikání a o výkonu státní správy v energetických odvětvích a o změně některých zákonů</w:t>
      </w:r>
      <w:r>
        <w:t xml:space="preserve"> </w:t>
      </w:r>
      <w:r w:rsidRPr="00501588">
        <w:t>(energetický zákon).</w:t>
      </w:r>
    </w:p>
    <w:p w:rsidR="005E03EC" w:rsidRDefault="005E03EC" w:rsidP="005E03EC">
      <w:pPr>
        <w:numPr>
          <w:ilvl w:val="0"/>
          <w:numId w:val="17"/>
        </w:numPr>
        <w:tabs>
          <w:tab w:val="left" w:pos="-142"/>
          <w:tab w:val="num" w:pos="720"/>
        </w:tabs>
        <w:spacing w:after="60"/>
        <w:ind w:left="720" w:hanging="436"/>
      </w:pPr>
      <w:r>
        <w:t>V</w:t>
      </w:r>
      <w:r w:rsidRPr="00C57DA8">
        <w:t>yhl</w:t>
      </w:r>
      <w:r>
        <w:t xml:space="preserve">áška </w:t>
      </w:r>
      <w:r w:rsidRPr="00C57DA8">
        <w:t>č. 366/2010 Sb. o způsobu rozdělení nákladů za dodávku tepelné energie při společném měření množství odebrané tepelné energie na přípravu teplé vody pro více odběrných míst</w:t>
      </w:r>
      <w:r>
        <w:t>.</w:t>
      </w:r>
      <w:r w:rsidRPr="00C57DA8">
        <w:t xml:space="preserve"> </w:t>
      </w:r>
    </w:p>
    <w:p w:rsidR="005E03EC" w:rsidRDefault="005E03EC" w:rsidP="005E03EC">
      <w:pPr>
        <w:numPr>
          <w:ilvl w:val="0"/>
          <w:numId w:val="17"/>
        </w:numPr>
        <w:tabs>
          <w:tab w:val="left" w:pos="-142"/>
          <w:tab w:val="num" w:pos="720"/>
        </w:tabs>
        <w:spacing w:after="60"/>
        <w:ind w:left="720" w:hanging="436"/>
      </w:pPr>
      <w:r>
        <w:t>V</w:t>
      </w:r>
      <w:r w:rsidRPr="00C57DA8">
        <w:t>yhl</w:t>
      </w:r>
      <w:r>
        <w:t xml:space="preserve">áška </w:t>
      </w:r>
      <w:r w:rsidRPr="00C57DA8">
        <w:t>č.478/2006 Sb. o způsobu výpočtu škody vzniklé držiteli licence</w:t>
      </w:r>
      <w:r>
        <w:t xml:space="preserve"> </w:t>
      </w:r>
      <w:r w:rsidRPr="00C57DA8">
        <w:t>neoprávněným odběrem tepla</w:t>
      </w:r>
      <w:r>
        <w:t>.</w:t>
      </w:r>
    </w:p>
    <w:p w:rsidR="005E03EC" w:rsidRPr="00501588" w:rsidRDefault="005E03EC" w:rsidP="005E03EC">
      <w:pPr>
        <w:numPr>
          <w:ilvl w:val="0"/>
          <w:numId w:val="17"/>
        </w:numPr>
        <w:tabs>
          <w:tab w:val="left" w:pos="-142"/>
          <w:tab w:val="num" w:pos="720"/>
        </w:tabs>
        <w:spacing w:after="60"/>
        <w:ind w:left="720" w:hanging="436"/>
      </w:pPr>
      <w:r w:rsidRPr="00501588">
        <w:t>Vyhláška č. 225/2001 Sb., o řešení stavů nouze v teplárenství.</w:t>
      </w:r>
    </w:p>
    <w:p w:rsidR="005E03EC" w:rsidRPr="00501588" w:rsidRDefault="005E03EC" w:rsidP="005E03EC">
      <w:pPr>
        <w:tabs>
          <w:tab w:val="left" w:pos="-142"/>
        </w:tabs>
        <w:spacing w:after="60"/>
      </w:pPr>
      <w:r w:rsidRPr="00501588">
        <w:t>Každý odběratel tepla se podílí podle výše odebíraného množství tepelné energie</w:t>
      </w:r>
      <w:r>
        <w:t xml:space="preserve"> </w:t>
      </w:r>
      <w:r w:rsidRPr="00501588">
        <w:t>(příkonu) na účelně vynaložených nákladech dodavatele spojených:</w:t>
      </w:r>
    </w:p>
    <w:p w:rsidR="005E03EC" w:rsidRPr="00501588" w:rsidRDefault="005E03EC" w:rsidP="005E03EC">
      <w:pPr>
        <w:numPr>
          <w:ilvl w:val="0"/>
          <w:numId w:val="18"/>
        </w:numPr>
        <w:tabs>
          <w:tab w:val="clear" w:pos="1800"/>
          <w:tab w:val="left" w:pos="-142"/>
          <w:tab w:val="num" w:pos="720"/>
        </w:tabs>
        <w:spacing w:after="60"/>
        <w:ind w:left="720" w:hanging="436"/>
      </w:pPr>
      <w:r>
        <w:t>s</w:t>
      </w:r>
      <w:r w:rsidRPr="00501588">
        <w:t>e zajištěním požadovaného výkonu.</w:t>
      </w:r>
    </w:p>
    <w:p w:rsidR="005E03EC" w:rsidRPr="00501588" w:rsidRDefault="005E03EC" w:rsidP="005E03EC">
      <w:pPr>
        <w:numPr>
          <w:ilvl w:val="0"/>
          <w:numId w:val="18"/>
        </w:numPr>
        <w:tabs>
          <w:tab w:val="clear" w:pos="1800"/>
          <w:tab w:val="left" w:pos="-142"/>
          <w:tab w:val="num" w:pos="720"/>
        </w:tabs>
        <w:spacing w:after="60"/>
        <w:ind w:left="720" w:hanging="436"/>
      </w:pPr>
      <w:r>
        <w:t>s</w:t>
      </w:r>
      <w:r w:rsidRPr="00501588">
        <w:t xml:space="preserve"> připojením (na hlavní páteřní rozvod).</w:t>
      </w:r>
    </w:p>
    <w:p w:rsidR="005E03EC" w:rsidRPr="00501588" w:rsidRDefault="005E03EC" w:rsidP="005E03EC">
      <w:pPr>
        <w:tabs>
          <w:tab w:val="left" w:pos="-142"/>
        </w:tabs>
        <w:spacing w:after="60"/>
      </w:pPr>
      <w:r w:rsidRPr="00501588">
        <w:t>Náklady na zřízení tepelné přípojky hradí odběratel, pokud se s dodavatelem tepla nedohodne jinak (bude dohodnuto dle místa připojení)</w:t>
      </w:r>
    </w:p>
    <w:p w:rsidR="005E03EC" w:rsidRPr="00501588" w:rsidRDefault="005E03EC" w:rsidP="005E03EC">
      <w:pPr>
        <w:tabs>
          <w:tab w:val="left" w:pos="-142"/>
        </w:tabs>
        <w:spacing w:after="60"/>
      </w:pPr>
      <w:r w:rsidRPr="00501588">
        <w:t xml:space="preserve">Podíl odběratele na účelně vynaložených nákladech dodavatele souvisí s konkrétním místem připojení, sjednává se pro každý případ zvlášť. </w:t>
      </w:r>
    </w:p>
    <w:p w:rsidR="005E03EC" w:rsidRPr="002C30AF" w:rsidRDefault="005E03EC" w:rsidP="005E03EC">
      <w:pPr>
        <w:pStyle w:val="Nadpis1"/>
        <w:tabs>
          <w:tab w:val="clear" w:pos="1134"/>
          <w:tab w:val="left" w:pos="425"/>
        </w:tabs>
        <w:spacing w:beforeLines="100" w:afterLines="50" w:after="120"/>
        <w:ind w:left="360" w:hanging="360"/>
      </w:pPr>
      <w:bookmarkStart w:id="21" w:name="_Toc285710697"/>
      <w:bookmarkStart w:id="22" w:name="_Toc430265724"/>
      <w:r w:rsidRPr="002C30AF">
        <w:t>P</w:t>
      </w:r>
      <w:r>
        <w:t>ojmy a</w:t>
      </w:r>
      <w:r w:rsidRPr="002C30AF">
        <w:t xml:space="preserve"> </w:t>
      </w:r>
      <w:bookmarkEnd w:id="21"/>
      <w:r>
        <w:t>definice</w:t>
      </w:r>
      <w:bookmarkEnd w:id="22"/>
    </w:p>
    <w:p w:rsidR="005E03EC" w:rsidRPr="0072219C" w:rsidRDefault="005E03EC" w:rsidP="005E03EC">
      <w:pPr>
        <w:spacing w:after="120"/>
        <w:jc w:val="both"/>
      </w:pPr>
      <w:r w:rsidRPr="0072219C">
        <w:rPr>
          <w:b/>
        </w:rPr>
        <w:t xml:space="preserve">Odběrné místo </w:t>
      </w:r>
      <w:r w:rsidRPr="0072219C">
        <w:t xml:space="preserve">je první armatura na odbočce z rozvodného tepelného zařízení dodavatele (páteřního rozvodu </w:t>
      </w:r>
      <w:proofErr w:type="spellStart"/>
      <w:r w:rsidRPr="0072219C">
        <w:t>Alpiq</w:t>
      </w:r>
      <w:proofErr w:type="spellEnd"/>
      <w:r w:rsidRPr="0072219C">
        <w:t> </w:t>
      </w:r>
      <w:proofErr w:type="spellStart"/>
      <w:r w:rsidRPr="0072219C">
        <w:t>Generation</w:t>
      </w:r>
      <w:proofErr w:type="spellEnd"/>
      <w:r w:rsidRPr="0072219C">
        <w:t> (CZ) s.r.o. nebo poslední armatura před zaústěním vratné větve zpět do rozvodného tepelného zařízení dodavatele</w:t>
      </w:r>
      <w:r>
        <w:t xml:space="preserve">, pokud ve smlouvě o </w:t>
      </w:r>
      <w:r w:rsidR="00443DCF">
        <w:t> </w:t>
      </w:r>
      <w:r>
        <w:t>dodávkách tepelné energie není specifikováno jinak</w:t>
      </w:r>
      <w:r w:rsidRPr="0072219C">
        <w:t xml:space="preserve">. Tyto armatury jsou součástí rozvodného tepelného zařízení dodavatele </w:t>
      </w:r>
      <w:r>
        <w:t xml:space="preserve">a </w:t>
      </w:r>
      <w:r w:rsidRPr="0072219C">
        <w:t xml:space="preserve">jsou umístěny </w:t>
      </w:r>
      <w:r>
        <w:t>před výměníkovou stanicí (distribuční oblast Zlín), není-li ve smlouvě o dodávkách tepelné energie specifikováno jinak.</w:t>
      </w:r>
    </w:p>
    <w:p w:rsidR="005E03EC" w:rsidRDefault="005E03EC" w:rsidP="005E03EC">
      <w:pPr>
        <w:spacing w:after="120"/>
        <w:jc w:val="both"/>
      </w:pPr>
      <w:r w:rsidRPr="0072219C">
        <w:rPr>
          <w:b/>
        </w:rPr>
        <w:t xml:space="preserve">Měření tepla </w:t>
      </w:r>
      <w:r>
        <w:rPr>
          <w:b/>
        </w:rPr>
        <w:t>v </w:t>
      </w:r>
      <w:r w:rsidR="00D742F1">
        <w:rPr>
          <w:b/>
        </w:rPr>
        <w:t>páře</w:t>
      </w:r>
      <w:r>
        <w:rPr>
          <w:b/>
        </w:rPr>
        <w:t xml:space="preserve"> </w:t>
      </w:r>
      <w:r w:rsidRPr="0072219C">
        <w:rPr>
          <w:b/>
        </w:rPr>
        <w:t xml:space="preserve">- </w:t>
      </w:r>
      <w:r w:rsidR="00D742F1" w:rsidRPr="00D742F1">
        <w:t>je tvořeno usměrňovačem proudění, cejchovaným průtokoměrem, teploměrem a tlakoměrem, umístěnými v parním potrubí s vyvedením do vyhodnocovací jednotky. Způsob a umístění měření stanovuje dodavatel. Měření instaluje a udržuje dodavatel</w:t>
      </w:r>
      <w:r w:rsidRPr="0072219C">
        <w:t>.</w:t>
      </w:r>
    </w:p>
    <w:p w:rsidR="005E03EC" w:rsidRDefault="005E03EC" w:rsidP="005E03EC">
      <w:pPr>
        <w:spacing w:after="120"/>
        <w:jc w:val="both"/>
      </w:pPr>
      <w:r>
        <w:t>Měření dodávky tepelné energie může být v odůvodněných případech stanoveno i jinak. V takovém případě je odběratel povinen předložit dodavateli k posouzení výpočet tepelných ztrát objektu, nebo jiný výpočet, který prokazuje předpokládanou výši odběru tepelné energie.</w:t>
      </w:r>
    </w:p>
    <w:p w:rsidR="005E03EC" w:rsidRPr="00BB04F2" w:rsidRDefault="005E03EC" w:rsidP="005E03EC">
      <w:pPr>
        <w:spacing w:after="120"/>
        <w:jc w:val="both"/>
      </w:pPr>
      <w:r>
        <w:rPr>
          <w:b/>
        </w:rPr>
        <w:t>Soustava zásobování tepelnou energií (</w:t>
      </w:r>
      <w:proofErr w:type="gramStart"/>
      <w:r>
        <w:rPr>
          <w:b/>
        </w:rPr>
        <w:t>SZTE)</w:t>
      </w:r>
      <w:r>
        <w:t xml:space="preserve"> </w:t>
      </w:r>
      <w:r>
        <w:softHyphen/>
        <w:t>– soubor</w:t>
      </w:r>
      <w:proofErr w:type="gramEnd"/>
      <w:r>
        <w:t xml:space="preserve"> zařízení, sloužících k rozvodu tepelné energie ze zdroje do odběrných míst prostřednictvím příslušné teplonosné látky; SZTE je provozována na základě licence na rozvod tepelné energie, vydané Energetickým regulačním úřadem.</w:t>
      </w:r>
    </w:p>
    <w:p w:rsidR="005E03EC" w:rsidRPr="0072219C" w:rsidRDefault="005E03EC" w:rsidP="005E03EC">
      <w:pPr>
        <w:spacing w:after="120"/>
        <w:jc w:val="both"/>
      </w:pPr>
      <w:r w:rsidRPr="0072219C">
        <w:rPr>
          <w:b/>
        </w:rPr>
        <w:t>Tepelná přípojka</w:t>
      </w:r>
      <w:r w:rsidRPr="0072219C">
        <w:t xml:space="preserve">  - zařízení, které vede teplonosnou látku z rozvodného tepelného zařízení k odběrnému tepelnému zařízení pouze pro jednoho odběratele. Tepelná přípojka začíná odbočením od rozvodného tepelného zařízení a končí vstupem do odběrného tepelného zařízení. Opravy a údržbu tepelné přípojky zajišťuje její vlastník.</w:t>
      </w:r>
    </w:p>
    <w:p w:rsidR="005E03EC" w:rsidRPr="00374D97" w:rsidRDefault="005E03EC" w:rsidP="00443DCF">
      <w:pPr>
        <w:pStyle w:val="Nadpis1"/>
        <w:tabs>
          <w:tab w:val="clear" w:pos="1134"/>
          <w:tab w:val="left" w:pos="425"/>
        </w:tabs>
        <w:spacing w:beforeLines="100" w:afterLines="50" w:after="120"/>
        <w:ind w:left="360" w:hanging="360"/>
        <w:jc w:val="both"/>
      </w:pPr>
      <w:bookmarkStart w:id="23" w:name="_Toc285710698"/>
      <w:bookmarkStart w:id="24" w:name="_Toc430265725"/>
      <w:r w:rsidRPr="00374D97">
        <w:t>P</w:t>
      </w:r>
      <w:r>
        <w:t>opisy</w:t>
      </w:r>
      <w:r w:rsidRPr="00374D97">
        <w:t xml:space="preserve"> </w:t>
      </w:r>
      <w:r>
        <w:t>zabezpečující činnosti</w:t>
      </w:r>
      <w:bookmarkEnd w:id="23"/>
      <w:bookmarkEnd w:id="24"/>
    </w:p>
    <w:p w:rsidR="005E03EC" w:rsidRPr="00AB1A9C" w:rsidRDefault="005E03EC" w:rsidP="00443DCF">
      <w:pPr>
        <w:pStyle w:val="Odstavecseseznamem"/>
        <w:keepNext/>
        <w:numPr>
          <w:ilvl w:val="0"/>
          <w:numId w:val="15"/>
        </w:numPr>
        <w:spacing w:afterLines="100" w:after="240"/>
        <w:contextualSpacing w:val="0"/>
        <w:jc w:val="both"/>
        <w:outlineLvl w:val="1"/>
        <w:rPr>
          <w:rFonts w:cs="Arial"/>
          <w:b/>
          <w:bCs/>
          <w:iCs/>
          <w:vanish/>
          <w:szCs w:val="28"/>
        </w:rPr>
      </w:pPr>
      <w:bookmarkStart w:id="25" w:name="_Toc421108827"/>
      <w:bookmarkStart w:id="26" w:name="_Toc422134246"/>
      <w:bookmarkStart w:id="27" w:name="_Toc430265726"/>
      <w:bookmarkStart w:id="28" w:name="_Toc213130302"/>
      <w:bookmarkStart w:id="29" w:name="_Toc285710699"/>
      <w:bookmarkEnd w:id="25"/>
      <w:bookmarkEnd w:id="26"/>
      <w:bookmarkEnd w:id="27"/>
    </w:p>
    <w:p w:rsidR="005E03EC" w:rsidRPr="00AB1A9C" w:rsidRDefault="005E03EC" w:rsidP="00443DCF">
      <w:pPr>
        <w:pStyle w:val="Odstavecseseznamem"/>
        <w:keepNext/>
        <w:numPr>
          <w:ilvl w:val="0"/>
          <w:numId w:val="15"/>
        </w:numPr>
        <w:spacing w:afterLines="100" w:after="240"/>
        <w:contextualSpacing w:val="0"/>
        <w:jc w:val="both"/>
        <w:outlineLvl w:val="1"/>
        <w:rPr>
          <w:rFonts w:cs="Arial"/>
          <w:b/>
          <w:bCs/>
          <w:iCs/>
          <w:vanish/>
          <w:szCs w:val="28"/>
        </w:rPr>
      </w:pPr>
      <w:bookmarkStart w:id="30" w:name="_Toc421108828"/>
      <w:bookmarkStart w:id="31" w:name="_Toc422134247"/>
      <w:bookmarkStart w:id="32" w:name="_Toc430265727"/>
      <w:bookmarkEnd w:id="30"/>
      <w:bookmarkEnd w:id="31"/>
      <w:bookmarkEnd w:id="32"/>
    </w:p>
    <w:p w:rsidR="005E03EC" w:rsidRPr="00AB1A9C" w:rsidRDefault="005E03EC" w:rsidP="00443DCF">
      <w:pPr>
        <w:pStyle w:val="Odstavecseseznamem"/>
        <w:keepNext/>
        <w:numPr>
          <w:ilvl w:val="0"/>
          <w:numId w:val="15"/>
        </w:numPr>
        <w:spacing w:afterLines="100" w:after="240"/>
        <w:contextualSpacing w:val="0"/>
        <w:jc w:val="both"/>
        <w:outlineLvl w:val="1"/>
        <w:rPr>
          <w:rFonts w:cs="Arial"/>
          <w:b/>
          <w:bCs/>
          <w:iCs/>
          <w:vanish/>
          <w:szCs w:val="28"/>
        </w:rPr>
      </w:pPr>
      <w:bookmarkStart w:id="33" w:name="_Toc421108829"/>
      <w:bookmarkStart w:id="34" w:name="_Toc422134248"/>
      <w:bookmarkStart w:id="35" w:name="_Toc430265728"/>
      <w:bookmarkEnd w:id="33"/>
      <w:bookmarkEnd w:id="34"/>
      <w:bookmarkEnd w:id="35"/>
    </w:p>
    <w:p w:rsidR="005E03EC" w:rsidRPr="00374D97" w:rsidRDefault="005E03EC" w:rsidP="00443DCF">
      <w:pPr>
        <w:pStyle w:val="Nadpis2"/>
        <w:keepNext/>
        <w:numPr>
          <w:ilvl w:val="1"/>
          <w:numId w:val="15"/>
        </w:numPr>
        <w:spacing w:beforeLines="100" w:afterLines="50" w:after="120"/>
        <w:jc w:val="both"/>
      </w:pPr>
      <w:bookmarkStart w:id="36" w:name="_Toc430265729"/>
      <w:r w:rsidRPr="00374D97">
        <w:t>Projednání způsobu připojení odběrného místa</w:t>
      </w:r>
      <w:bookmarkEnd w:id="28"/>
      <w:bookmarkEnd w:id="29"/>
      <w:bookmarkEnd w:id="36"/>
    </w:p>
    <w:p w:rsidR="005E03EC" w:rsidRPr="00374D97" w:rsidRDefault="005E03EC" w:rsidP="00443DCF">
      <w:pPr>
        <w:tabs>
          <w:tab w:val="left" w:pos="-142"/>
        </w:tabs>
        <w:jc w:val="both"/>
      </w:pPr>
      <w:r w:rsidRPr="00374D97">
        <w:t>Pro každé nové odběrné místo nebo zvýšení rezervovaného příkonu pro již zbudované odběrné místo musí být podána „Přihláška k odběru tepla“</w:t>
      </w:r>
    </w:p>
    <w:p w:rsidR="005E03EC" w:rsidRPr="00374D97" w:rsidRDefault="005E03EC" w:rsidP="00443DCF">
      <w:pPr>
        <w:tabs>
          <w:tab w:val="left" w:pos="-142"/>
        </w:tabs>
        <w:jc w:val="both"/>
      </w:pPr>
      <w:r w:rsidRPr="00374D97">
        <w:lastRenderedPageBreak/>
        <w:t xml:space="preserve">Na základě této žádosti obdrží </w:t>
      </w:r>
      <w:r>
        <w:t>odběratel</w:t>
      </w:r>
      <w:r w:rsidRPr="00374D97">
        <w:t xml:space="preserve"> do 30 dnů </w:t>
      </w:r>
      <w:proofErr w:type="spellStart"/>
      <w:r w:rsidRPr="00374D97">
        <w:t>technicko-obchodní</w:t>
      </w:r>
      <w:proofErr w:type="spellEnd"/>
      <w:r w:rsidRPr="00374D97">
        <w:t xml:space="preserve"> vyjádření, které obsahuje tyto základní informace:</w:t>
      </w:r>
    </w:p>
    <w:p w:rsidR="005E03EC" w:rsidRPr="00374D97" w:rsidRDefault="005E03EC" w:rsidP="00443DCF">
      <w:pPr>
        <w:numPr>
          <w:ilvl w:val="0"/>
          <w:numId w:val="19"/>
        </w:numPr>
        <w:tabs>
          <w:tab w:val="clear" w:pos="1800"/>
          <w:tab w:val="left" w:pos="-142"/>
          <w:tab w:val="num" w:pos="720"/>
        </w:tabs>
        <w:ind w:left="720" w:hanging="436"/>
        <w:jc w:val="both"/>
      </w:pPr>
      <w:r w:rsidRPr="00374D97">
        <w:t>Způsob připojení (místo, parametry</w:t>
      </w:r>
      <w:r>
        <w:t>, úpravy zařízení odběratele pro instalaci měření</w:t>
      </w:r>
      <w:r w:rsidRPr="00374D97">
        <w:t>).</w:t>
      </w:r>
    </w:p>
    <w:p w:rsidR="005E03EC" w:rsidRPr="00374D97" w:rsidRDefault="005E03EC" w:rsidP="00443DCF">
      <w:pPr>
        <w:numPr>
          <w:ilvl w:val="0"/>
          <w:numId w:val="19"/>
        </w:numPr>
        <w:tabs>
          <w:tab w:val="clear" w:pos="1800"/>
          <w:tab w:val="left" w:pos="-142"/>
          <w:tab w:val="num" w:pos="720"/>
        </w:tabs>
        <w:ind w:left="720" w:hanging="436"/>
        <w:jc w:val="both"/>
      </w:pPr>
      <w:r w:rsidRPr="00374D97">
        <w:t>Možný termín připojení, zvýšení rezervovaného příkonu.</w:t>
      </w:r>
    </w:p>
    <w:p w:rsidR="005E03EC" w:rsidRPr="00374D97" w:rsidRDefault="005E03EC" w:rsidP="00443DCF">
      <w:pPr>
        <w:numPr>
          <w:ilvl w:val="0"/>
          <w:numId w:val="19"/>
        </w:numPr>
        <w:tabs>
          <w:tab w:val="clear" w:pos="1800"/>
          <w:tab w:val="left" w:pos="-142"/>
          <w:tab w:val="num" w:pos="720"/>
        </w:tabs>
        <w:ind w:left="720" w:hanging="436"/>
        <w:jc w:val="both"/>
      </w:pPr>
      <w:r w:rsidRPr="00374D97">
        <w:t>Výše podílu na účelně vynaložených nákladech dodavatele (při nutné úpravě rozvodného tepelného zařízení).</w:t>
      </w:r>
    </w:p>
    <w:p w:rsidR="005E03EC" w:rsidRDefault="005E03EC" w:rsidP="00443DCF">
      <w:pPr>
        <w:jc w:val="both"/>
      </w:pPr>
      <w:r w:rsidRPr="00374D97">
        <w:t xml:space="preserve">Přihláška k odběru tepla bude podána </w:t>
      </w:r>
      <w:r>
        <w:t xml:space="preserve">obchodnímu oddělení </w:t>
      </w:r>
      <w:proofErr w:type="spellStart"/>
      <w:r>
        <w:t>Alpiq</w:t>
      </w:r>
      <w:proofErr w:type="spellEnd"/>
      <w:r>
        <w:t xml:space="preserve"> </w:t>
      </w:r>
      <w:proofErr w:type="spellStart"/>
      <w:r>
        <w:t>Generation</w:t>
      </w:r>
      <w:proofErr w:type="spellEnd"/>
      <w:r>
        <w:t xml:space="preserve"> (CZ) s.r.o., teplárna Zlín, Hlavničkovo nábřeží 650, 760 01 Zlín</w:t>
      </w:r>
      <w:r w:rsidRPr="00374D97">
        <w:t xml:space="preserve">. Kontakty a přihláška k odběru tepla jsou umístěny na webových </w:t>
      </w:r>
      <w:r w:rsidRPr="008F013D">
        <w:t>stránkách AGCZ</w:t>
      </w:r>
      <w:r>
        <w:t xml:space="preserve"> </w:t>
      </w:r>
      <w:r w:rsidRPr="008F013D">
        <w:t>(http://</w:t>
      </w:r>
      <w:r w:rsidRPr="00D309D9">
        <w:t>generation.alpiq.cz/</w:t>
      </w:r>
      <w:r w:rsidRPr="008F013D">
        <w:t>).</w:t>
      </w:r>
    </w:p>
    <w:p w:rsidR="005E03EC" w:rsidRPr="00235979" w:rsidRDefault="005E03EC" w:rsidP="00443DCF">
      <w:pPr>
        <w:pStyle w:val="Nadpis2"/>
        <w:keepNext/>
        <w:numPr>
          <w:ilvl w:val="1"/>
          <w:numId w:val="15"/>
        </w:numPr>
        <w:spacing w:beforeLines="100" w:afterLines="50" w:after="120"/>
        <w:jc w:val="both"/>
      </w:pPr>
      <w:bookmarkStart w:id="37" w:name="_Toc430265730"/>
      <w:r w:rsidRPr="000D7B98">
        <w:t>Požadované úpravy měřícího místa pro osazení měření tepla</w:t>
      </w:r>
      <w:r>
        <w:t xml:space="preserve"> (provádí odběratel)</w:t>
      </w:r>
      <w:bookmarkEnd w:id="37"/>
    </w:p>
    <w:p w:rsidR="005E03EC" w:rsidRDefault="005E03EC" w:rsidP="00443DCF">
      <w:pPr>
        <w:jc w:val="both"/>
      </w:pPr>
      <w:r>
        <w:t xml:space="preserve">Pokud nebude ve vyjádření dle </w:t>
      </w:r>
      <w:proofErr w:type="gramStart"/>
      <w:r>
        <w:t>6.1.a) uvedeno</w:t>
      </w:r>
      <w:proofErr w:type="gramEnd"/>
      <w:r>
        <w:t xml:space="preserve"> jinak, musí místo pro umístění měření splňovat níže uvedené požadavky. </w:t>
      </w:r>
    </w:p>
    <w:p w:rsidR="005E03EC" w:rsidRPr="00895E25" w:rsidRDefault="005E03EC" w:rsidP="00443DCF">
      <w:pPr>
        <w:numPr>
          <w:ilvl w:val="0"/>
          <w:numId w:val="26"/>
        </w:numPr>
        <w:jc w:val="both"/>
      </w:pPr>
      <w:r w:rsidRPr="0045488E">
        <w:t>Odběratel umožní zřízení přívodu elektřiny pro napájení měření tepla o napětí 230V/50Hz, s vyčleněním místa v rozvaděči pro umístění jištění přívodu.</w:t>
      </w:r>
    </w:p>
    <w:p w:rsidR="005E03EC" w:rsidRDefault="005E03EC" w:rsidP="00443DCF">
      <w:pPr>
        <w:numPr>
          <w:ilvl w:val="0"/>
          <w:numId w:val="26"/>
        </w:numPr>
        <w:jc w:val="both"/>
      </w:pPr>
      <w:r>
        <w:t>Místo měření musí být osvětleno, v místě měření musí být rovná podlaha a volný prostor o půdorysu minimálně 80 x 80 cm.</w:t>
      </w:r>
    </w:p>
    <w:p w:rsidR="005E03EC" w:rsidRDefault="005E03EC" w:rsidP="00443DCF">
      <w:pPr>
        <w:numPr>
          <w:ilvl w:val="0"/>
          <w:numId w:val="26"/>
        </w:numPr>
        <w:jc w:val="both"/>
      </w:pPr>
      <w:r>
        <w:t>Místo pro montáž části měření tzv. průtokoměr, musí být zvoleno tak, aby:</w:t>
      </w:r>
    </w:p>
    <w:p w:rsidR="005E03EC" w:rsidRDefault="005E03EC" w:rsidP="00443DCF">
      <w:pPr>
        <w:numPr>
          <w:ilvl w:val="0"/>
          <w:numId w:val="27"/>
        </w:numPr>
        <w:ind w:left="1353"/>
        <w:jc w:val="both"/>
      </w:pPr>
      <w:r>
        <w:t xml:space="preserve">Bylo možné použít </w:t>
      </w:r>
      <w:r w:rsidR="00653A1A" w:rsidRPr="00653A1A">
        <w:t>vstupní parní potrubí při měření tepla v</w:t>
      </w:r>
      <w:r w:rsidR="00653A1A">
        <w:t> </w:t>
      </w:r>
      <w:r w:rsidR="00653A1A" w:rsidRPr="00653A1A">
        <w:t>páře</w:t>
      </w:r>
      <w:r w:rsidR="00653A1A">
        <w:t>.</w:t>
      </w:r>
    </w:p>
    <w:p w:rsidR="005E03EC" w:rsidRDefault="005E03EC" w:rsidP="00443DCF">
      <w:pPr>
        <w:numPr>
          <w:ilvl w:val="0"/>
          <w:numId w:val="27"/>
        </w:numPr>
        <w:ind w:left="1353"/>
        <w:jc w:val="both"/>
      </w:pPr>
      <w:proofErr w:type="spellStart"/>
      <w:r w:rsidRPr="00697231">
        <w:t>Zklidňovací</w:t>
      </w:r>
      <w:proofErr w:type="spellEnd"/>
      <w:r w:rsidRPr="00697231">
        <w:t xml:space="preserve"> zóna před a za průtokoměrem b</w:t>
      </w:r>
      <w:r>
        <w:t>yla</w:t>
      </w:r>
      <w:r w:rsidRPr="00697231">
        <w:t xml:space="preserve"> 6</w:t>
      </w:r>
      <w:r>
        <w:t>x</w:t>
      </w:r>
      <w:r w:rsidRPr="00697231">
        <w:t>D</w:t>
      </w:r>
      <w:r>
        <w:t>.</w:t>
      </w:r>
    </w:p>
    <w:p w:rsidR="005E03EC" w:rsidRDefault="005E03EC" w:rsidP="00443DCF">
      <w:pPr>
        <w:numPr>
          <w:ilvl w:val="0"/>
          <w:numId w:val="27"/>
        </w:numPr>
        <w:ind w:left="1353"/>
        <w:jc w:val="both"/>
      </w:pPr>
      <w:r>
        <w:t>M</w:t>
      </w:r>
      <w:r w:rsidRPr="002B65FC">
        <w:t xml:space="preserve">ontážní prostor okolo průtokoměru </w:t>
      </w:r>
      <w:r>
        <w:t>byl</w:t>
      </w:r>
      <w:r w:rsidRPr="002B65FC">
        <w:t xml:space="preserve"> minimálně 30 cm</w:t>
      </w:r>
      <w:r>
        <w:t>.</w:t>
      </w:r>
    </w:p>
    <w:p w:rsidR="005E03EC" w:rsidRDefault="005E03EC" w:rsidP="00443DCF">
      <w:pPr>
        <w:numPr>
          <w:ilvl w:val="0"/>
          <w:numId w:val="26"/>
        </w:numPr>
        <w:jc w:val="both"/>
      </w:pPr>
      <w:r w:rsidRPr="002B65FC">
        <w:t xml:space="preserve">Průtokoměr nebo kompaktní měřič tepla </w:t>
      </w:r>
      <w:r>
        <w:t xml:space="preserve">(měření) </w:t>
      </w:r>
      <w:r w:rsidRPr="002B65FC">
        <w:t>musí být umístěn</w:t>
      </w:r>
      <w:r>
        <w:t>o</w:t>
      </w:r>
      <w:r w:rsidRPr="002B65FC">
        <w:t xml:space="preserve"> minimálně 60 cm a maximálně 160 cm od podlahy</w:t>
      </w:r>
    </w:p>
    <w:p w:rsidR="005E03EC" w:rsidRDefault="005E03EC" w:rsidP="00443DCF">
      <w:pPr>
        <w:numPr>
          <w:ilvl w:val="0"/>
          <w:numId w:val="26"/>
        </w:numPr>
        <w:jc w:val="both"/>
      </w:pPr>
      <w:r>
        <w:t xml:space="preserve">V místě </w:t>
      </w:r>
      <w:r w:rsidRPr="00694D58">
        <w:t xml:space="preserve">osazení </w:t>
      </w:r>
      <w:r>
        <w:t>měření</w:t>
      </w:r>
      <w:r w:rsidRPr="00694D58">
        <w:t xml:space="preserve"> musí být zajištěno stálé zaplavení průtokoměrné části.</w:t>
      </w:r>
    </w:p>
    <w:p w:rsidR="005E03EC" w:rsidRDefault="005E03EC" w:rsidP="00443DCF">
      <w:pPr>
        <w:numPr>
          <w:ilvl w:val="0"/>
          <w:numId w:val="26"/>
        </w:numPr>
        <w:jc w:val="both"/>
      </w:pPr>
      <w:r>
        <w:t>Veškeré komponenty měření musí být umístěny v jedné místnosti</w:t>
      </w:r>
    </w:p>
    <w:p w:rsidR="005E03EC" w:rsidRPr="00EF743F" w:rsidRDefault="005E03EC" w:rsidP="00443DCF">
      <w:pPr>
        <w:pStyle w:val="Nadpis2"/>
        <w:keepNext/>
        <w:numPr>
          <w:ilvl w:val="1"/>
          <w:numId w:val="15"/>
        </w:numPr>
        <w:spacing w:beforeLines="100" w:afterLines="50" w:after="120"/>
        <w:jc w:val="both"/>
      </w:pPr>
      <w:bookmarkStart w:id="38" w:name="_Toc285710700"/>
      <w:bookmarkStart w:id="39" w:name="_Toc430265731"/>
      <w:r w:rsidRPr="00EF743F">
        <w:t>Jmenovité parametry</w:t>
      </w:r>
      <w:r>
        <w:t xml:space="preserve"> teplonosné látky v soustavách centrálního zásobování teplem,</w:t>
      </w:r>
      <w:r w:rsidRPr="00EF743F">
        <w:t xml:space="preserve"> </w:t>
      </w:r>
      <w:bookmarkEnd w:id="38"/>
      <w:r>
        <w:t>provozovaných AGCZ</w:t>
      </w:r>
      <w:bookmarkEnd w:id="39"/>
    </w:p>
    <w:tbl>
      <w:tblPr>
        <w:tblW w:w="2424" w:type="pct"/>
        <w:jc w:val="center"/>
        <w:tblLook w:val="04A0" w:firstRow="1" w:lastRow="0" w:firstColumn="1" w:lastColumn="0" w:noHBand="0" w:noVBand="1"/>
      </w:tblPr>
      <w:tblGrid>
        <w:gridCol w:w="2718"/>
        <w:gridCol w:w="1307"/>
      </w:tblGrid>
      <w:tr w:rsidR="005E03EC" w:rsidRPr="002630EC" w:rsidTr="00653A1A">
        <w:trPr>
          <w:trHeight w:val="567"/>
          <w:jc w:val="center"/>
        </w:trPr>
        <w:tc>
          <w:tcPr>
            <w:tcW w:w="11264"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5E03EC" w:rsidRPr="00500B2F" w:rsidRDefault="005E03EC" w:rsidP="002D4D83">
            <w:pPr>
              <w:spacing w:before="120" w:after="120"/>
              <w:jc w:val="center"/>
              <w:rPr>
                <w:color w:val="FFFFFF"/>
              </w:rPr>
            </w:pPr>
            <w:r w:rsidRPr="00500B2F">
              <w:rPr>
                <w:smallCaps/>
                <w:color w:val="FFFFFF"/>
              </w:rPr>
              <w:t>Distribuční oblast Zlín</w:t>
            </w:r>
          </w:p>
        </w:tc>
      </w:tr>
      <w:tr w:rsidR="005E03EC" w:rsidRPr="006958C2" w:rsidTr="00653A1A">
        <w:trPr>
          <w:trHeight w:val="567"/>
          <w:jc w:val="center"/>
        </w:trPr>
        <w:tc>
          <w:tcPr>
            <w:tcW w:w="11264" w:type="dxa"/>
            <w:gridSpan w:val="2"/>
            <w:tcBorders>
              <w:top w:val="single" w:sz="4" w:space="0" w:color="auto"/>
              <w:left w:val="single" w:sz="4" w:space="0" w:color="auto"/>
              <w:bottom w:val="single" w:sz="4" w:space="0" w:color="auto"/>
              <w:right w:val="single" w:sz="4" w:space="0" w:color="auto"/>
            </w:tcBorders>
            <w:vAlign w:val="center"/>
          </w:tcPr>
          <w:p w:rsidR="005E03EC" w:rsidRPr="00500B2F" w:rsidRDefault="00653A1A" w:rsidP="002D4D83">
            <w:pPr>
              <w:spacing w:before="120" w:after="120"/>
              <w:jc w:val="center"/>
              <w:rPr>
                <w:b/>
                <w:i/>
                <w:u w:val="single"/>
              </w:rPr>
            </w:pPr>
            <w:r w:rsidRPr="00653A1A">
              <w:rPr>
                <w:b/>
                <w:i/>
                <w:u w:val="single"/>
              </w:rPr>
              <w:t>Parní soustava</w:t>
            </w:r>
          </w:p>
        </w:tc>
      </w:tr>
      <w:tr w:rsidR="005E03EC" w:rsidTr="00653A1A">
        <w:trPr>
          <w:trHeight w:val="425"/>
          <w:jc w:val="center"/>
        </w:trPr>
        <w:tc>
          <w:tcPr>
            <w:tcW w:w="11264" w:type="dxa"/>
            <w:gridSpan w:val="2"/>
            <w:tcBorders>
              <w:top w:val="single" w:sz="4" w:space="0" w:color="auto"/>
              <w:left w:val="single" w:sz="4" w:space="0" w:color="auto"/>
              <w:bottom w:val="dotted" w:sz="4" w:space="0" w:color="808080"/>
              <w:right w:val="single" w:sz="4" w:space="0" w:color="auto"/>
            </w:tcBorders>
            <w:vAlign w:val="center"/>
          </w:tcPr>
          <w:p w:rsidR="005E03EC" w:rsidRDefault="00653A1A" w:rsidP="002D4D83">
            <w:pPr>
              <w:spacing w:before="120" w:after="120"/>
              <w:jc w:val="center"/>
            </w:pPr>
            <w:r w:rsidRPr="00653A1A">
              <w:t xml:space="preserve">PÁRA PŘETLAK 0,3 </w:t>
            </w:r>
            <w:proofErr w:type="spellStart"/>
            <w:r w:rsidRPr="00653A1A">
              <w:t>MPa</w:t>
            </w:r>
            <w:proofErr w:type="spellEnd"/>
          </w:p>
        </w:tc>
      </w:tr>
      <w:tr w:rsidR="005E03EC" w:rsidTr="00653A1A">
        <w:trPr>
          <w:jc w:val="center"/>
        </w:trPr>
        <w:tc>
          <w:tcPr>
            <w:tcW w:w="8008" w:type="dxa"/>
            <w:tcBorders>
              <w:top w:val="dotted" w:sz="4" w:space="0" w:color="808080"/>
              <w:left w:val="single" w:sz="4" w:space="0" w:color="auto"/>
              <w:bottom w:val="dotted" w:sz="4" w:space="0" w:color="808080"/>
            </w:tcBorders>
            <w:vAlign w:val="center"/>
          </w:tcPr>
          <w:p w:rsidR="005E03EC" w:rsidRDefault="005E03EC" w:rsidP="00653A1A">
            <w:pPr>
              <w:jc w:val="right"/>
            </w:pPr>
            <w:r>
              <w:t>Teplota min.</w:t>
            </w:r>
          </w:p>
        </w:tc>
        <w:tc>
          <w:tcPr>
            <w:tcW w:w="3256" w:type="dxa"/>
            <w:tcBorders>
              <w:top w:val="dotted" w:sz="4" w:space="0" w:color="808080"/>
              <w:bottom w:val="dotted" w:sz="4" w:space="0" w:color="808080"/>
              <w:right w:val="single" w:sz="4" w:space="0" w:color="auto"/>
            </w:tcBorders>
            <w:vAlign w:val="center"/>
          </w:tcPr>
          <w:p w:rsidR="005E03EC" w:rsidRDefault="00653A1A" w:rsidP="002D4D83">
            <w:pPr>
              <w:jc w:val="right"/>
            </w:pPr>
            <w:r>
              <w:t>140</w:t>
            </w:r>
            <w:r w:rsidR="005E03EC">
              <w:t xml:space="preserve"> °C</w:t>
            </w:r>
          </w:p>
        </w:tc>
      </w:tr>
      <w:tr w:rsidR="005E03EC" w:rsidTr="00653A1A">
        <w:trPr>
          <w:jc w:val="center"/>
        </w:trPr>
        <w:tc>
          <w:tcPr>
            <w:tcW w:w="8008" w:type="dxa"/>
            <w:tcBorders>
              <w:top w:val="dotted" w:sz="4" w:space="0" w:color="808080"/>
              <w:left w:val="single" w:sz="4" w:space="0" w:color="auto"/>
              <w:bottom w:val="dotted" w:sz="4" w:space="0" w:color="808080"/>
            </w:tcBorders>
            <w:vAlign w:val="center"/>
          </w:tcPr>
          <w:p w:rsidR="005E03EC" w:rsidRDefault="005E03EC" w:rsidP="00653A1A">
            <w:pPr>
              <w:jc w:val="right"/>
            </w:pPr>
            <w:r>
              <w:t>Teplota max.</w:t>
            </w:r>
          </w:p>
        </w:tc>
        <w:tc>
          <w:tcPr>
            <w:tcW w:w="3256" w:type="dxa"/>
            <w:tcBorders>
              <w:top w:val="dotted" w:sz="4" w:space="0" w:color="808080"/>
              <w:bottom w:val="dotted" w:sz="4" w:space="0" w:color="808080"/>
              <w:right w:val="single" w:sz="4" w:space="0" w:color="auto"/>
            </w:tcBorders>
            <w:vAlign w:val="center"/>
          </w:tcPr>
          <w:p w:rsidR="005E03EC" w:rsidRDefault="005E03EC" w:rsidP="00653A1A">
            <w:pPr>
              <w:jc w:val="right"/>
            </w:pPr>
            <w:r>
              <w:t>1</w:t>
            </w:r>
            <w:r w:rsidR="00653A1A">
              <w:t>95</w:t>
            </w:r>
            <w:r>
              <w:t xml:space="preserve"> °C</w:t>
            </w:r>
          </w:p>
        </w:tc>
      </w:tr>
      <w:tr w:rsidR="005E03EC" w:rsidTr="00653A1A">
        <w:trPr>
          <w:jc w:val="center"/>
        </w:trPr>
        <w:tc>
          <w:tcPr>
            <w:tcW w:w="8008" w:type="dxa"/>
            <w:tcBorders>
              <w:top w:val="dotted" w:sz="4" w:space="0" w:color="808080"/>
              <w:left w:val="single" w:sz="4" w:space="0" w:color="auto"/>
              <w:bottom w:val="dotted" w:sz="4" w:space="0" w:color="808080"/>
            </w:tcBorders>
            <w:vAlign w:val="center"/>
          </w:tcPr>
          <w:p w:rsidR="005E03EC" w:rsidRDefault="005E03EC" w:rsidP="002D4D83">
            <w:pPr>
              <w:jc w:val="right"/>
            </w:pPr>
            <w:r>
              <w:t>Tlak min.</w:t>
            </w:r>
          </w:p>
        </w:tc>
        <w:tc>
          <w:tcPr>
            <w:tcW w:w="3256" w:type="dxa"/>
            <w:tcBorders>
              <w:top w:val="dotted" w:sz="4" w:space="0" w:color="808080"/>
              <w:bottom w:val="dotted" w:sz="4" w:space="0" w:color="808080"/>
              <w:right w:val="single" w:sz="4" w:space="0" w:color="auto"/>
            </w:tcBorders>
            <w:vAlign w:val="center"/>
          </w:tcPr>
          <w:p w:rsidR="005E03EC" w:rsidRDefault="005E03EC" w:rsidP="00653A1A">
            <w:pPr>
              <w:jc w:val="right"/>
            </w:pPr>
            <w:r>
              <w:t>0,</w:t>
            </w:r>
            <w:r w:rsidR="00653A1A">
              <w:t>27</w:t>
            </w:r>
            <w:r>
              <w:t xml:space="preserve"> </w:t>
            </w:r>
            <w:proofErr w:type="spellStart"/>
            <w:r>
              <w:t>MPa</w:t>
            </w:r>
            <w:proofErr w:type="spellEnd"/>
          </w:p>
        </w:tc>
      </w:tr>
      <w:tr w:rsidR="005E03EC" w:rsidTr="00653A1A">
        <w:trPr>
          <w:jc w:val="center"/>
        </w:trPr>
        <w:tc>
          <w:tcPr>
            <w:tcW w:w="8008" w:type="dxa"/>
            <w:tcBorders>
              <w:top w:val="dotted" w:sz="4" w:space="0" w:color="808080"/>
              <w:left w:val="single" w:sz="4" w:space="0" w:color="auto"/>
              <w:bottom w:val="dotted" w:sz="4" w:space="0" w:color="808080"/>
            </w:tcBorders>
            <w:vAlign w:val="center"/>
          </w:tcPr>
          <w:p w:rsidR="005E03EC" w:rsidRDefault="005E03EC" w:rsidP="002D4D83">
            <w:pPr>
              <w:jc w:val="right"/>
            </w:pPr>
            <w:r>
              <w:t>Tlak max.</w:t>
            </w:r>
          </w:p>
        </w:tc>
        <w:tc>
          <w:tcPr>
            <w:tcW w:w="3256" w:type="dxa"/>
            <w:tcBorders>
              <w:top w:val="dotted" w:sz="4" w:space="0" w:color="808080"/>
              <w:bottom w:val="dotted" w:sz="4" w:space="0" w:color="808080"/>
              <w:right w:val="single" w:sz="4" w:space="0" w:color="auto"/>
            </w:tcBorders>
            <w:vAlign w:val="center"/>
          </w:tcPr>
          <w:p w:rsidR="005E03EC" w:rsidRDefault="00653A1A" w:rsidP="00653A1A">
            <w:pPr>
              <w:jc w:val="right"/>
            </w:pPr>
            <w:r>
              <w:t>0</w:t>
            </w:r>
            <w:r w:rsidR="005E03EC">
              <w:t>,</w:t>
            </w:r>
            <w:r>
              <w:t>33</w:t>
            </w:r>
            <w:r w:rsidR="005E03EC">
              <w:t xml:space="preserve"> </w:t>
            </w:r>
            <w:proofErr w:type="spellStart"/>
            <w:r w:rsidR="005E03EC">
              <w:t>MPa</w:t>
            </w:r>
            <w:proofErr w:type="spellEnd"/>
          </w:p>
        </w:tc>
      </w:tr>
      <w:tr w:rsidR="005E03EC" w:rsidTr="00653A1A">
        <w:trPr>
          <w:trHeight w:val="425"/>
          <w:jc w:val="center"/>
        </w:trPr>
        <w:tc>
          <w:tcPr>
            <w:tcW w:w="11264" w:type="dxa"/>
            <w:gridSpan w:val="2"/>
            <w:tcBorders>
              <w:top w:val="single" w:sz="4" w:space="0" w:color="auto"/>
              <w:left w:val="single" w:sz="4" w:space="0" w:color="auto"/>
              <w:bottom w:val="dotted" w:sz="4" w:space="0" w:color="808080"/>
              <w:right w:val="single" w:sz="4" w:space="0" w:color="auto"/>
            </w:tcBorders>
            <w:vAlign w:val="center"/>
          </w:tcPr>
          <w:p w:rsidR="005E03EC" w:rsidRDefault="00653A1A" w:rsidP="002D4D83">
            <w:pPr>
              <w:spacing w:before="120" w:after="120"/>
              <w:jc w:val="center"/>
            </w:pPr>
            <w:r w:rsidRPr="00653A1A">
              <w:t xml:space="preserve">PÁRA PŘETLAK 1,2 </w:t>
            </w:r>
            <w:proofErr w:type="spellStart"/>
            <w:r w:rsidRPr="00653A1A">
              <w:t>MPa</w:t>
            </w:r>
            <w:proofErr w:type="spellEnd"/>
          </w:p>
        </w:tc>
      </w:tr>
      <w:tr w:rsidR="005E03EC" w:rsidTr="00653A1A">
        <w:trPr>
          <w:jc w:val="center"/>
        </w:trPr>
        <w:tc>
          <w:tcPr>
            <w:tcW w:w="8008" w:type="dxa"/>
            <w:tcBorders>
              <w:top w:val="dotted" w:sz="4" w:space="0" w:color="808080"/>
              <w:left w:val="single" w:sz="4" w:space="0" w:color="auto"/>
              <w:bottom w:val="dotted" w:sz="4" w:space="0" w:color="808080"/>
            </w:tcBorders>
            <w:vAlign w:val="center"/>
          </w:tcPr>
          <w:p w:rsidR="005E03EC" w:rsidRDefault="005E03EC" w:rsidP="00653A1A">
            <w:pPr>
              <w:jc w:val="right"/>
            </w:pPr>
            <w:r>
              <w:t>Teplota min.</w:t>
            </w:r>
          </w:p>
        </w:tc>
        <w:tc>
          <w:tcPr>
            <w:tcW w:w="3256" w:type="dxa"/>
            <w:tcBorders>
              <w:top w:val="dotted" w:sz="4" w:space="0" w:color="808080"/>
              <w:bottom w:val="dotted" w:sz="4" w:space="0" w:color="808080"/>
              <w:right w:val="single" w:sz="4" w:space="0" w:color="auto"/>
            </w:tcBorders>
            <w:vAlign w:val="center"/>
          </w:tcPr>
          <w:p w:rsidR="005E03EC" w:rsidRDefault="00653A1A" w:rsidP="002D4D83">
            <w:pPr>
              <w:jc w:val="right"/>
            </w:pPr>
            <w:r>
              <w:t>190</w:t>
            </w:r>
            <w:r w:rsidR="005E03EC">
              <w:t xml:space="preserve"> °C</w:t>
            </w:r>
          </w:p>
        </w:tc>
      </w:tr>
      <w:tr w:rsidR="005E03EC" w:rsidTr="00653A1A">
        <w:trPr>
          <w:jc w:val="center"/>
        </w:trPr>
        <w:tc>
          <w:tcPr>
            <w:tcW w:w="8008" w:type="dxa"/>
            <w:tcBorders>
              <w:top w:val="dotted" w:sz="4" w:space="0" w:color="808080"/>
              <w:left w:val="single" w:sz="4" w:space="0" w:color="auto"/>
              <w:bottom w:val="dotted" w:sz="4" w:space="0" w:color="808080"/>
            </w:tcBorders>
            <w:vAlign w:val="center"/>
          </w:tcPr>
          <w:p w:rsidR="005E03EC" w:rsidRDefault="005E03EC" w:rsidP="00653A1A">
            <w:pPr>
              <w:jc w:val="right"/>
            </w:pPr>
            <w:r>
              <w:t>Teplota max.</w:t>
            </w:r>
          </w:p>
        </w:tc>
        <w:tc>
          <w:tcPr>
            <w:tcW w:w="3256" w:type="dxa"/>
            <w:tcBorders>
              <w:top w:val="dotted" w:sz="4" w:space="0" w:color="808080"/>
              <w:bottom w:val="dotted" w:sz="4" w:space="0" w:color="808080"/>
              <w:right w:val="single" w:sz="4" w:space="0" w:color="auto"/>
            </w:tcBorders>
            <w:vAlign w:val="center"/>
          </w:tcPr>
          <w:p w:rsidR="005E03EC" w:rsidRDefault="00653A1A" w:rsidP="002D4D83">
            <w:pPr>
              <w:jc w:val="right"/>
            </w:pPr>
            <w:r>
              <w:t>250</w:t>
            </w:r>
            <w:r w:rsidR="005E03EC">
              <w:t xml:space="preserve"> °C</w:t>
            </w:r>
          </w:p>
        </w:tc>
      </w:tr>
      <w:tr w:rsidR="005E03EC" w:rsidTr="00653A1A">
        <w:trPr>
          <w:jc w:val="center"/>
        </w:trPr>
        <w:tc>
          <w:tcPr>
            <w:tcW w:w="8008" w:type="dxa"/>
            <w:tcBorders>
              <w:top w:val="dotted" w:sz="4" w:space="0" w:color="808080"/>
              <w:left w:val="single" w:sz="4" w:space="0" w:color="auto"/>
              <w:bottom w:val="dotted" w:sz="4" w:space="0" w:color="808080"/>
            </w:tcBorders>
            <w:vAlign w:val="center"/>
          </w:tcPr>
          <w:p w:rsidR="005E03EC" w:rsidRDefault="00653A1A" w:rsidP="00653A1A">
            <w:pPr>
              <w:jc w:val="right"/>
            </w:pPr>
            <w:r>
              <w:t>Tlak</w:t>
            </w:r>
            <w:r w:rsidR="005E03EC">
              <w:t xml:space="preserve"> min.</w:t>
            </w:r>
          </w:p>
        </w:tc>
        <w:tc>
          <w:tcPr>
            <w:tcW w:w="3256" w:type="dxa"/>
            <w:tcBorders>
              <w:top w:val="dotted" w:sz="4" w:space="0" w:color="808080"/>
              <w:bottom w:val="dotted" w:sz="4" w:space="0" w:color="808080"/>
              <w:right w:val="single" w:sz="4" w:space="0" w:color="auto"/>
            </w:tcBorders>
            <w:vAlign w:val="center"/>
          </w:tcPr>
          <w:p w:rsidR="005E03EC" w:rsidRDefault="00653A1A" w:rsidP="002D4D83">
            <w:pPr>
              <w:jc w:val="right"/>
            </w:pPr>
            <w:r>
              <w:t>1,10</w:t>
            </w:r>
            <w:r w:rsidR="005E03EC">
              <w:t xml:space="preserve"> </w:t>
            </w:r>
            <w:proofErr w:type="spellStart"/>
            <w:r w:rsidR="005E03EC">
              <w:t>MPa</w:t>
            </w:r>
            <w:proofErr w:type="spellEnd"/>
          </w:p>
        </w:tc>
      </w:tr>
      <w:tr w:rsidR="005E03EC" w:rsidTr="00653A1A">
        <w:trPr>
          <w:jc w:val="center"/>
        </w:trPr>
        <w:tc>
          <w:tcPr>
            <w:tcW w:w="8008" w:type="dxa"/>
            <w:tcBorders>
              <w:top w:val="dotted" w:sz="4" w:space="0" w:color="808080"/>
              <w:left w:val="single" w:sz="4" w:space="0" w:color="auto"/>
              <w:bottom w:val="single" w:sz="4" w:space="0" w:color="auto"/>
            </w:tcBorders>
            <w:vAlign w:val="center"/>
          </w:tcPr>
          <w:p w:rsidR="005E03EC" w:rsidRDefault="00653A1A" w:rsidP="00653A1A">
            <w:pPr>
              <w:jc w:val="right"/>
            </w:pPr>
            <w:r>
              <w:t>Tlak</w:t>
            </w:r>
            <w:r w:rsidR="005E03EC">
              <w:t xml:space="preserve"> max.</w:t>
            </w:r>
          </w:p>
        </w:tc>
        <w:tc>
          <w:tcPr>
            <w:tcW w:w="3256" w:type="dxa"/>
            <w:tcBorders>
              <w:top w:val="dotted" w:sz="4" w:space="0" w:color="808080"/>
              <w:bottom w:val="single" w:sz="4" w:space="0" w:color="auto"/>
              <w:right w:val="single" w:sz="4" w:space="0" w:color="auto"/>
            </w:tcBorders>
            <w:vAlign w:val="center"/>
          </w:tcPr>
          <w:p w:rsidR="005E03EC" w:rsidRDefault="00653A1A" w:rsidP="002D4D83">
            <w:pPr>
              <w:jc w:val="right"/>
            </w:pPr>
            <w:r>
              <w:t>1,30</w:t>
            </w:r>
            <w:r w:rsidR="005E03EC">
              <w:t xml:space="preserve"> </w:t>
            </w:r>
            <w:proofErr w:type="spellStart"/>
            <w:r w:rsidR="005E03EC">
              <w:t>MPa</w:t>
            </w:r>
            <w:proofErr w:type="spellEnd"/>
          </w:p>
        </w:tc>
      </w:tr>
    </w:tbl>
    <w:p w:rsidR="005E03EC" w:rsidRPr="00E92847" w:rsidRDefault="005E03EC" w:rsidP="00443DCF">
      <w:pPr>
        <w:pStyle w:val="Nadpis2"/>
        <w:keepNext/>
        <w:numPr>
          <w:ilvl w:val="1"/>
          <w:numId w:val="15"/>
        </w:numPr>
        <w:spacing w:beforeLines="100" w:afterLines="50" w:after="120"/>
        <w:jc w:val="both"/>
      </w:pPr>
      <w:bookmarkStart w:id="40" w:name="_Toc285710701"/>
      <w:bookmarkStart w:id="41" w:name="_Toc430265732"/>
      <w:r w:rsidRPr="00E92847">
        <w:t>Požadavky na připojení odběrného místa</w:t>
      </w:r>
      <w:bookmarkEnd w:id="40"/>
      <w:r>
        <w:t xml:space="preserve"> nebo připojení zdroje tepla do soustavy</w:t>
      </w:r>
      <w:bookmarkEnd w:id="41"/>
    </w:p>
    <w:p w:rsidR="005E03EC" w:rsidRPr="00E92847" w:rsidRDefault="005E03EC" w:rsidP="00443DCF">
      <w:pPr>
        <w:numPr>
          <w:ilvl w:val="0"/>
          <w:numId w:val="24"/>
        </w:numPr>
        <w:tabs>
          <w:tab w:val="clear" w:pos="1800"/>
          <w:tab w:val="num" w:pos="540"/>
          <w:tab w:val="left" w:pos="567"/>
        </w:tabs>
        <w:ind w:left="540" w:hanging="540"/>
        <w:jc w:val="both"/>
      </w:pPr>
      <w:r w:rsidRPr="00E92847">
        <w:t xml:space="preserve">Každé odběrné místo musí být připojeno tlakově odděleně prostřednictvím výměníku – to znamená, že primární voda </w:t>
      </w:r>
      <w:r>
        <w:t xml:space="preserve">nebo pára </w:t>
      </w:r>
      <w:r w:rsidRPr="00E92847">
        <w:t>nesmí být zavedena přímo do topidel.</w:t>
      </w:r>
      <w:r>
        <w:t xml:space="preserve"> </w:t>
      </w:r>
    </w:p>
    <w:p w:rsidR="005E03EC" w:rsidRPr="00E92847" w:rsidRDefault="005E03EC" w:rsidP="00443DCF">
      <w:pPr>
        <w:numPr>
          <w:ilvl w:val="0"/>
          <w:numId w:val="24"/>
        </w:numPr>
        <w:tabs>
          <w:tab w:val="clear" w:pos="1800"/>
          <w:tab w:val="num" w:pos="540"/>
          <w:tab w:val="left" w:pos="567"/>
        </w:tabs>
        <w:ind w:left="540" w:hanging="540"/>
        <w:jc w:val="both"/>
      </w:pPr>
      <w:r w:rsidRPr="00E92847">
        <w:t xml:space="preserve">Výstupní teplota primární vody z výměníku do vratné větve musí být </w:t>
      </w:r>
      <w:r>
        <w:t xml:space="preserve">maximálně </w:t>
      </w:r>
      <w:r w:rsidRPr="00E92847">
        <w:t>70 °C.</w:t>
      </w:r>
    </w:p>
    <w:p w:rsidR="005E03EC" w:rsidRPr="00E92847" w:rsidRDefault="005E03EC" w:rsidP="00443DCF">
      <w:pPr>
        <w:numPr>
          <w:ilvl w:val="0"/>
          <w:numId w:val="24"/>
        </w:numPr>
        <w:tabs>
          <w:tab w:val="clear" w:pos="1800"/>
          <w:tab w:val="num" w:pos="540"/>
          <w:tab w:val="left" w:pos="567"/>
        </w:tabs>
        <w:ind w:left="540" w:hanging="540"/>
        <w:jc w:val="both"/>
      </w:pPr>
      <w:r w:rsidRPr="00E92847">
        <w:t xml:space="preserve">Pokud odběratel doplňuje upravenou horkou vodu do svého sekundárního okruhu z primárního rozvodu dodavatele, musí být v doplňovacím potrubí osazeno </w:t>
      </w:r>
      <w:r>
        <w:t xml:space="preserve">ověřené </w:t>
      </w:r>
      <w:r w:rsidRPr="00E92847">
        <w:lastRenderedPageBreak/>
        <w:t>měřidlo pro měření spotřeby vody.</w:t>
      </w:r>
      <w:r>
        <w:t xml:space="preserve"> Toto měřidlo je majetkem odběratele. Místo napojení doplňovacího potrubí určuje dodavatel.</w:t>
      </w:r>
    </w:p>
    <w:p w:rsidR="005E03EC" w:rsidRPr="00E92847" w:rsidRDefault="005E03EC" w:rsidP="00443DCF">
      <w:pPr>
        <w:numPr>
          <w:ilvl w:val="0"/>
          <w:numId w:val="24"/>
        </w:numPr>
        <w:tabs>
          <w:tab w:val="clear" w:pos="1800"/>
          <w:tab w:val="num" w:pos="540"/>
          <w:tab w:val="left" w:pos="567"/>
        </w:tabs>
        <w:ind w:left="540" w:hanging="540"/>
        <w:jc w:val="both"/>
      </w:pPr>
      <w:r w:rsidRPr="00E92847">
        <w:t>Odběratelé se sjednaným výkonem větším než 500 kW mají povolenu maximální změnu rychlosti výkonu 50 kW za 10 min.</w:t>
      </w:r>
      <w:r>
        <w:t xml:space="preserve"> Odběratel je povinen prokázat, že jeho odběrné zařízení tuto podmínku splňuje.  </w:t>
      </w:r>
    </w:p>
    <w:p w:rsidR="005E03EC" w:rsidRPr="00E92847" w:rsidRDefault="005E03EC" w:rsidP="00443DCF">
      <w:pPr>
        <w:numPr>
          <w:ilvl w:val="0"/>
          <w:numId w:val="24"/>
        </w:numPr>
        <w:tabs>
          <w:tab w:val="clear" w:pos="1800"/>
          <w:tab w:val="num" w:pos="540"/>
          <w:tab w:val="left" w:pos="567"/>
        </w:tabs>
        <w:ind w:left="540" w:hanging="540"/>
        <w:jc w:val="both"/>
      </w:pPr>
      <w:r w:rsidRPr="00E92847">
        <w:t xml:space="preserve">Instalace zkratových propojek na </w:t>
      </w:r>
      <w:r>
        <w:t xml:space="preserve">horkovodní </w:t>
      </w:r>
      <w:r w:rsidRPr="00E92847">
        <w:t xml:space="preserve">tepelné přípojce není dovolena. </w:t>
      </w:r>
    </w:p>
    <w:p w:rsidR="005E03EC" w:rsidRPr="00E92847" w:rsidRDefault="005E03EC" w:rsidP="00443DCF">
      <w:pPr>
        <w:numPr>
          <w:ilvl w:val="0"/>
          <w:numId w:val="24"/>
        </w:numPr>
        <w:tabs>
          <w:tab w:val="clear" w:pos="1800"/>
          <w:tab w:val="num" w:pos="540"/>
          <w:tab w:val="left" w:pos="567"/>
        </w:tabs>
        <w:ind w:left="540" w:hanging="540"/>
        <w:jc w:val="both"/>
      </w:pPr>
      <w:r w:rsidRPr="00E92847">
        <w:t>Uzavření přípojky horké vody na primární straně z důvodu poruchy, provádění oprav nebo na požadavek odběratele je možné:</w:t>
      </w:r>
    </w:p>
    <w:p w:rsidR="005E03EC" w:rsidRPr="00E92847" w:rsidRDefault="005E03EC" w:rsidP="00443DCF">
      <w:pPr>
        <w:numPr>
          <w:ilvl w:val="1"/>
          <w:numId w:val="16"/>
        </w:numPr>
        <w:ind w:left="1418" w:hanging="425"/>
        <w:jc w:val="both"/>
      </w:pPr>
      <w:r w:rsidRPr="00E92847">
        <w:t>V případě poruchy – po telefonickém oznámení na havarijní službu dodavatele (</w:t>
      </w:r>
      <w:r>
        <w:t>Zlín +420 606 712 780, +420 577 522 201)</w:t>
      </w:r>
    </w:p>
    <w:p w:rsidR="005E03EC" w:rsidRPr="00E92847" w:rsidRDefault="005E03EC" w:rsidP="00443DCF">
      <w:pPr>
        <w:numPr>
          <w:ilvl w:val="1"/>
          <w:numId w:val="16"/>
        </w:numPr>
        <w:ind w:left="1418" w:hanging="425"/>
        <w:jc w:val="both"/>
      </w:pPr>
      <w:r w:rsidRPr="00E92847">
        <w:t>Na písemné vyžádání odběratele doručené n</w:t>
      </w:r>
      <w:r>
        <w:t>a adresu dodavatele minimálně 3 </w:t>
      </w:r>
      <w:r w:rsidRPr="00E92847">
        <w:t>dny před požadovaným odstavením.</w:t>
      </w:r>
    </w:p>
    <w:p w:rsidR="005E03EC" w:rsidRPr="00E92847" w:rsidRDefault="005E03EC" w:rsidP="00443DCF">
      <w:pPr>
        <w:ind w:left="567"/>
        <w:jc w:val="both"/>
      </w:pPr>
      <w:r w:rsidRPr="00E92847">
        <w:t>Odstavení tepelné přípojky provádí výhradně pracovníci dodavatele, odběratel nesmí zasahovat d</w:t>
      </w:r>
      <w:r>
        <w:t>o</w:t>
      </w:r>
      <w:r w:rsidRPr="00E92847">
        <w:t xml:space="preserve"> primárních rozvodů dodavatele.</w:t>
      </w:r>
    </w:p>
    <w:p w:rsidR="005E03EC" w:rsidRDefault="005E03EC" w:rsidP="00443DCF">
      <w:pPr>
        <w:numPr>
          <w:ilvl w:val="0"/>
          <w:numId w:val="24"/>
        </w:numPr>
        <w:tabs>
          <w:tab w:val="clear" w:pos="1800"/>
          <w:tab w:val="num" w:pos="540"/>
          <w:tab w:val="left" w:pos="567"/>
        </w:tabs>
        <w:ind w:left="540" w:hanging="540"/>
        <w:jc w:val="both"/>
      </w:pPr>
      <w:r w:rsidRPr="00E92847">
        <w:t>Tepelná přípojka začíná odbočením z rozvodného tepelného zařízení a končí vstupem do odběrného tepelného zařízení. Tato přípojka je v majetku a správě odběratele</w:t>
      </w:r>
      <w:r>
        <w:t>, pokud není ve smlouvě uvedeno jinak</w:t>
      </w:r>
      <w:r w:rsidRPr="00E92847">
        <w:t>. Tepelná přípojka je oddělena od rozvodného tepelného zařízení přehradní armaturou, kterou osadí, obsluhuje a udržuje dodavatel.</w:t>
      </w:r>
    </w:p>
    <w:p w:rsidR="00675DC8" w:rsidRDefault="00675DC8" w:rsidP="00443DCF">
      <w:pPr>
        <w:numPr>
          <w:ilvl w:val="0"/>
          <w:numId w:val="24"/>
        </w:numPr>
        <w:tabs>
          <w:tab w:val="clear" w:pos="1800"/>
          <w:tab w:val="num" w:pos="540"/>
          <w:tab w:val="left" w:pos="567"/>
        </w:tabs>
        <w:ind w:left="540" w:hanging="540"/>
        <w:jc w:val="both"/>
      </w:pPr>
      <w:r w:rsidRPr="00675DC8">
        <w:t>V případě návratu kondenzátu z parního tepelného spotřebiče odběratel dostupnými technickým zařízeními zajistí, aby nebyl kondenzát znečištěn mechanicky ani chemicky.</w:t>
      </w:r>
    </w:p>
    <w:p w:rsidR="005E03EC" w:rsidRPr="00E92847" w:rsidRDefault="005E03EC" w:rsidP="00443DCF">
      <w:pPr>
        <w:numPr>
          <w:ilvl w:val="0"/>
          <w:numId w:val="24"/>
        </w:numPr>
        <w:tabs>
          <w:tab w:val="clear" w:pos="1800"/>
          <w:tab w:val="num" w:pos="540"/>
          <w:tab w:val="left" w:pos="567"/>
        </w:tabs>
        <w:ind w:left="540" w:hanging="540"/>
        <w:jc w:val="both"/>
      </w:pPr>
      <w:r>
        <w:t xml:space="preserve">V případě připojení tepelného zdroje do tepelné soustavy nesmí tento zdroj, resp. jeho parametry, nijak narušovat provoz soustavy. Parametry zdroje a teplonosného média musí být zvoleny tak, aby v žádném provozním režimu zdroje či soustavy nedošlo k narušení jejího provozu. Připojení zdroje tepla k odběrnému tepelnému zařízení smí odběratel provést pouze s předchozím písemným souhlasem dodavatele. </w:t>
      </w:r>
    </w:p>
    <w:p w:rsidR="005E03EC" w:rsidRPr="00440763" w:rsidRDefault="005E03EC" w:rsidP="00443DCF">
      <w:pPr>
        <w:pStyle w:val="Nadpis2"/>
        <w:keepNext/>
        <w:numPr>
          <w:ilvl w:val="1"/>
          <w:numId w:val="15"/>
        </w:numPr>
        <w:spacing w:beforeLines="100" w:afterLines="50" w:after="120"/>
        <w:jc w:val="both"/>
      </w:pPr>
      <w:bookmarkStart w:id="42" w:name="_Toc285710702"/>
      <w:bookmarkStart w:id="43" w:name="_Toc430265733"/>
      <w:r w:rsidRPr="00440763">
        <w:t>Všeobecné požadavky na projektovou dokumentaci</w:t>
      </w:r>
      <w:bookmarkEnd w:id="42"/>
      <w:bookmarkEnd w:id="43"/>
    </w:p>
    <w:p w:rsidR="005E03EC" w:rsidRPr="00440763" w:rsidRDefault="005E03EC" w:rsidP="00443DCF">
      <w:pPr>
        <w:tabs>
          <w:tab w:val="left" w:pos="0"/>
        </w:tabs>
        <w:jc w:val="both"/>
      </w:pPr>
      <w:r w:rsidRPr="00440763">
        <w:t>Veškerá připojení nových tepelných zařízení k</w:t>
      </w:r>
      <w:r>
        <w:t xml:space="preserve"> soustavám centrálního zásobování teplem </w:t>
      </w:r>
      <w:r w:rsidRPr="00440763">
        <w:t>nebo jejich rekonstrukce budou realizována podle prováděcí projektové dokumentace.</w:t>
      </w:r>
    </w:p>
    <w:p w:rsidR="005E03EC" w:rsidRPr="00440763" w:rsidRDefault="005E03EC" w:rsidP="00443DCF">
      <w:pPr>
        <w:tabs>
          <w:tab w:val="left" w:pos="720"/>
        </w:tabs>
        <w:ind w:left="720" w:hanging="720"/>
        <w:jc w:val="both"/>
      </w:pPr>
      <w:r w:rsidRPr="00440763">
        <w:t>Projekt zařízení k odběru tepelné energie bude zpracován oprávněnou osobu.</w:t>
      </w:r>
    </w:p>
    <w:p w:rsidR="005E03EC" w:rsidRPr="00440763" w:rsidRDefault="005E03EC" w:rsidP="00443DCF">
      <w:pPr>
        <w:numPr>
          <w:ilvl w:val="0"/>
          <w:numId w:val="25"/>
        </w:numPr>
        <w:tabs>
          <w:tab w:val="clear" w:pos="1800"/>
          <w:tab w:val="left" w:pos="540"/>
        </w:tabs>
        <w:ind w:left="540" w:hanging="540"/>
        <w:jc w:val="both"/>
      </w:pPr>
      <w:r w:rsidRPr="00440763">
        <w:t xml:space="preserve">Koncept projektu </w:t>
      </w:r>
      <w:r>
        <w:t xml:space="preserve">odběrného tepelného zařízení </w:t>
      </w:r>
      <w:r w:rsidRPr="00440763">
        <w:t xml:space="preserve">předloží odběratel k odsouhlasení dodavateli tepelné energie. Veškeré projektové podklady dotýkající se zařízení dodavatele, budou předány v písemné a elektronické formě (formát </w:t>
      </w:r>
      <w:proofErr w:type="spellStart"/>
      <w:r w:rsidRPr="00440763">
        <w:t>AutoCAD</w:t>
      </w:r>
      <w:proofErr w:type="spellEnd"/>
      <w:r>
        <w:t>,</w:t>
      </w:r>
      <w:r w:rsidRPr="00440763">
        <w:t xml:space="preserve"> MS Office</w:t>
      </w:r>
      <w:r>
        <w:t>, nebo jiný dodavatelem předem odsouhlasený formát</w:t>
      </w:r>
      <w:r w:rsidRPr="00440763">
        <w:t xml:space="preserve">). </w:t>
      </w:r>
      <w:r w:rsidRPr="00B7419F">
        <w:t>Vyžaduje-li dodavatel tepelné energie předložení projektové dokumentace na vlastní tepelné odběrné zařízení za předávací stanicí (tj. potrubní rozvody v areálu odběratele, situační plány a schéma zapojení otopných těles, technologické zařízení vyžadující dodávku tepelné energie atp.) je odběratel povinen mu tuto dokumentaci předložit k nahlédnutí.</w:t>
      </w:r>
    </w:p>
    <w:p w:rsidR="005E03EC" w:rsidRPr="00440763" w:rsidRDefault="005E03EC" w:rsidP="00443DCF">
      <w:pPr>
        <w:numPr>
          <w:ilvl w:val="0"/>
          <w:numId w:val="25"/>
        </w:numPr>
        <w:tabs>
          <w:tab w:val="clear" w:pos="1800"/>
          <w:tab w:val="left" w:pos="540"/>
        </w:tabs>
        <w:ind w:left="540" w:hanging="540"/>
        <w:jc w:val="both"/>
      </w:pPr>
      <w:r w:rsidRPr="00440763">
        <w:t>Po úplném dokončení dokumentace předloží odběratel dodavateli tento projekt ke konečnému schválení.</w:t>
      </w:r>
    </w:p>
    <w:p w:rsidR="005E03EC" w:rsidRPr="00440763" w:rsidRDefault="005E03EC" w:rsidP="00443DCF">
      <w:pPr>
        <w:numPr>
          <w:ilvl w:val="0"/>
          <w:numId w:val="25"/>
        </w:numPr>
        <w:tabs>
          <w:tab w:val="clear" w:pos="1800"/>
          <w:tab w:val="left" w:pos="540"/>
        </w:tabs>
        <w:ind w:left="540" w:hanging="540"/>
        <w:jc w:val="both"/>
      </w:pPr>
      <w:r w:rsidRPr="00440763">
        <w:t>V případě nesplnění požadavků dodavatele tepelné energie při vypracování projektu, má dodavatel tepelné energie právo od prodeje tepelné energie ustoupit bez nároků odběratele na úhradu škody tímto postupem vzniklé.</w:t>
      </w:r>
    </w:p>
    <w:p w:rsidR="005E03EC" w:rsidRPr="00440763" w:rsidRDefault="005E03EC" w:rsidP="00443DCF">
      <w:pPr>
        <w:numPr>
          <w:ilvl w:val="0"/>
          <w:numId w:val="25"/>
        </w:numPr>
        <w:tabs>
          <w:tab w:val="clear" w:pos="1800"/>
          <w:tab w:val="left" w:pos="540"/>
        </w:tabs>
        <w:ind w:left="540" w:hanging="540"/>
        <w:jc w:val="both"/>
      </w:pPr>
      <w:r w:rsidRPr="00440763">
        <w:t>Potrubní rozvody budou provedeny z oceli třídy 11 nebo třídy 12.</w:t>
      </w:r>
    </w:p>
    <w:p w:rsidR="005E03EC" w:rsidRPr="00B7419F" w:rsidRDefault="005E03EC" w:rsidP="00443DCF">
      <w:pPr>
        <w:numPr>
          <w:ilvl w:val="0"/>
          <w:numId w:val="25"/>
        </w:numPr>
        <w:tabs>
          <w:tab w:val="clear" w:pos="1800"/>
          <w:tab w:val="left" w:pos="540"/>
        </w:tabs>
        <w:ind w:left="540" w:hanging="540"/>
        <w:jc w:val="both"/>
      </w:pPr>
      <w:r w:rsidRPr="00B7419F">
        <w:t>Všechny armatury Dodavatele budou přístupné pro běžnou manipulaci.</w:t>
      </w:r>
    </w:p>
    <w:p w:rsidR="005E03EC" w:rsidRPr="00440763" w:rsidRDefault="005E03EC" w:rsidP="00443DCF">
      <w:pPr>
        <w:numPr>
          <w:ilvl w:val="0"/>
          <w:numId w:val="25"/>
        </w:numPr>
        <w:tabs>
          <w:tab w:val="clear" w:pos="1800"/>
          <w:tab w:val="left" w:pos="540"/>
        </w:tabs>
        <w:ind w:left="540" w:hanging="540"/>
        <w:jc w:val="both"/>
      </w:pPr>
      <w:r w:rsidRPr="00440763">
        <w:t>Na odbočce bude osazen uzávěr a nainstalovány vypouštěcí armatury vždy v nejnižším bodě a odvzdušňovací armatury vždy v nejvyšším bodě.</w:t>
      </w:r>
    </w:p>
    <w:p w:rsidR="005E03EC" w:rsidRPr="00B7419F" w:rsidRDefault="005E03EC" w:rsidP="005E03EC">
      <w:pPr>
        <w:numPr>
          <w:ilvl w:val="0"/>
          <w:numId w:val="25"/>
        </w:numPr>
        <w:tabs>
          <w:tab w:val="clear" w:pos="1800"/>
          <w:tab w:val="left" w:pos="540"/>
        </w:tabs>
        <w:ind w:left="540" w:hanging="540"/>
        <w:jc w:val="both"/>
      </w:pPr>
      <w:r w:rsidRPr="00B7419F">
        <w:t>Izolace budou provedeny v souladu s vyhláškou MPO č.194/2007 Sb., kterou se stanoví podrobnosti užití energie při rozvodu tepelné energie a vnitřních rozvodů tepelné energie.</w:t>
      </w:r>
    </w:p>
    <w:p w:rsidR="005E03EC" w:rsidRPr="00440763" w:rsidRDefault="005E03EC" w:rsidP="005E03EC">
      <w:pPr>
        <w:numPr>
          <w:ilvl w:val="0"/>
          <w:numId w:val="25"/>
        </w:numPr>
        <w:tabs>
          <w:tab w:val="clear" w:pos="1800"/>
          <w:tab w:val="left" w:pos="540"/>
        </w:tabs>
        <w:ind w:left="540" w:hanging="540"/>
        <w:jc w:val="both"/>
      </w:pPr>
      <w:r w:rsidRPr="00440763">
        <w:t>Pro hydraulické vyvážení odběrů tepelné energie bude použita kvantitativní regulace.</w:t>
      </w:r>
    </w:p>
    <w:p w:rsidR="005E03EC" w:rsidRDefault="005E03EC" w:rsidP="005E03EC">
      <w:pPr>
        <w:numPr>
          <w:ilvl w:val="0"/>
          <w:numId w:val="25"/>
        </w:numPr>
        <w:tabs>
          <w:tab w:val="clear" w:pos="1800"/>
          <w:tab w:val="left" w:pos="540"/>
        </w:tabs>
        <w:ind w:left="540" w:hanging="540"/>
        <w:jc w:val="both"/>
      </w:pPr>
      <w:r w:rsidRPr="00440763">
        <w:t>Veškeré odběry tepelné energie osadí dodavatel měřidly. Typ měřidla a způsob zapojení určí dodavatel tepelné energie.</w:t>
      </w:r>
    </w:p>
    <w:p w:rsidR="005E03EC" w:rsidRPr="00440763" w:rsidRDefault="005E03EC" w:rsidP="005E03EC">
      <w:pPr>
        <w:numPr>
          <w:ilvl w:val="0"/>
          <w:numId w:val="25"/>
        </w:numPr>
        <w:tabs>
          <w:tab w:val="clear" w:pos="1800"/>
          <w:tab w:val="left" w:pos="540"/>
        </w:tabs>
        <w:ind w:left="540" w:hanging="540"/>
        <w:jc w:val="both"/>
      </w:pPr>
      <w:r>
        <w:t xml:space="preserve">V případě připojení tepelného zdroje do soustavy centrálního zásobování teplem je odběratel (provozovatel zařízení) před jeho připojením povinen AGCZ předložit </w:t>
      </w:r>
      <w:r>
        <w:lastRenderedPageBreak/>
        <w:t>příslušnou technickou dokumentaci připojovaného zdroje včetně specifikace parametrů v místě připojení ve všech provozních režimech a patřičných výpočtů a dalších dokladů potvrzujících, že připojením tohoto zdroje nedojde k narušení chodu soustavy centrálního zásobování teplem.</w:t>
      </w:r>
    </w:p>
    <w:p w:rsidR="005E03EC" w:rsidRDefault="005E03EC" w:rsidP="005E03EC">
      <w:pPr>
        <w:rPr>
          <w:b/>
        </w:rPr>
      </w:pPr>
      <w:r w:rsidRPr="00544502">
        <w:rPr>
          <w:b/>
        </w:rPr>
        <w:t>Opravy a údržba zařízení:</w:t>
      </w:r>
    </w:p>
    <w:p w:rsidR="005E03EC" w:rsidRPr="00544502" w:rsidRDefault="005E03EC" w:rsidP="005E03EC">
      <w:pPr>
        <w:numPr>
          <w:ilvl w:val="0"/>
          <w:numId w:val="21"/>
        </w:numPr>
        <w:tabs>
          <w:tab w:val="clear" w:pos="1080"/>
          <w:tab w:val="num" w:pos="540"/>
        </w:tabs>
        <w:ind w:left="540" w:hanging="540"/>
        <w:jc w:val="both"/>
      </w:pPr>
      <w:r w:rsidRPr="00544502">
        <w:t>Odběratel je povinen oznámit dodavateli zásah do potrubí, při kterém dojde k vypuštění topného media</w:t>
      </w:r>
      <w:r>
        <w:t xml:space="preserve">, a to e-mailem na adresy uvedené v příloze </w:t>
      </w:r>
      <w:proofErr w:type="gramStart"/>
      <w:r>
        <w:t>č.1 těchto</w:t>
      </w:r>
      <w:proofErr w:type="gramEnd"/>
      <w:r>
        <w:t xml:space="preserve"> Pravidel</w:t>
      </w:r>
      <w:r w:rsidRPr="00544502">
        <w:t>.</w:t>
      </w:r>
    </w:p>
    <w:p w:rsidR="005E03EC" w:rsidRPr="00544502" w:rsidRDefault="005E03EC" w:rsidP="005E03EC">
      <w:pPr>
        <w:numPr>
          <w:ilvl w:val="0"/>
          <w:numId w:val="21"/>
        </w:numPr>
        <w:tabs>
          <w:tab w:val="clear" w:pos="1080"/>
          <w:tab w:val="num" w:pos="540"/>
        </w:tabs>
        <w:ind w:left="540" w:hanging="540"/>
        <w:jc w:val="both"/>
      </w:pPr>
      <w:r w:rsidRPr="00544502">
        <w:t>Odběratel je povinen oznámit dodavateli zvýšený odběr topné vody při napouštění sekundárního okruhu</w:t>
      </w:r>
    </w:p>
    <w:p w:rsidR="005E03EC" w:rsidRDefault="005E03EC" w:rsidP="005E03EC">
      <w:pPr>
        <w:numPr>
          <w:ilvl w:val="0"/>
          <w:numId w:val="21"/>
        </w:numPr>
        <w:tabs>
          <w:tab w:val="clear" w:pos="1080"/>
          <w:tab w:val="num" w:pos="540"/>
        </w:tabs>
        <w:ind w:left="540" w:hanging="540"/>
        <w:jc w:val="both"/>
      </w:pPr>
      <w:r w:rsidRPr="00544502">
        <w:t xml:space="preserve">V případě </w:t>
      </w:r>
      <w:r>
        <w:t xml:space="preserve">plánovaných </w:t>
      </w:r>
      <w:r w:rsidRPr="00544502">
        <w:t>prací prováděných na zařízení napojených na tepelné přípojce odběratele požaduje dodavatel včasné nahlášení minimálně 3 dny před odstavením</w:t>
      </w:r>
      <w:r>
        <w:t>.</w:t>
      </w:r>
    </w:p>
    <w:p w:rsidR="005E03EC" w:rsidRPr="00544502" w:rsidRDefault="005E03EC" w:rsidP="005E03EC">
      <w:pPr>
        <w:jc w:val="both"/>
        <w:rPr>
          <w:b/>
        </w:rPr>
      </w:pPr>
      <w:r w:rsidRPr="00544502">
        <w:rPr>
          <w:b/>
        </w:rPr>
        <w:t>Před uvedením do provozu požaduje dodavatel předat:</w:t>
      </w:r>
    </w:p>
    <w:p w:rsidR="005E03EC" w:rsidRPr="00544502" w:rsidRDefault="005E03EC" w:rsidP="005E03EC">
      <w:pPr>
        <w:numPr>
          <w:ilvl w:val="0"/>
          <w:numId w:val="23"/>
        </w:numPr>
        <w:tabs>
          <w:tab w:val="clear" w:pos="1800"/>
          <w:tab w:val="num" w:pos="540"/>
        </w:tabs>
        <w:ind w:left="540" w:hanging="540"/>
        <w:jc w:val="both"/>
      </w:pPr>
      <w:r w:rsidRPr="00544502">
        <w:t xml:space="preserve">Protokol o tlakové zkoušce </w:t>
      </w:r>
      <w:r>
        <w:t>připojeného odběrného tepelného zařízení</w:t>
      </w:r>
      <w:r w:rsidRPr="00544502">
        <w:t>.</w:t>
      </w:r>
    </w:p>
    <w:p w:rsidR="005E03EC" w:rsidRPr="00544502" w:rsidRDefault="005E03EC" w:rsidP="005E03EC">
      <w:pPr>
        <w:numPr>
          <w:ilvl w:val="0"/>
          <w:numId w:val="23"/>
        </w:numPr>
        <w:tabs>
          <w:tab w:val="clear" w:pos="1800"/>
          <w:tab w:val="num" w:pos="540"/>
        </w:tabs>
        <w:ind w:left="540" w:hanging="540"/>
        <w:jc w:val="both"/>
      </w:pPr>
      <w:r w:rsidRPr="00544502">
        <w:t>Výchozí revizní zprávu tlakových nádob stabilních.</w:t>
      </w:r>
    </w:p>
    <w:p w:rsidR="005E03EC" w:rsidRPr="00B7419F" w:rsidRDefault="005E03EC" w:rsidP="005E03EC">
      <w:pPr>
        <w:numPr>
          <w:ilvl w:val="0"/>
          <w:numId w:val="23"/>
        </w:numPr>
        <w:tabs>
          <w:tab w:val="clear" w:pos="1800"/>
          <w:tab w:val="num" w:pos="540"/>
        </w:tabs>
        <w:ind w:left="540" w:hanging="540"/>
        <w:jc w:val="both"/>
      </w:pPr>
      <w:r w:rsidRPr="00B7419F">
        <w:t>Výchozí revizní zprávu elektro.</w:t>
      </w:r>
    </w:p>
    <w:p w:rsidR="005E03EC" w:rsidRPr="00544502" w:rsidRDefault="005E03EC" w:rsidP="005E03EC">
      <w:pPr>
        <w:numPr>
          <w:ilvl w:val="0"/>
          <w:numId w:val="23"/>
        </w:numPr>
        <w:tabs>
          <w:tab w:val="clear" w:pos="1800"/>
          <w:tab w:val="num" w:pos="540"/>
        </w:tabs>
        <w:ind w:left="540" w:hanging="540"/>
        <w:jc w:val="both"/>
      </w:pPr>
      <w:r w:rsidRPr="00544502">
        <w:t>Dokumentaci skutečného provedení stavby horkovodu</w:t>
      </w:r>
      <w:r>
        <w:t xml:space="preserve"> či parovodu</w:t>
      </w:r>
      <w:r w:rsidRPr="00544502">
        <w:t>.</w:t>
      </w:r>
    </w:p>
    <w:p w:rsidR="005E03EC" w:rsidRPr="00544502" w:rsidRDefault="005E03EC" w:rsidP="005E03EC">
      <w:pPr>
        <w:numPr>
          <w:ilvl w:val="0"/>
          <w:numId w:val="23"/>
        </w:numPr>
        <w:tabs>
          <w:tab w:val="clear" w:pos="1800"/>
          <w:tab w:val="num" w:pos="540"/>
        </w:tabs>
        <w:ind w:left="540" w:hanging="540"/>
        <w:jc w:val="both"/>
      </w:pPr>
      <w:r w:rsidRPr="00544502">
        <w:t>Kopii</w:t>
      </w:r>
      <w:r>
        <w:t xml:space="preserve"> MPP</w:t>
      </w:r>
      <w:r w:rsidRPr="00544502">
        <w:t>.</w:t>
      </w:r>
    </w:p>
    <w:p w:rsidR="005E03EC" w:rsidRPr="00571B89" w:rsidRDefault="005E03EC" w:rsidP="005E03EC">
      <w:pPr>
        <w:jc w:val="both"/>
        <w:rPr>
          <w:color w:val="FF0000"/>
        </w:rPr>
      </w:pPr>
      <w:r w:rsidRPr="00544502">
        <w:t>Dodavatel tepelné energie požaduje od provozovatele zařízení připojených k</w:t>
      </w:r>
      <w:r>
        <w:t xml:space="preserve"> soustavám centrálního zásobování teplem </w:t>
      </w:r>
      <w:r w:rsidRPr="00544502">
        <w:t xml:space="preserve">zajištění </w:t>
      </w:r>
      <w:r>
        <w:t>trvalého</w:t>
      </w:r>
      <w:r w:rsidRPr="00544502">
        <w:t xml:space="preserve"> přístupu k měřicímu zařízení a hlavním uzavíracím armaturám. </w:t>
      </w:r>
    </w:p>
    <w:p w:rsidR="005E03EC" w:rsidRPr="00544502" w:rsidRDefault="005E03EC" w:rsidP="005E03EC">
      <w:pPr>
        <w:pStyle w:val="Nadpis1"/>
        <w:tabs>
          <w:tab w:val="clear" w:pos="1134"/>
          <w:tab w:val="left" w:pos="425"/>
        </w:tabs>
        <w:spacing w:beforeLines="100" w:afterLines="50" w:after="120"/>
        <w:ind w:left="360" w:hanging="360"/>
      </w:pPr>
      <w:bookmarkStart w:id="44" w:name="_Toc430265734"/>
      <w:bookmarkStart w:id="45" w:name="_Toc430265735"/>
      <w:bookmarkStart w:id="46" w:name="_Toc430265736"/>
      <w:bookmarkStart w:id="47" w:name="_Toc430265737"/>
      <w:bookmarkStart w:id="48" w:name="_Toc430265738"/>
      <w:bookmarkStart w:id="49" w:name="_Toc430265739"/>
      <w:bookmarkStart w:id="50" w:name="_Toc430265740"/>
      <w:bookmarkStart w:id="51" w:name="_Toc430265741"/>
      <w:bookmarkStart w:id="52" w:name="_Toc285710706"/>
      <w:bookmarkStart w:id="53" w:name="_Toc430265742"/>
      <w:bookmarkEnd w:id="44"/>
      <w:bookmarkEnd w:id="45"/>
      <w:bookmarkEnd w:id="46"/>
      <w:bookmarkEnd w:id="47"/>
      <w:bookmarkEnd w:id="48"/>
      <w:bookmarkEnd w:id="49"/>
      <w:bookmarkEnd w:id="50"/>
      <w:bookmarkEnd w:id="51"/>
      <w:r w:rsidRPr="00544502">
        <w:t>PŘÍLOHY</w:t>
      </w:r>
      <w:bookmarkEnd w:id="52"/>
      <w:bookmarkEnd w:id="53"/>
    </w:p>
    <w:p w:rsidR="005E03EC" w:rsidRPr="00544502" w:rsidRDefault="005E03EC" w:rsidP="005E03EC">
      <w:pPr>
        <w:ind w:left="708" w:hanging="708"/>
      </w:pPr>
      <w:r w:rsidRPr="00544502">
        <w:t>Příloha č.</w:t>
      </w:r>
      <w:r w:rsidR="00A7190F">
        <w:t xml:space="preserve"> </w:t>
      </w:r>
      <w:r w:rsidRPr="00544502">
        <w:t>1: Důležitá telefonní a komunikační spojení</w:t>
      </w:r>
    </w:p>
    <w:p w:rsidR="005E03EC" w:rsidRDefault="005E03EC" w:rsidP="005E03EC">
      <w:pPr>
        <w:ind w:left="708" w:hanging="708"/>
      </w:pPr>
      <w:r w:rsidRPr="00544502">
        <w:t>Příloha č.</w:t>
      </w:r>
      <w:r w:rsidR="00A7190F">
        <w:t xml:space="preserve"> </w:t>
      </w:r>
      <w:r w:rsidRPr="00544502">
        <w:t>2: Sch</w:t>
      </w:r>
      <w:r>
        <w:t>é</w:t>
      </w:r>
      <w:r w:rsidRPr="00544502">
        <w:t xml:space="preserve">ma připojení odběrného </w:t>
      </w:r>
      <w:r>
        <w:t>zařízení k zařízení SZTE</w:t>
      </w:r>
    </w:p>
    <w:p w:rsidR="005E03EC" w:rsidRDefault="005E03EC" w:rsidP="005E03EC">
      <w:pPr>
        <w:spacing w:after="200"/>
        <w:rPr>
          <w:b/>
        </w:rPr>
      </w:pPr>
      <w:r w:rsidRPr="00645590">
        <w:rPr>
          <w:b/>
          <w:highlight w:val="red"/>
        </w:rPr>
        <w:br w:type="page"/>
      </w:r>
      <w:r w:rsidRPr="00544502">
        <w:rPr>
          <w:b/>
        </w:rPr>
        <w:lastRenderedPageBreak/>
        <w:t>Příloha č.</w:t>
      </w:r>
      <w:r w:rsidR="00A7190F">
        <w:rPr>
          <w:b/>
        </w:rPr>
        <w:t xml:space="preserve"> </w:t>
      </w:r>
      <w:r w:rsidRPr="00544502">
        <w:rPr>
          <w:b/>
        </w:rPr>
        <w:t>1</w:t>
      </w:r>
      <w:r>
        <w:rPr>
          <w:b/>
        </w:rPr>
        <w:t xml:space="preserve"> </w:t>
      </w:r>
      <w:r w:rsidRPr="00BA5036">
        <w:rPr>
          <w:b/>
        </w:rPr>
        <w:t>Pravid</w:t>
      </w:r>
      <w:r>
        <w:rPr>
          <w:b/>
        </w:rPr>
        <w:t>el</w:t>
      </w:r>
      <w:r w:rsidRPr="00BA5036">
        <w:rPr>
          <w:b/>
        </w:rPr>
        <w:t xml:space="preserve"> pro připojení a provoz zařízení připojených k</w:t>
      </w:r>
      <w:r>
        <w:rPr>
          <w:b/>
        </w:rPr>
        <w:t> </w:t>
      </w:r>
      <w:r w:rsidRPr="00BA5036">
        <w:rPr>
          <w:b/>
        </w:rPr>
        <w:t>soustavám</w:t>
      </w:r>
      <w:r>
        <w:rPr>
          <w:b/>
        </w:rPr>
        <w:t xml:space="preserve"> </w:t>
      </w:r>
      <w:r w:rsidRPr="00BA5036">
        <w:rPr>
          <w:b/>
        </w:rPr>
        <w:t xml:space="preserve">centrálního zásobování teplem </w:t>
      </w:r>
      <w:proofErr w:type="spellStart"/>
      <w:r w:rsidRPr="00BA5036">
        <w:rPr>
          <w:b/>
        </w:rPr>
        <w:t>Alpiq</w:t>
      </w:r>
      <w:proofErr w:type="spellEnd"/>
      <w:r w:rsidRPr="00BA5036">
        <w:rPr>
          <w:b/>
        </w:rPr>
        <w:t> </w:t>
      </w:r>
      <w:proofErr w:type="spellStart"/>
      <w:r w:rsidRPr="00BA5036">
        <w:rPr>
          <w:b/>
        </w:rPr>
        <w:t>Generation</w:t>
      </w:r>
      <w:proofErr w:type="spellEnd"/>
      <w:r w:rsidRPr="00BA5036">
        <w:rPr>
          <w:b/>
        </w:rPr>
        <w:t> (CZ) s.r.o</w:t>
      </w:r>
      <w:r w:rsidR="00A7190F">
        <w:rPr>
          <w:b/>
        </w:rPr>
        <w:t>.</w:t>
      </w:r>
      <w:r w:rsidRPr="00544502">
        <w:rPr>
          <w:b/>
        </w:rPr>
        <w:t>:</w:t>
      </w:r>
    </w:p>
    <w:p w:rsidR="005E03EC" w:rsidRPr="00544502" w:rsidRDefault="005E03EC" w:rsidP="005E03EC">
      <w:pPr>
        <w:spacing w:after="200"/>
        <w:rPr>
          <w:b/>
        </w:rPr>
      </w:pPr>
      <w:r w:rsidRPr="00544502">
        <w:rPr>
          <w:b/>
        </w:rPr>
        <w:t>Seznam důležitých komunikačních spojení.</w:t>
      </w:r>
    </w:p>
    <w:p w:rsidR="005E03EC" w:rsidRDefault="005E03EC" w:rsidP="005E03EC">
      <w:pPr>
        <w:pStyle w:val="Zpat"/>
        <w:spacing w:beforeLines="100" w:before="240"/>
        <w:rPr>
          <w:b/>
          <w:i/>
          <w:iCs/>
          <w:szCs w:val="24"/>
          <w:u w:val="single"/>
        </w:rPr>
      </w:pPr>
      <w:r>
        <w:rPr>
          <w:b/>
          <w:i/>
          <w:iCs/>
          <w:szCs w:val="24"/>
          <w:u w:val="single"/>
        </w:rPr>
        <w:t>Distribuční oblast Zlín:</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5"/>
        <w:gridCol w:w="3686"/>
      </w:tblGrid>
      <w:tr w:rsidR="005E03EC" w:rsidRPr="00544502" w:rsidTr="002D4D83">
        <w:tc>
          <w:tcPr>
            <w:tcW w:w="5315" w:type="dxa"/>
            <w:tcBorders>
              <w:top w:val="single" w:sz="12" w:space="0" w:color="auto"/>
              <w:left w:val="single" w:sz="18" w:space="0" w:color="auto"/>
              <w:bottom w:val="single" w:sz="12" w:space="0" w:color="auto"/>
            </w:tcBorders>
          </w:tcPr>
          <w:p w:rsidR="005E03EC" w:rsidRPr="00544502" w:rsidRDefault="00A7190F" w:rsidP="002D4D83">
            <w:pPr>
              <w:rPr>
                <w:b/>
              </w:rPr>
            </w:pPr>
            <w:r>
              <w:rPr>
                <w:b/>
              </w:rPr>
              <w:t>Externí organizace</w:t>
            </w:r>
            <w:r w:rsidR="005E03EC" w:rsidRPr="00544502">
              <w:rPr>
                <w:b/>
              </w:rPr>
              <w:t>:</w:t>
            </w:r>
          </w:p>
        </w:tc>
        <w:tc>
          <w:tcPr>
            <w:tcW w:w="3686" w:type="dxa"/>
            <w:tcBorders>
              <w:top w:val="single" w:sz="12" w:space="0" w:color="auto"/>
              <w:bottom w:val="single" w:sz="12" w:space="0" w:color="auto"/>
              <w:right w:val="single" w:sz="18" w:space="0" w:color="auto"/>
            </w:tcBorders>
          </w:tcPr>
          <w:p w:rsidR="005E03EC" w:rsidRPr="00544502" w:rsidRDefault="005E03EC" w:rsidP="002D4D83">
            <w:r w:rsidRPr="00544502">
              <w:t>Telefonní spojení</w:t>
            </w:r>
          </w:p>
        </w:tc>
      </w:tr>
      <w:tr w:rsidR="005E03EC" w:rsidRPr="00544502" w:rsidTr="002D4D83">
        <w:tc>
          <w:tcPr>
            <w:tcW w:w="5315" w:type="dxa"/>
            <w:tcBorders>
              <w:left w:val="single" w:sz="18" w:space="0" w:color="auto"/>
            </w:tcBorders>
          </w:tcPr>
          <w:p w:rsidR="005E03EC" w:rsidRPr="00544502" w:rsidRDefault="005E03EC" w:rsidP="002D4D83">
            <w:r w:rsidRPr="00544502">
              <w:t>Integrovaný záchranný systém</w:t>
            </w:r>
          </w:p>
        </w:tc>
        <w:tc>
          <w:tcPr>
            <w:tcW w:w="3686" w:type="dxa"/>
            <w:tcBorders>
              <w:right w:val="single" w:sz="18" w:space="0" w:color="auto"/>
            </w:tcBorders>
          </w:tcPr>
          <w:p w:rsidR="005E03EC" w:rsidRPr="00544502" w:rsidRDefault="005E03EC" w:rsidP="002D4D83">
            <w:r w:rsidRPr="00544502">
              <w:t>112</w:t>
            </w:r>
          </w:p>
        </w:tc>
      </w:tr>
      <w:tr w:rsidR="005E03EC" w:rsidRPr="00544502" w:rsidTr="002D4D83">
        <w:tc>
          <w:tcPr>
            <w:tcW w:w="5315" w:type="dxa"/>
            <w:tcBorders>
              <w:left w:val="single" w:sz="18" w:space="0" w:color="auto"/>
            </w:tcBorders>
          </w:tcPr>
          <w:p w:rsidR="005E03EC" w:rsidRPr="00544502" w:rsidRDefault="005E03EC" w:rsidP="002D4D83">
            <w:r w:rsidRPr="00544502">
              <w:t>Policie ČR</w:t>
            </w:r>
          </w:p>
        </w:tc>
        <w:tc>
          <w:tcPr>
            <w:tcW w:w="3686" w:type="dxa"/>
            <w:tcBorders>
              <w:right w:val="single" w:sz="18" w:space="0" w:color="auto"/>
            </w:tcBorders>
          </w:tcPr>
          <w:p w:rsidR="005E03EC" w:rsidRPr="00544502" w:rsidRDefault="005E03EC" w:rsidP="002D4D83">
            <w:r w:rsidRPr="00544502">
              <w:t>158</w:t>
            </w:r>
          </w:p>
        </w:tc>
      </w:tr>
      <w:tr w:rsidR="005E03EC" w:rsidRPr="00544502" w:rsidTr="002D4D83">
        <w:tc>
          <w:tcPr>
            <w:tcW w:w="5315" w:type="dxa"/>
            <w:tcBorders>
              <w:left w:val="single" w:sz="18" w:space="0" w:color="auto"/>
            </w:tcBorders>
          </w:tcPr>
          <w:p w:rsidR="005E03EC" w:rsidRPr="00544502" w:rsidRDefault="005E03EC" w:rsidP="002D4D83">
            <w:r w:rsidRPr="00544502">
              <w:t>Zdravotní záchranná služba</w:t>
            </w:r>
          </w:p>
        </w:tc>
        <w:tc>
          <w:tcPr>
            <w:tcW w:w="3686" w:type="dxa"/>
            <w:tcBorders>
              <w:right w:val="single" w:sz="18" w:space="0" w:color="auto"/>
            </w:tcBorders>
          </w:tcPr>
          <w:p w:rsidR="005E03EC" w:rsidRPr="00544502" w:rsidRDefault="005E03EC" w:rsidP="002D4D83">
            <w:r w:rsidRPr="00544502">
              <w:t>155</w:t>
            </w:r>
          </w:p>
        </w:tc>
      </w:tr>
      <w:tr w:rsidR="005E03EC" w:rsidRPr="00544502" w:rsidTr="002D4D83">
        <w:tc>
          <w:tcPr>
            <w:tcW w:w="5315" w:type="dxa"/>
            <w:tcBorders>
              <w:left w:val="single" w:sz="18" w:space="0" w:color="auto"/>
            </w:tcBorders>
          </w:tcPr>
          <w:p w:rsidR="005E03EC" w:rsidRPr="00544502" w:rsidRDefault="005E03EC" w:rsidP="002D4D83">
            <w:r w:rsidRPr="00544502">
              <w:t xml:space="preserve">Hasičský záchranný sbor </w:t>
            </w:r>
            <w:r>
              <w:t>zlínského</w:t>
            </w:r>
            <w:r w:rsidRPr="00544502">
              <w:t xml:space="preserve"> kraje</w:t>
            </w:r>
          </w:p>
        </w:tc>
        <w:tc>
          <w:tcPr>
            <w:tcW w:w="3686" w:type="dxa"/>
            <w:tcBorders>
              <w:right w:val="single" w:sz="18" w:space="0" w:color="auto"/>
            </w:tcBorders>
          </w:tcPr>
          <w:p w:rsidR="005E03EC" w:rsidRPr="00544502" w:rsidRDefault="005E03EC" w:rsidP="002D4D83">
            <w:r w:rsidRPr="00544502">
              <w:t>150</w:t>
            </w:r>
          </w:p>
        </w:tc>
      </w:tr>
      <w:tr w:rsidR="005E03EC" w:rsidRPr="00544502" w:rsidTr="002D4D83">
        <w:trPr>
          <w:trHeight w:val="289"/>
        </w:trPr>
        <w:tc>
          <w:tcPr>
            <w:tcW w:w="5315" w:type="dxa"/>
            <w:tcBorders>
              <w:top w:val="single" w:sz="18" w:space="0" w:color="auto"/>
              <w:left w:val="single" w:sz="18" w:space="0" w:color="auto"/>
              <w:bottom w:val="single" w:sz="18" w:space="0" w:color="auto"/>
            </w:tcBorders>
          </w:tcPr>
          <w:p w:rsidR="005E03EC" w:rsidRPr="00544502" w:rsidRDefault="005E03EC" w:rsidP="002D4D83">
            <w:pPr>
              <w:rPr>
                <w:b/>
              </w:rPr>
            </w:pPr>
            <w:proofErr w:type="spellStart"/>
            <w:r w:rsidRPr="00544502">
              <w:rPr>
                <w:b/>
              </w:rPr>
              <w:t>Alpiq</w:t>
            </w:r>
            <w:proofErr w:type="spellEnd"/>
            <w:r w:rsidRPr="00544502">
              <w:rPr>
                <w:b/>
              </w:rPr>
              <w:t> </w:t>
            </w:r>
            <w:proofErr w:type="spellStart"/>
            <w:r w:rsidRPr="00544502">
              <w:rPr>
                <w:b/>
              </w:rPr>
              <w:t>Generation</w:t>
            </w:r>
            <w:proofErr w:type="spellEnd"/>
            <w:r w:rsidRPr="00544502">
              <w:rPr>
                <w:b/>
              </w:rPr>
              <w:t> (CZ) s.r.o.</w:t>
            </w:r>
            <w:r>
              <w:rPr>
                <w:b/>
              </w:rPr>
              <w:t>:</w:t>
            </w:r>
          </w:p>
        </w:tc>
        <w:tc>
          <w:tcPr>
            <w:tcW w:w="3686" w:type="dxa"/>
            <w:tcBorders>
              <w:top w:val="single" w:sz="18" w:space="0" w:color="auto"/>
              <w:bottom w:val="single" w:sz="18" w:space="0" w:color="auto"/>
              <w:right w:val="single" w:sz="18" w:space="0" w:color="auto"/>
            </w:tcBorders>
          </w:tcPr>
          <w:p w:rsidR="005E03EC" w:rsidRPr="00544502" w:rsidRDefault="005E03EC" w:rsidP="002D4D83">
            <w:r w:rsidRPr="00544502">
              <w:t>Telefonní spojení</w:t>
            </w:r>
          </w:p>
        </w:tc>
      </w:tr>
      <w:tr w:rsidR="005E03EC" w:rsidRPr="00544502" w:rsidTr="002D4D83">
        <w:trPr>
          <w:trHeight w:val="289"/>
        </w:trPr>
        <w:tc>
          <w:tcPr>
            <w:tcW w:w="5315" w:type="dxa"/>
            <w:tcBorders>
              <w:top w:val="single" w:sz="4" w:space="0" w:color="auto"/>
              <w:left w:val="single" w:sz="18" w:space="0" w:color="auto"/>
            </w:tcBorders>
          </w:tcPr>
          <w:p w:rsidR="005E03EC" w:rsidRPr="00544502" w:rsidRDefault="005E03EC" w:rsidP="002D4D83">
            <w:r w:rsidRPr="00544502">
              <w:t>Směnový inženýr</w:t>
            </w:r>
          </w:p>
        </w:tc>
        <w:tc>
          <w:tcPr>
            <w:tcW w:w="3686" w:type="dxa"/>
            <w:tcBorders>
              <w:top w:val="single" w:sz="4" w:space="0" w:color="auto"/>
              <w:right w:val="single" w:sz="18" w:space="0" w:color="auto"/>
            </w:tcBorders>
          </w:tcPr>
          <w:p w:rsidR="005E03EC" w:rsidRDefault="005E03EC" w:rsidP="002D4D83">
            <w:r>
              <w:t>577 522 201</w:t>
            </w:r>
            <w:r w:rsidRPr="00544502">
              <w:t xml:space="preserve"> </w:t>
            </w:r>
          </w:p>
          <w:p w:rsidR="005E03EC" w:rsidRDefault="005E03EC" w:rsidP="002D4D83">
            <w:r>
              <w:t>606 712 780</w:t>
            </w:r>
          </w:p>
          <w:p w:rsidR="005E03EC" w:rsidRPr="00544502" w:rsidRDefault="005E03EC" w:rsidP="002D4D83">
            <w:r w:rsidRPr="00BF4B4A">
              <w:t>asistenti.zlin@alpiq.com</w:t>
            </w:r>
          </w:p>
        </w:tc>
      </w:tr>
      <w:tr w:rsidR="005E03EC" w:rsidRPr="00544502" w:rsidTr="002D4D83">
        <w:trPr>
          <w:trHeight w:val="289"/>
        </w:trPr>
        <w:tc>
          <w:tcPr>
            <w:tcW w:w="5315" w:type="dxa"/>
            <w:tcBorders>
              <w:top w:val="single" w:sz="4" w:space="0" w:color="auto"/>
              <w:left w:val="single" w:sz="18" w:space="0" w:color="auto"/>
            </w:tcBorders>
          </w:tcPr>
          <w:p w:rsidR="005E03EC" w:rsidRPr="00544502" w:rsidRDefault="005E03EC" w:rsidP="002D4D83">
            <w:r>
              <w:t>Vedoucí obchodu závod Zlín</w:t>
            </w:r>
          </w:p>
        </w:tc>
        <w:tc>
          <w:tcPr>
            <w:tcW w:w="3686" w:type="dxa"/>
            <w:tcBorders>
              <w:top w:val="single" w:sz="4" w:space="0" w:color="auto"/>
              <w:right w:val="single" w:sz="18" w:space="0" w:color="auto"/>
            </w:tcBorders>
          </w:tcPr>
          <w:p w:rsidR="005E03EC" w:rsidRDefault="005E03EC" w:rsidP="002D4D83">
            <w:r>
              <w:t>577 524 868</w:t>
            </w:r>
          </w:p>
          <w:p w:rsidR="005E03EC" w:rsidRDefault="005E03EC" w:rsidP="002D4D83">
            <w:r>
              <w:t>724 070 990</w:t>
            </w:r>
          </w:p>
        </w:tc>
      </w:tr>
      <w:tr w:rsidR="005E03EC" w:rsidRPr="00544502" w:rsidTr="002D4D83">
        <w:trPr>
          <w:trHeight w:val="289"/>
        </w:trPr>
        <w:tc>
          <w:tcPr>
            <w:tcW w:w="5315" w:type="dxa"/>
            <w:tcBorders>
              <w:top w:val="single" w:sz="4" w:space="0" w:color="auto"/>
              <w:left w:val="single" w:sz="18" w:space="0" w:color="auto"/>
            </w:tcBorders>
          </w:tcPr>
          <w:p w:rsidR="005E03EC" w:rsidRPr="00544502" w:rsidRDefault="005E03EC" w:rsidP="002D4D83">
            <w:r w:rsidRPr="00544502">
              <w:t xml:space="preserve">Vedoucí technik </w:t>
            </w:r>
            <w:r>
              <w:t>distribuce energií</w:t>
            </w:r>
          </w:p>
        </w:tc>
        <w:tc>
          <w:tcPr>
            <w:tcW w:w="3686" w:type="dxa"/>
            <w:tcBorders>
              <w:top w:val="single" w:sz="4" w:space="0" w:color="auto"/>
              <w:right w:val="single" w:sz="18" w:space="0" w:color="auto"/>
            </w:tcBorders>
          </w:tcPr>
          <w:p w:rsidR="005E03EC" w:rsidRDefault="005E03EC" w:rsidP="002D4D83">
            <w:r>
              <w:t>577 524 850</w:t>
            </w:r>
          </w:p>
          <w:p w:rsidR="005E03EC" w:rsidRPr="00544502" w:rsidRDefault="005E03EC" w:rsidP="002D4D83">
            <w:r>
              <w:t>724 071 007</w:t>
            </w:r>
          </w:p>
        </w:tc>
      </w:tr>
      <w:tr w:rsidR="005E03EC" w:rsidRPr="00544502" w:rsidTr="002D4D83">
        <w:trPr>
          <w:trHeight w:val="289"/>
        </w:trPr>
        <w:tc>
          <w:tcPr>
            <w:tcW w:w="5315" w:type="dxa"/>
            <w:tcBorders>
              <w:top w:val="single" w:sz="4" w:space="0" w:color="auto"/>
              <w:left w:val="single" w:sz="18" w:space="0" w:color="auto"/>
            </w:tcBorders>
          </w:tcPr>
          <w:p w:rsidR="005E03EC" w:rsidRPr="00544502" w:rsidRDefault="005E03EC" w:rsidP="002D4D83">
            <w:r w:rsidRPr="00544502">
              <w:t xml:space="preserve">Technik </w:t>
            </w:r>
            <w:r>
              <w:t>distribuce energií</w:t>
            </w:r>
          </w:p>
        </w:tc>
        <w:tc>
          <w:tcPr>
            <w:tcW w:w="3686" w:type="dxa"/>
            <w:tcBorders>
              <w:top w:val="single" w:sz="4" w:space="0" w:color="auto"/>
              <w:right w:val="single" w:sz="18" w:space="0" w:color="auto"/>
            </w:tcBorders>
          </w:tcPr>
          <w:p w:rsidR="005E03EC" w:rsidRPr="00544502" w:rsidRDefault="005E03EC" w:rsidP="002D4D83">
            <w:r>
              <w:t>577 522 284</w:t>
            </w:r>
          </w:p>
          <w:p w:rsidR="005E03EC" w:rsidRDefault="005E03EC" w:rsidP="002D4D83">
            <w:r>
              <w:t>724 074 284</w:t>
            </w:r>
          </w:p>
          <w:p w:rsidR="005E03EC" w:rsidRPr="00544502" w:rsidRDefault="005E03EC" w:rsidP="002D4D83">
            <w:r>
              <w:t>martin.strachon@alpiq.com</w:t>
            </w:r>
          </w:p>
        </w:tc>
      </w:tr>
      <w:tr w:rsidR="005E03EC" w:rsidRPr="00544502" w:rsidTr="002D4D83">
        <w:trPr>
          <w:trHeight w:val="289"/>
        </w:trPr>
        <w:tc>
          <w:tcPr>
            <w:tcW w:w="5315" w:type="dxa"/>
            <w:tcBorders>
              <w:left w:val="single" w:sz="18" w:space="0" w:color="auto"/>
              <w:bottom w:val="single" w:sz="18" w:space="0" w:color="auto"/>
            </w:tcBorders>
          </w:tcPr>
          <w:p w:rsidR="005E03EC" w:rsidRPr="00544502" w:rsidRDefault="005E03EC" w:rsidP="002D4D83">
            <w:r>
              <w:t>Metrolog</w:t>
            </w:r>
          </w:p>
        </w:tc>
        <w:tc>
          <w:tcPr>
            <w:tcW w:w="3686" w:type="dxa"/>
            <w:tcBorders>
              <w:bottom w:val="single" w:sz="18" w:space="0" w:color="auto"/>
              <w:right w:val="single" w:sz="18" w:space="0" w:color="auto"/>
            </w:tcBorders>
          </w:tcPr>
          <w:p w:rsidR="005E03EC" w:rsidRDefault="005E03EC" w:rsidP="002D4D83">
            <w:r>
              <w:t>577 524 800</w:t>
            </w:r>
          </w:p>
          <w:p w:rsidR="005E03EC" w:rsidRPr="00544502" w:rsidRDefault="005E03EC" w:rsidP="002D4D83">
            <w:r>
              <w:t>724 070 982</w:t>
            </w:r>
          </w:p>
        </w:tc>
      </w:tr>
    </w:tbl>
    <w:p w:rsidR="005E03EC" w:rsidRDefault="005E03EC" w:rsidP="005E03EC">
      <w:pPr>
        <w:spacing w:after="200"/>
        <w:rPr>
          <w:b/>
        </w:rPr>
      </w:pPr>
      <w:r w:rsidRPr="00645590">
        <w:rPr>
          <w:b/>
          <w:highlight w:val="red"/>
        </w:rPr>
        <w:br w:type="page"/>
      </w:r>
      <w:r w:rsidRPr="00544502">
        <w:rPr>
          <w:b/>
        </w:rPr>
        <w:lastRenderedPageBreak/>
        <w:t>Příloha č.</w:t>
      </w:r>
      <w:r w:rsidR="00A7190F">
        <w:rPr>
          <w:b/>
        </w:rPr>
        <w:t xml:space="preserve"> </w:t>
      </w:r>
      <w:r w:rsidRPr="00544502">
        <w:rPr>
          <w:b/>
        </w:rPr>
        <w:t>2</w:t>
      </w:r>
      <w:r>
        <w:rPr>
          <w:b/>
        </w:rPr>
        <w:t xml:space="preserve"> </w:t>
      </w:r>
      <w:r w:rsidRPr="007D5552">
        <w:rPr>
          <w:b/>
        </w:rPr>
        <w:t>Pravid</w:t>
      </w:r>
      <w:r>
        <w:rPr>
          <w:b/>
        </w:rPr>
        <w:t>el</w:t>
      </w:r>
      <w:r w:rsidRPr="007D5552">
        <w:rPr>
          <w:b/>
        </w:rPr>
        <w:t xml:space="preserve"> pro připojení a provoz zařízení připojených k</w:t>
      </w:r>
      <w:r>
        <w:rPr>
          <w:b/>
        </w:rPr>
        <w:t> </w:t>
      </w:r>
      <w:r w:rsidRPr="00BA5036">
        <w:rPr>
          <w:b/>
        </w:rPr>
        <w:t>soustavám</w:t>
      </w:r>
      <w:r>
        <w:rPr>
          <w:b/>
        </w:rPr>
        <w:t xml:space="preserve"> </w:t>
      </w:r>
      <w:r w:rsidRPr="007D5552">
        <w:rPr>
          <w:b/>
        </w:rPr>
        <w:t xml:space="preserve">centrálního zásobování teplem </w:t>
      </w:r>
      <w:proofErr w:type="spellStart"/>
      <w:r w:rsidRPr="007D5552">
        <w:rPr>
          <w:b/>
        </w:rPr>
        <w:t>Alpiq</w:t>
      </w:r>
      <w:proofErr w:type="spellEnd"/>
      <w:r w:rsidRPr="007D5552">
        <w:rPr>
          <w:b/>
        </w:rPr>
        <w:t> </w:t>
      </w:r>
      <w:proofErr w:type="spellStart"/>
      <w:r w:rsidRPr="007D5552">
        <w:rPr>
          <w:b/>
        </w:rPr>
        <w:t>Generation</w:t>
      </w:r>
      <w:proofErr w:type="spellEnd"/>
      <w:r w:rsidRPr="007D5552">
        <w:rPr>
          <w:b/>
        </w:rPr>
        <w:t> (CZ) s.r.o</w:t>
      </w:r>
      <w:r w:rsidR="00A7190F">
        <w:rPr>
          <w:b/>
        </w:rPr>
        <w:t>.</w:t>
      </w:r>
      <w:r w:rsidRPr="00544502">
        <w:rPr>
          <w:b/>
        </w:rPr>
        <w:t>:</w:t>
      </w:r>
    </w:p>
    <w:p w:rsidR="005E03EC" w:rsidRDefault="005E03EC" w:rsidP="005E03EC">
      <w:pPr>
        <w:tabs>
          <w:tab w:val="num" w:pos="882"/>
        </w:tabs>
        <w:spacing w:afterLines="200" w:after="480"/>
        <w:rPr>
          <w:b/>
        </w:rPr>
      </w:pPr>
      <w:r w:rsidRPr="00544502">
        <w:rPr>
          <w:b/>
        </w:rPr>
        <w:t xml:space="preserve">Schéma připojení odběrného </w:t>
      </w:r>
      <w:r>
        <w:rPr>
          <w:b/>
        </w:rPr>
        <w:t>zařízení k zařízení SZTE</w:t>
      </w:r>
    </w:p>
    <w:p w:rsidR="005E03EC" w:rsidRPr="004E1EEE" w:rsidRDefault="00261FE8" w:rsidP="005E03EC">
      <w:pPr>
        <w:spacing w:after="200"/>
        <w:jc w:val="center"/>
        <w:rPr>
          <w:u w:val="single"/>
        </w:rPr>
      </w:pPr>
      <w:r>
        <w:rPr>
          <w:u w:val="single"/>
        </w:rPr>
        <w:t>Parní</w:t>
      </w:r>
      <w:r w:rsidR="005E03EC" w:rsidRPr="004E1EEE">
        <w:rPr>
          <w:u w:val="single"/>
        </w:rPr>
        <w:t xml:space="preserve"> distribuční řád Zlín</w:t>
      </w:r>
    </w:p>
    <w:p w:rsidR="005E03EC" w:rsidRDefault="00261FE8" w:rsidP="005E03EC">
      <w:r>
        <w:rPr>
          <w:noProof/>
        </w:rPr>
        <w:drawing>
          <wp:inline distT="0" distB="0" distL="0" distR="0" wp14:anchorId="6B3D5503" wp14:editId="2AF35006">
            <wp:extent cx="5760720" cy="4376317"/>
            <wp:effectExtent l="0" t="0" r="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376317"/>
                    </a:xfrm>
                    <a:prstGeom prst="rect">
                      <a:avLst/>
                    </a:prstGeom>
                    <a:noFill/>
                    <a:ln>
                      <a:noFill/>
                    </a:ln>
                  </pic:spPr>
                </pic:pic>
              </a:graphicData>
            </a:graphic>
          </wp:inline>
        </w:drawing>
      </w:r>
    </w:p>
    <w:sectPr w:rsidR="005E03EC" w:rsidSect="000139C2">
      <w:headerReference w:type="default" r:id="rId14"/>
      <w:footerReference w:type="default" r:id="rId15"/>
      <w:pgSz w:w="11906" w:h="16838"/>
      <w:pgMar w:top="1440" w:right="1797" w:bottom="1440" w:left="1797"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DF7" w:rsidRDefault="003F5DF7">
      <w:r>
        <w:separator/>
      </w:r>
    </w:p>
  </w:endnote>
  <w:endnote w:type="continuationSeparator" w:id="0">
    <w:p w:rsidR="003F5DF7" w:rsidRDefault="003F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C0" w:rsidRDefault="00665FC0">
    <w:pPr>
      <w:pStyle w:val="Zpat"/>
    </w:pPr>
    <w:r w:rsidRPr="00D45333">
      <w:tab/>
      <w:t xml:space="preserve">- </w:t>
    </w:r>
    <w:r w:rsidRPr="00D45333">
      <w:fldChar w:fldCharType="begin"/>
    </w:r>
    <w:r w:rsidRPr="00D45333">
      <w:instrText xml:space="preserve"> PAGE </w:instrText>
    </w:r>
    <w:r w:rsidRPr="00D45333">
      <w:fldChar w:fldCharType="separate"/>
    </w:r>
    <w:r>
      <w:rPr>
        <w:noProof/>
      </w:rPr>
      <w:t>11</w:t>
    </w:r>
    <w:r w:rsidRPr="00D45333">
      <w:fldChar w:fldCharType="end"/>
    </w:r>
    <w:r w:rsidRPr="00D45333">
      <w:t xml:space="preserve"> -</w:t>
    </w:r>
  </w:p>
  <w:p w:rsidR="00665FC0" w:rsidRDefault="00665F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C0" w:rsidRDefault="00665FC0">
    <w:pPr>
      <w:pStyle w:val="Zpat"/>
      <w:jc w:val="center"/>
    </w:pPr>
    <w:r>
      <w:t xml:space="preserve">strana </w:t>
    </w:r>
    <w:r>
      <w:fldChar w:fldCharType="begin"/>
    </w:r>
    <w:r>
      <w:instrText>PAGE   \* MERGEFORMAT</w:instrText>
    </w:r>
    <w:r>
      <w:fldChar w:fldCharType="separate"/>
    </w:r>
    <w:r w:rsidR="001A3F70">
      <w:rPr>
        <w:noProof/>
      </w:rPr>
      <w:t>21</w:t>
    </w:r>
    <w:r>
      <w:fldChar w:fldCharType="end"/>
    </w:r>
    <w:r>
      <w:t xml:space="preserve"> z </w:t>
    </w:r>
    <w:r w:rsidR="003F5DF7">
      <w:fldChar w:fldCharType="begin"/>
    </w:r>
    <w:r w:rsidR="003F5DF7">
      <w:instrText xml:space="preserve"> NUMPAGES  \* Arabic  \* MERGEFORMAT </w:instrText>
    </w:r>
    <w:r w:rsidR="003F5DF7">
      <w:fldChar w:fldCharType="separate"/>
    </w:r>
    <w:r w:rsidR="001A3F70">
      <w:rPr>
        <w:noProof/>
      </w:rPr>
      <w:t>21</w:t>
    </w:r>
    <w:r w:rsidR="003F5DF7">
      <w:rPr>
        <w:noProof/>
      </w:rPr>
      <w:fldChar w:fldCharType="end"/>
    </w:r>
  </w:p>
  <w:p w:rsidR="00665FC0" w:rsidRPr="00005CF7" w:rsidRDefault="00665FC0" w:rsidP="00FF095D">
    <w:pPr>
      <w:pStyle w:val="Zpat"/>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DF7" w:rsidRDefault="003F5DF7">
      <w:r>
        <w:separator/>
      </w:r>
    </w:p>
  </w:footnote>
  <w:footnote w:type="continuationSeparator" w:id="0">
    <w:p w:rsidR="003F5DF7" w:rsidRDefault="003F5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0B" w:rsidRDefault="005F6A0B">
    <w:pPr>
      <w:pStyle w:val="Zhlav"/>
    </w:pPr>
    <w:r>
      <w:tab/>
    </w:r>
    <w:r>
      <w:tab/>
    </w:r>
    <w:r w:rsidR="001A3F70" w:rsidRPr="001A3F70">
      <w:rPr>
        <w:rFonts w:ascii="Arial" w:hAnsi="Arial" w:cs="Arial"/>
        <w:b/>
        <w:sz w:val="24"/>
      </w:rPr>
      <w:t>D/3251/2016/KŘHS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C0" w:rsidRPr="00FC4CDE" w:rsidRDefault="00665FC0" w:rsidP="008E3321">
    <w:pPr>
      <w:pStyle w:val="Zhlav"/>
      <w:tabs>
        <w:tab w:val="left" w:pos="4875"/>
      </w:tabs>
      <w:jc w:val="right"/>
      <w:rPr>
        <w:i/>
        <w:sz w:val="16"/>
        <w:szCs w:val="16"/>
      </w:rPr>
    </w:pPr>
    <w:r w:rsidRPr="00FC4CDE">
      <w:rPr>
        <w:i/>
        <w:sz w:val="16"/>
        <w:szCs w:val="16"/>
      </w:rPr>
      <w:t>SMLOUVA O DODÁVKÁCH TEPELNÉ ENERGIE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FC0" w:rsidRDefault="00665FC0" w:rsidP="002D4D83">
    <w:pPr>
      <w:pStyle w:val="Zhlav"/>
      <w:tabs>
        <w:tab w:val="left" w:pos="4875"/>
      </w:tabs>
      <w:jc w:val="right"/>
    </w:pPr>
    <w:r w:rsidRPr="00FC4CDE">
      <w:rPr>
        <w:i/>
        <w:sz w:val="16"/>
        <w:szCs w:val="16"/>
      </w:rPr>
      <w:t>SMLOUVA O DODÁVKÁCH TEPELNÉ ENERGIE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B15A627C"/>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10291814"/>
    <w:multiLevelType w:val="multilevel"/>
    <w:tmpl w:val="AA68D2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auto"/>
      </w:rPr>
    </w:lvl>
    <w:lvl w:ilvl="2">
      <w:start w:val="1"/>
      <w:numFmt w:val="lowerLetter"/>
      <w:lvlText w:val="%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2127D7C"/>
    <w:multiLevelType w:val="hybridMultilevel"/>
    <w:tmpl w:val="9FEEDE26"/>
    <w:lvl w:ilvl="0" w:tplc="13C01C9A">
      <w:start w:val="1"/>
      <w:numFmt w:val="lowerLetter"/>
      <w:lvlText w:val="%1)"/>
      <w:lvlJc w:val="left"/>
      <w:pPr>
        <w:tabs>
          <w:tab w:val="num" w:pos="1232"/>
        </w:tabs>
        <w:ind w:left="1232" w:hanging="360"/>
      </w:pPr>
      <w:rPr>
        <w:rFonts w:hint="default"/>
      </w:rPr>
    </w:lvl>
    <w:lvl w:ilvl="1" w:tplc="04050019" w:tentative="1">
      <w:start w:val="1"/>
      <w:numFmt w:val="lowerLetter"/>
      <w:lvlText w:val="%2."/>
      <w:lvlJc w:val="left"/>
      <w:pPr>
        <w:tabs>
          <w:tab w:val="num" w:pos="872"/>
        </w:tabs>
        <w:ind w:left="872" w:hanging="360"/>
      </w:pPr>
    </w:lvl>
    <w:lvl w:ilvl="2" w:tplc="0405001B" w:tentative="1">
      <w:start w:val="1"/>
      <w:numFmt w:val="lowerRoman"/>
      <w:lvlText w:val="%3."/>
      <w:lvlJc w:val="right"/>
      <w:pPr>
        <w:tabs>
          <w:tab w:val="num" w:pos="1592"/>
        </w:tabs>
        <w:ind w:left="1592" w:hanging="180"/>
      </w:pPr>
    </w:lvl>
    <w:lvl w:ilvl="3" w:tplc="0405000F" w:tentative="1">
      <w:start w:val="1"/>
      <w:numFmt w:val="decimal"/>
      <w:lvlText w:val="%4."/>
      <w:lvlJc w:val="left"/>
      <w:pPr>
        <w:tabs>
          <w:tab w:val="num" w:pos="2312"/>
        </w:tabs>
        <w:ind w:left="2312" w:hanging="360"/>
      </w:pPr>
    </w:lvl>
    <w:lvl w:ilvl="4" w:tplc="04050019" w:tentative="1">
      <w:start w:val="1"/>
      <w:numFmt w:val="lowerLetter"/>
      <w:lvlText w:val="%5."/>
      <w:lvlJc w:val="left"/>
      <w:pPr>
        <w:tabs>
          <w:tab w:val="num" w:pos="3032"/>
        </w:tabs>
        <w:ind w:left="3032" w:hanging="360"/>
      </w:pPr>
    </w:lvl>
    <w:lvl w:ilvl="5" w:tplc="0405001B" w:tentative="1">
      <w:start w:val="1"/>
      <w:numFmt w:val="lowerRoman"/>
      <w:lvlText w:val="%6."/>
      <w:lvlJc w:val="right"/>
      <w:pPr>
        <w:tabs>
          <w:tab w:val="num" w:pos="3752"/>
        </w:tabs>
        <w:ind w:left="3752" w:hanging="180"/>
      </w:pPr>
    </w:lvl>
    <w:lvl w:ilvl="6" w:tplc="0405000F" w:tentative="1">
      <w:start w:val="1"/>
      <w:numFmt w:val="decimal"/>
      <w:lvlText w:val="%7."/>
      <w:lvlJc w:val="left"/>
      <w:pPr>
        <w:tabs>
          <w:tab w:val="num" w:pos="4472"/>
        </w:tabs>
        <w:ind w:left="4472" w:hanging="360"/>
      </w:pPr>
    </w:lvl>
    <w:lvl w:ilvl="7" w:tplc="04050019" w:tentative="1">
      <w:start w:val="1"/>
      <w:numFmt w:val="lowerLetter"/>
      <w:lvlText w:val="%8."/>
      <w:lvlJc w:val="left"/>
      <w:pPr>
        <w:tabs>
          <w:tab w:val="num" w:pos="5192"/>
        </w:tabs>
        <w:ind w:left="5192" w:hanging="360"/>
      </w:pPr>
    </w:lvl>
    <w:lvl w:ilvl="8" w:tplc="0405001B" w:tentative="1">
      <w:start w:val="1"/>
      <w:numFmt w:val="lowerRoman"/>
      <w:lvlText w:val="%9."/>
      <w:lvlJc w:val="right"/>
      <w:pPr>
        <w:tabs>
          <w:tab w:val="num" w:pos="5912"/>
        </w:tabs>
        <w:ind w:left="5912" w:hanging="180"/>
      </w:pPr>
    </w:lvl>
  </w:abstractNum>
  <w:abstractNum w:abstractNumId="3" w15:restartNumberingAfterBreak="0">
    <w:nsid w:val="22B82965"/>
    <w:multiLevelType w:val="singleLevel"/>
    <w:tmpl w:val="FC387B00"/>
    <w:lvl w:ilvl="0">
      <w:start w:val="1"/>
      <w:numFmt w:val="lowerLetter"/>
      <w:lvlText w:val="(%1)"/>
      <w:legacy w:legacy="1" w:legacySpace="0" w:legacyIndent="454"/>
      <w:lvlJc w:val="left"/>
      <w:pPr>
        <w:ind w:left="1163" w:hanging="454"/>
      </w:pPr>
    </w:lvl>
  </w:abstractNum>
  <w:abstractNum w:abstractNumId="4" w15:restartNumberingAfterBreak="0">
    <w:nsid w:val="2B423BD2"/>
    <w:multiLevelType w:val="singleLevel"/>
    <w:tmpl w:val="11846852"/>
    <w:lvl w:ilvl="0">
      <w:start w:val="1"/>
      <w:numFmt w:val="bullet"/>
      <w:pStyle w:val="Nadpis5"/>
      <w:lvlText w:val=""/>
      <w:lvlJc w:val="left"/>
      <w:pPr>
        <w:tabs>
          <w:tab w:val="num" w:pos="2948"/>
        </w:tabs>
        <w:ind w:left="2948" w:hanging="453"/>
      </w:pPr>
      <w:rPr>
        <w:rFonts w:ascii="Symbol" w:hAnsi="Symbol" w:hint="default"/>
      </w:rPr>
    </w:lvl>
  </w:abstractNum>
  <w:abstractNum w:abstractNumId="5" w15:restartNumberingAfterBreak="0">
    <w:nsid w:val="302705BD"/>
    <w:multiLevelType w:val="multilevel"/>
    <w:tmpl w:val="1E482E9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color w:val="auto"/>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4192B8E"/>
    <w:multiLevelType w:val="hybridMultilevel"/>
    <w:tmpl w:val="4CE0BA92"/>
    <w:lvl w:ilvl="0" w:tplc="13C01C9A">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5905B48"/>
    <w:multiLevelType w:val="hybridMultilevel"/>
    <w:tmpl w:val="31CA8BE0"/>
    <w:lvl w:ilvl="0" w:tplc="13C01C9A">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8" w15:restartNumberingAfterBreak="0">
    <w:nsid w:val="477B0A72"/>
    <w:multiLevelType w:val="hybridMultilevel"/>
    <w:tmpl w:val="1772F742"/>
    <w:lvl w:ilvl="0" w:tplc="13C01C9A">
      <w:start w:val="1"/>
      <w:numFmt w:val="lowerLetter"/>
      <w:lvlText w:val="%1)"/>
      <w:lvlJc w:val="left"/>
      <w:pPr>
        <w:tabs>
          <w:tab w:val="num" w:pos="1080"/>
        </w:tabs>
        <w:ind w:left="1080" w:hanging="360"/>
      </w:pPr>
      <w:rPr>
        <w:rFonts w:hint="default"/>
      </w:rPr>
    </w:lvl>
    <w:lvl w:ilvl="1" w:tplc="04050001">
      <w:start w:val="1"/>
      <w:numFmt w:val="bullet"/>
      <w:lvlText w:val=""/>
      <w:lvlJc w:val="left"/>
      <w:pPr>
        <w:tabs>
          <w:tab w:val="num" w:pos="720"/>
        </w:tabs>
        <w:ind w:left="720" w:hanging="360"/>
      </w:pPr>
      <w:rPr>
        <w:rFonts w:ascii="Symbol" w:hAnsi="Symbol" w:hint="default"/>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9" w15:restartNumberingAfterBreak="0">
    <w:nsid w:val="4A59070C"/>
    <w:multiLevelType w:val="singleLevel"/>
    <w:tmpl w:val="0DEC808E"/>
    <w:lvl w:ilvl="0">
      <w:start w:val="1"/>
      <w:numFmt w:val="upperLetter"/>
      <w:lvlText w:val="(%1)"/>
      <w:legacy w:legacy="1" w:legacySpace="120" w:legacyIndent="360"/>
      <w:lvlJc w:val="left"/>
      <w:pPr>
        <w:ind w:left="360" w:hanging="360"/>
      </w:pPr>
    </w:lvl>
  </w:abstractNum>
  <w:abstractNum w:abstractNumId="10" w15:restartNumberingAfterBreak="0">
    <w:nsid w:val="5E051EA2"/>
    <w:multiLevelType w:val="hybridMultilevel"/>
    <w:tmpl w:val="5DB6ACC8"/>
    <w:lvl w:ilvl="0" w:tplc="13C01C9A">
      <w:start w:val="1"/>
      <w:numFmt w:val="lowerLetter"/>
      <w:lvlText w:val="%1)"/>
      <w:lvlJc w:val="left"/>
      <w:pPr>
        <w:tabs>
          <w:tab w:val="num" w:pos="1800"/>
        </w:tabs>
        <w:ind w:left="180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F0F7ADE"/>
    <w:multiLevelType w:val="hybridMultilevel"/>
    <w:tmpl w:val="D4DEF3E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62A76141"/>
    <w:multiLevelType w:val="hybridMultilevel"/>
    <w:tmpl w:val="7424EF36"/>
    <w:lvl w:ilvl="0" w:tplc="3B022878">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AFC21344">
      <w:start w:val="1"/>
      <w:numFmt w:val="lowerLetter"/>
      <w:lvlText w:val="%3)"/>
      <w:lvlJc w:val="left"/>
      <w:pPr>
        <w:tabs>
          <w:tab w:val="num" w:pos="2412"/>
        </w:tabs>
        <w:ind w:left="2412" w:hanging="432"/>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45A1B15"/>
    <w:multiLevelType w:val="hybridMultilevel"/>
    <w:tmpl w:val="D6A4F300"/>
    <w:lvl w:ilvl="0" w:tplc="13C01C9A">
      <w:start w:val="1"/>
      <w:numFmt w:val="lowerLetter"/>
      <w:lvlText w:val="%1)"/>
      <w:lvlJc w:val="left"/>
      <w:pPr>
        <w:tabs>
          <w:tab w:val="num" w:pos="1080"/>
        </w:tabs>
        <w:ind w:left="1080" w:hanging="360"/>
      </w:pPr>
      <w:rPr>
        <w:rFonts w:hint="default"/>
      </w:rPr>
    </w:lvl>
    <w:lvl w:ilvl="1" w:tplc="04050017">
      <w:start w:val="1"/>
      <w:numFmt w:val="lowerLetter"/>
      <w:lvlText w:val="%2)"/>
      <w:lvlJc w:val="left"/>
      <w:pPr>
        <w:tabs>
          <w:tab w:val="num" w:pos="1800"/>
        </w:tabs>
        <w:ind w:left="1800" w:hanging="360"/>
      </w:pPr>
      <w:rPr>
        <w:rFonts w:hint="default"/>
      </w:rPr>
    </w:lvl>
    <w:lvl w:ilvl="2" w:tplc="04050001">
      <w:start w:val="1"/>
      <w:numFmt w:val="bullet"/>
      <w:lvlText w:val=""/>
      <w:lvlJc w:val="left"/>
      <w:pPr>
        <w:tabs>
          <w:tab w:val="num" w:pos="2700"/>
        </w:tabs>
        <w:ind w:left="2700" w:hanging="360"/>
      </w:pPr>
      <w:rPr>
        <w:rFonts w:ascii="Symbol" w:hAnsi="Symbol"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65DC674D"/>
    <w:multiLevelType w:val="hybridMultilevel"/>
    <w:tmpl w:val="907C62A2"/>
    <w:lvl w:ilvl="0" w:tplc="13C01C9A">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5" w15:restartNumberingAfterBreak="0">
    <w:nsid w:val="69C9045E"/>
    <w:multiLevelType w:val="hybridMultilevel"/>
    <w:tmpl w:val="C23864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0520B5"/>
    <w:multiLevelType w:val="hybridMultilevel"/>
    <w:tmpl w:val="FA8C7510"/>
    <w:lvl w:ilvl="0" w:tplc="13C01C9A">
      <w:start w:val="1"/>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7" w15:restartNumberingAfterBreak="0">
    <w:nsid w:val="6F8B0039"/>
    <w:multiLevelType w:val="singleLevel"/>
    <w:tmpl w:val="0C090017"/>
    <w:lvl w:ilvl="0">
      <w:start w:val="1"/>
      <w:numFmt w:val="lowerLetter"/>
      <w:lvlText w:val="%1)"/>
      <w:lvlJc w:val="left"/>
      <w:pPr>
        <w:tabs>
          <w:tab w:val="num" w:pos="360"/>
        </w:tabs>
        <w:ind w:left="360" w:hanging="360"/>
      </w:pPr>
      <w:rPr>
        <w:rFonts w:hint="default"/>
      </w:rPr>
    </w:lvl>
  </w:abstractNum>
  <w:abstractNum w:abstractNumId="18" w15:restartNumberingAfterBreak="0">
    <w:nsid w:val="756C7923"/>
    <w:multiLevelType w:val="multilevel"/>
    <w:tmpl w:val="1E482E9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color w:val="auto"/>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76060C1E"/>
    <w:multiLevelType w:val="multilevel"/>
    <w:tmpl w:val="1E482E9C"/>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color w:val="auto"/>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78664275"/>
    <w:multiLevelType w:val="hybridMultilevel"/>
    <w:tmpl w:val="680C1B28"/>
    <w:lvl w:ilvl="0" w:tplc="13C01C9A">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7"/>
  </w:num>
  <w:num w:numId="3">
    <w:abstractNumId w:val="19"/>
  </w:num>
  <w:num w:numId="4">
    <w:abstractNumId w:val="4"/>
  </w:num>
  <w:num w:numId="5">
    <w:abstractNumId w:val="3"/>
  </w:num>
  <w:num w:numId="6">
    <w:abstractNumId w:val="19"/>
  </w:num>
  <w:num w:numId="7">
    <w:abstractNumId w:val="19"/>
  </w:num>
  <w:num w:numId="8">
    <w:abstractNumId w:val="19"/>
  </w:num>
  <w:num w:numId="9">
    <w:abstractNumId w:val="5"/>
  </w:num>
  <w:num w:numId="10">
    <w:abstractNumId w:val="18"/>
  </w:num>
  <w:num w:numId="11">
    <w:abstractNumId w:val="19"/>
  </w:num>
  <w:num w:numId="12">
    <w:abstractNumId w:val="19"/>
  </w:num>
  <w:num w:numId="13">
    <w:abstractNumId w:val="0"/>
  </w:num>
  <w:num w:numId="14">
    <w:abstractNumId w:val="19"/>
  </w:num>
  <w:num w:numId="15">
    <w:abstractNumId w:val="1"/>
  </w:num>
  <w:num w:numId="16">
    <w:abstractNumId w:val="12"/>
  </w:num>
  <w:num w:numId="17">
    <w:abstractNumId w:val="2"/>
  </w:num>
  <w:num w:numId="18">
    <w:abstractNumId w:val="6"/>
  </w:num>
  <w:num w:numId="19">
    <w:abstractNumId w:val="10"/>
  </w:num>
  <w:num w:numId="20">
    <w:abstractNumId w:val="13"/>
  </w:num>
  <w:num w:numId="21">
    <w:abstractNumId w:val="8"/>
  </w:num>
  <w:num w:numId="22">
    <w:abstractNumId w:val="16"/>
  </w:num>
  <w:num w:numId="23">
    <w:abstractNumId w:val="20"/>
  </w:num>
  <w:num w:numId="24">
    <w:abstractNumId w:val="14"/>
  </w:num>
  <w:num w:numId="25">
    <w:abstractNumId w:val="7"/>
  </w:num>
  <w:num w:numId="26">
    <w:abstractNumId w:val="15"/>
  </w:num>
  <w:num w:numId="27">
    <w:abstractNumId w:val="1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2A"/>
    <w:rsid w:val="000027CD"/>
    <w:rsid w:val="00003333"/>
    <w:rsid w:val="0000786C"/>
    <w:rsid w:val="00011625"/>
    <w:rsid w:val="000139C2"/>
    <w:rsid w:val="00014F0E"/>
    <w:rsid w:val="00033E49"/>
    <w:rsid w:val="0004117F"/>
    <w:rsid w:val="00046049"/>
    <w:rsid w:val="000500B6"/>
    <w:rsid w:val="00051D29"/>
    <w:rsid w:val="0005272A"/>
    <w:rsid w:val="00054B92"/>
    <w:rsid w:val="000622EB"/>
    <w:rsid w:val="00072740"/>
    <w:rsid w:val="00075E72"/>
    <w:rsid w:val="00080E9A"/>
    <w:rsid w:val="00087A64"/>
    <w:rsid w:val="00094381"/>
    <w:rsid w:val="000A2606"/>
    <w:rsid w:val="000A3FE0"/>
    <w:rsid w:val="000A500C"/>
    <w:rsid w:val="000C44B3"/>
    <w:rsid w:val="000D2E9B"/>
    <w:rsid w:val="000D2F82"/>
    <w:rsid w:val="000D65C0"/>
    <w:rsid w:val="000F1F40"/>
    <w:rsid w:val="000F3B8C"/>
    <w:rsid w:val="00107416"/>
    <w:rsid w:val="001130B1"/>
    <w:rsid w:val="001154B3"/>
    <w:rsid w:val="001162E0"/>
    <w:rsid w:val="00117CAB"/>
    <w:rsid w:val="0012293E"/>
    <w:rsid w:val="00131866"/>
    <w:rsid w:val="00131DE4"/>
    <w:rsid w:val="00142272"/>
    <w:rsid w:val="0015642F"/>
    <w:rsid w:val="00161AB9"/>
    <w:rsid w:val="00163A7B"/>
    <w:rsid w:val="00163B79"/>
    <w:rsid w:val="00173B19"/>
    <w:rsid w:val="00173C81"/>
    <w:rsid w:val="00175337"/>
    <w:rsid w:val="001868E0"/>
    <w:rsid w:val="00192471"/>
    <w:rsid w:val="001A3C01"/>
    <w:rsid w:val="001A3F70"/>
    <w:rsid w:val="001B4434"/>
    <w:rsid w:val="001C4DEE"/>
    <w:rsid w:val="001C7BEE"/>
    <w:rsid w:val="001F6DF9"/>
    <w:rsid w:val="00203677"/>
    <w:rsid w:val="002051B4"/>
    <w:rsid w:val="0021054F"/>
    <w:rsid w:val="00221A7A"/>
    <w:rsid w:val="00241BDF"/>
    <w:rsid w:val="0025245A"/>
    <w:rsid w:val="002600CC"/>
    <w:rsid w:val="00261FE8"/>
    <w:rsid w:val="00262B63"/>
    <w:rsid w:val="00263191"/>
    <w:rsid w:val="0027253A"/>
    <w:rsid w:val="00275C9A"/>
    <w:rsid w:val="00275EB7"/>
    <w:rsid w:val="002802C4"/>
    <w:rsid w:val="0028033C"/>
    <w:rsid w:val="00294389"/>
    <w:rsid w:val="002946F7"/>
    <w:rsid w:val="002B6BE8"/>
    <w:rsid w:val="002C03E6"/>
    <w:rsid w:val="002D4D83"/>
    <w:rsid w:val="002D59FD"/>
    <w:rsid w:val="002E6AA9"/>
    <w:rsid w:val="002F4D56"/>
    <w:rsid w:val="00306EE2"/>
    <w:rsid w:val="00313FDF"/>
    <w:rsid w:val="00317AFE"/>
    <w:rsid w:val="00324B5A"/>
    <w:rsid w:val="00326771"/>
    <w:rsid w:val="003267FB"/>
    <w:rsid w:val="00326BC4"/>
    <w:rsid w:val="00336A05"/>
    <w:rsid w:val="00336EB3"/>
    <w:rsid w:val="00346C41"/>
    <w:rsid w:val="0035213A"/>
    <w:rsid w:val="003531C9"/>
    <w:rsid w:val="00355894"/>
    <w:rsid w:val="00362E94"/>
    <w:rsid w:val="00363214"/>
    <w:rsid w:val="003669EA"/>
    <w:rsid w:val="003756A4"/>
    <w:rsid w:val="0039035D"/>
    <w:rsid w:val="00390AD9"/>
    <w:rsid w:val="003914F2"/>
    <w:rsid w:val="00395825"/>
    <w:rsid w:val="003970C4"/>
    <w:rsid w:val="003B31D0"/>
    <w:rsid w:val="003C798F"/>
    <w:rsid w:val="003D0292"/>
    <w:rsid w:val="003E0128"/>
    <w:rsid w:val="003F5DF7"/>
    <w:rsid w:val="004111AD"/>
    <w:rsid w:val="0042761A"/>
    <w:rsid w:val="0043136B"/>
    <w:rsid w:val="00435B5D"/>
    <w:rsid w:val="0044095D"/>
    <w:rsid w:val="00443DCF"/>
    <w:rsid w:val="00466114"/>
    <w:rsid w:val="00471DC3"/>
    <w:rsid w:val="004720CD"/>
    <w:rsid w:val="00476D83"/>
    <w:rsid w:val="00494E08"/>
    <w:rsid w:val="00495B93"/>
    <w:rsid w:val="004A3870"/>
    <w:rsid w:val="004B38EF"/>
    <w:rsid w:val="004C0B37"/>
    <w:rsid w:val="004C15B5"/>
    <w:rsid w:val="004C19D8"/>
    <w:rsid w:val="004D5159"/>
    <w:rsid w:val="004D56A9"/>
    <w:rsid w:val="004E6E49"/>
    <w:rsid w:val="004E7753"/>
    <w:rsid w:val="004F1B77"/>
    <w:rsid w:val="004F3D65"/>
    <w:rsid w:val="004F6629"/>
    <w:rsid w:val="00503A50"/>
    <w:rsid w:val="0050565D"/>
    <w:rsid w:val="005151D7"/>
    <w:rsid w:val="00522F32"/>
    <w:rsid w:val="00530E22"/>
    <w:rsid w:val="00535326"/>
    <w:rsid w:val="005467B5"/>
    <w:rsid w:val="00546AD9"/>
    <w:rsid w:val="005500DC"/>
    <w:rsid w:val="005510FB"/>
    <w:rsid w:val="00551A2C"/>
    <w:rsid w:val="005531BC"/>
    <w:rsid w:val="00555C77"/>
    <w:rsid w:val="00557739"/>
    <w:rsid w:val="00563BB1"/>
    <w:rsid w:val="0056740E"/>
    <w:rsid w:val="0057244C"/>
    <w:rsid w:val="00580247"/>
    <w:rsid w:val="005866E5"/>
    <w:rsid w:val="00595E32"/>
    <w:rsid w:val="005A54B9"/>
    <w:rsid w:val="005B4B83"/>
    <w:rsid w:val="005B5336"/>
    <w:rsid w:val="005B6CFE"/>
    <w:rsid w:val="005C4F89"/>
    <w:rsid w:val="005C6AD4"/>
    <w:rsid w:val="005E03EC"/>
    <w:rsid w:val="005E0921"/>
    <w:rsid w:val="005E1CC0"/>
    <w:rsid w:val="005E35AC"/>
    <w:rsid w:val="005E7CC7"/>
    <w:rsid w:val="005F6A0B"/>
    <w:rsid w:val="00603772"/>
    <w:rsid w:val="00604CD1"/>
    <w:rsid w:val="006155DB"/>
    <w:rsid w:val="006179E2"/>
    <w:rsid w:val="00622C69"/>
    <w:rsid w:val="0062583B"/>
    <w:rsid w:val="0063004B"/>
    <w:rsid w:val="00637A2A"/>
    <w:rsid w:val="00643AB8"/>
    <w:rsid w:val="00652200"/>
    <w:rsid w:val="00653A1A"/>
    <w:rsid w:val="006547C6"/>
    <w:rsid w:val="0065732A"/>
    <w:rsid w:val="00662C3F"/>
    <w:rsid w:val="00665418"/>
    <w:rsid w:val="00665FC0"/>
    <w:rsid w:val="006720FA"/>
    <w:rsid w:val="00675DC8"/>
    <w:rsid w:val="0067618A"/>
    <w:rsid w:val="006763DB"/>
    <w:rsid w:val="006828D3"/>
    <w:rsid w:val="006A2532"/>
    <w:rsid w:val="006C0679"/>
    <w:rsid w:val="006D2EE1"/>
    <w:rsid w:val="006D339A"/>
    <w:rsid w:val="006D4E3E"/>
    <w:rsid w:val="006E1045"/>
    <w:rsid w:val="006F00F6"/>
    <w:rsid w:val="006F3166"/>
    <w:rsid w:val="006F398A"/>
    <w:rsid w:val="00702BE1"/>
    <w:rsid w:val="007044A5"/>
    <w:rsid w:val="00726C81"/>
    <w:rsid w:val="00730A94"/>
    <w:rsid w:val="0073216C"/>
    <w:rsid w:val="007424F7"/>
    <w:rsid w:val="00744CD0"/>
    <w:rsid w:val="00754B56"/>
    <w:rsid w:val="007623CB"/>
    <w:rsid w:val="0078742D"/>
    <w:rsid w:val="00790B9B"/>
    <w:rsid w:val="00793D07"/>
    <w:rsid w:val="00795E57"/>
    <w:rsid w:val="007A169C"/>
    <w:rsid w:val="007A6F98"/>
    <w:rsid w:val="007B749A"/>
    <w:rsid w:val="007C6225"/>
    <w:rsid w:val="007D0435"/>
    <w:rsid w:val="007D0BB4"/>
    <w:rsid w:val="007E4EA1"/>
    <w:rsid w:val="007F001B"/>
    <w:rsid w:val="007F1865"/>
    <w:rsid w:val="007F5F27"/>
    <w:rsid w:val="007F6366"/>
    <w:rsid w:val="0080118C"/>
    <w:rsid w:val="00811ED5"/>
    <w:rsid w:val="00812A2E"/>
    <w:rsid w:val="0081338C"/>
    <w:rsid w:val="00825FFF"/>
    <w:rsid w:val="008315CB"/>
    <w:rsid w:val="0083194D"/>
    <w:rsid w:val="00835F9F"/>
    <w:rsid w:val="008466FB"/>
    <w:rsid w:val="0084752C"/>
    <w:rsid w:val="00847BAA"/>
    <w:rsid w:val="008519F5"/>
    <w:rsid w:val="00851E62"/>
    <w:rsid w:val="00860053"/>
    <w:rsid w:val="00862155"/>
    <w:rsid w:val="00867D14"/>
    <w:rsid w:val="00873D7E"/>
    <w:rsid w:val="00875E02"/>
    <w:rsid w:val="008761B1"/>
    <w:rsid w:val="00876CA8"/>
    <w:rsid w:val="0087720F"/>
    <w:rsid w:val="008778A5"/>
    <w:rsid w:val="00877927"/>
    <w:rsid w:val="00892E7F"/>
    <w:rsid w:val="008A1BC1"/>
    <w:rsid w:val="008A7341"/>
    <w:rsid w:val="008A7E14"/>
    <w:rsid w:val="008C1177"/>
    <w:rsid w:val="008D3831"/>
    <w:rsid w:val="008E3321"/>
    <w:rsid w:val="008E438E"/>
    <w:rsid w:val="008E74C0"/>
    <w:rsid w:val="008F2C7E"/>
    <w:rsid w:val="008F71D1"/>
    <w:rsid w:val="009018C1"/>
    <w:rsid w:val="00903793"/>
    <w:rsid w:val="00904FFB"/>
    <w:rsid w:val="00906829"/>
    <w:rsid w:val="0091209B"/>
    <w:rsid w:val="00915205"/>
    <w:rsid w:val="009156B7"/>
    <w:rsid w:val="009238B8"/>
    <w:rsid w:val="009304C8"/>
    <w:rsid w:val="00931450"/>
    <w:rsid w:val="0095731A"/>
    <w:rsid w:val="00960180"/>
    <w:rsid w:val="00972985"/>
    <w:rsid w:val="0098391A"/>
    <w:rsid w:val="00983DFB"/>
    <w:rsid w:val="009871D6"/>
    <w:rsid w:val="009923C8"/>
    <w:rsid w:val="00994D88"/>
    <w:rsid w:val="00996778"/>
    <w:rsid w:val="009A5037"/>
    <w:rsid w:val="009A69DD"/>
    <w:rsid w:val="009B0B6D"/>
    <w:rsid w:val="009B1A3C"/>
    <w:rsid w:val="009D1FBF"/>
    <w:rsid w:val="009D6E76"/>
    <w:rsid w:val="009E288B"/>
    <w:rsid w:val="009E3016"/>
    <w:rsid w:val="009E626B"/>
    <w:rsid w:val="009F7D5B"/>
    <w:rsid w:val="00A02C0E"/>
    <w:rsid w:val="00A22607"/>
    <w:rsid w:val="00A23A41"/>
    <w:rsid w:val="00A30FBB"/>
    <w:rsid w:val="00A3245D"/>
    <w:rsid w:val="00A3584C"/>
    <w:rsid w:val="00A35B24"/>
    <w:rsid w:val="00A41451"/>
    <w:rsid w:val="00A41DFF"/>
    <w:rsid w:val="00A52E30"/>
    <w:rsid w:val="00A53286"/>
    <w:rsid w:val="00A574A8"/>
    <w:rsid w:val="00A60601"/>
    <w:rsid w:val="00A61E65"/>
    <w:rsid w:val="00A63A03"/>
    <w:rsid w:val="00A6616C"/>
    <w:rsid w:val="00A667D6"/>
    <w:rsid w:val="00A7190F"/>
    <w:rsid w:val="00A7727B"/>
    <w:rsid w:val="00A8283C"/>
    <w:rsid w:val="00A91132"/>
    <w:rsid w:val="00AA01F1"/>
    <w:rsid w:val="00AA1D93"/>
    <w:rsid w:val="00AA27AE"/>
    <w:rsid w:val="00AA64AF"/>
    <w:rsid w:val="00AB625C"/>
    <w:rsid w:val="00AC1FC1"/>
    <w:rsid w:val="00AC3F1D"/>
    <w:rsid w:val="00AC63A2"/>
    <w:rsid w:val="00AC70AD"/>
    <w:rsid w:val="00AC71AE"/>
    <w:rsid w:val="00AD5E4C"/>
    <w:rsid w:val="00B10658"/>
    <w:rsid w:val="00B1572C"/>
    <w:rsid w:val="00B40A36"/>
    <w:rsid w:val="00B4327D"/>
    <w:rsid w:val="00B45AE3"/>
    <w:rsid w:val="00B54AEF"/>
    <w:rsid w:val="00B604CF"/>
    <w:rsid w:val="00B66CF7"/>
    <w:rsid w:val="00B71BBF"/>
    <w:rsid w:val="00B81D07"/>
    <w:rsid w:val="00B962EF"/>
    <w:rsid w:val="00B979AF"/>
    <w:rsid w:val="00BA5036"/>
    <w:rsid w:val="00BB039A"/>
    <w:rsid w:val="00BB2DFA"/>
    <w:rsid w:val="00BC10FB"/>
    <w:rsid w:val="00BC161D"/>
    <w:rsid w:val="00BC5F9F"/>
    <w:rsid w:val="00BC63AD"/>
    <w:rsid w:val="00BD3E4E"/>
    <w:rsid w:val="00BD580D"/>
    <w:rsid w:val="00BD6F14"/>
    <w:rsid w:val="00BE77D0"/>
    <w:rsid w:val="00BF7901"/>
    <w:rsid w:val="00C12828"/>
    <w:rsid w:val="00C147B2"/>
    <w:rsid w:val="00C17813"/>
    <w:rsid w:val="00C21AC4"/>
    <w:rsid w:val="00C31D98"/>
    <w:rsid w:val="00C3393C"/>
    <w:rsid w:val="00C35E2C"/>
    <w:rsid w:val="00C5347D"/>
    <w:rsid w:val="00C61D6E"/>
    <w:rsid w:val="00C629E8"/>
    <w:rsid w:val="00C65A0C"/>
    <w:rsid w:val="00C7290C"/>
    <w:rsid w:val="00C80DFB"/>
    <w:rsid w:val="00C83FF5"/>
    <w:rsid w:val="00C90248"/>
    <w:rsid w:val="00C91BB2"/>
    <w:rsid w:val="00C93BDE"/>
    <w:rsid w:val="00CA0141"/>
    <w:rsid w:val="00CA5851"/>
    <w:rsid w:val="00CA593F"/>
    <w:rsid w:val="00CB1A92"/>
    <w:rsid w:val="00CB7258"/>
    <w:rsid w:val="00CC2154"/>
    <w:rsid w:val="00CC241D"/>
    <w:rsid w:val="00CC65F5"/>
    <w:rsid w:val="00CD5447"/>
    <w:rsid w:val="00CD71F9"/>
    <w:rsid w:val="00D045FD"/>
    <w:rsid w:val="00D2075F"/>
    <w:rsid w:val="00D338A6"/>
    <w:rsid w:val="00D3495E"/>
    <w:rsid w:val="00D41316"/>
    <w:rsid w:val="00D43853"/>
    <w:rsid w:val="00D45333"/>
    <w:rsid w:val="00D4756D"/>
    <w:rsid w:val="00D47E61"/>
    <w:rsid w:val="00D521BF"/>
    <w:rsid w:val="00D64CA3"/>
    <w:rsid w:val="00D6732D"/>
    <w:rsid w:val="00D742F1"/>
    <w:rsid w:val="00D74397"/>
    <w:rsid w:val="00D770F4"/>
    <w:rsid w:val="00D7782A"/>
    <w:rsid w:val="00D82871"/>
    <w:rsid w:val="00D87E6F"/>
    <w:rsid w:val="00D908A0"/>
    <w:rsid w:val="00D9116F"/>
    <w:rsid w:val="00D91F13"/>
    <w:rsid w:val="00D951A2"/>
    <w:rsid w:val="00DB4AAF"/>
    <w:rsid w:val="00DC288D"/>
    <w:rsid w:val="00DC357E"/>
    <w:rsid w:val="00DC37C7"/>
    <w:rsid w:val="00DC7CF5"/>
    <w:rsid w:val="00DD0D64"/>
    <w:rsid w:val="00DE3974"/>
    <w:rsid w:val="00DE54A3"/>
    <w:rsid w:val="00DE7882"/>
    <w:rsid w:val="00DF17B9"/>
    <w:rsid w:val="00DF2858"/>
    <w:rsid w:val="00DF4849"/>
    <w:rsid w:val="00E012FD"/>
    <w:rsid w:val="00E20BBB"/>
    <w:rsid w:val="00E20E26"/>
    <w:rsid w:val="00E21602"/>
    <w:rsid w:val="00E30A68"/>
    <w:rsid w:val="00E33264"/>
    <w:rsid w:val="00E357A4"/>
    <w:rsid w:val="00E43268"/>
    <w:rsid w:val="00E44910"/>
    <w:rsid w:val="00E4588C"/>
    <w:rsid w:val="00E5616A"/>
    <w:rsid w:val="00E56188"/>
    <w:rsid w:val="00E62522"/>
    <w:rsid w:val="00E64048"/>
    <w:rsid w:val="00E7418D"/>
    <w:rsid w:val="00E753B2"/>
    <w:rsid w:val="00E76371"/>
    <w:rsid w:val="00E9044C"/>
    <w:rsid w:val="00E954F7"/>
    <w:rsid w:val="00EA3C96"/>
    <w:rsid w:val="00EA7876"/>
    <w:rsid w:val="00EA7C30"/>
    <w:rsid w:val="00EB0128"/>
    <w:rsid w:val="00EC504F"/>
    <w:rsid w:val="00ED33F7"/>
    <w:rsid w:val="00ED5FC7"/>
    <w:rsid w:val="00EE066E"/>
    <w:rsid w:val="00EE5E1B"/>
    <w:rsid w:val="00EE752D"/>
    <w:rsid w:val="00F01E75"/>
    <w:rsid w:val="00F05411"/>
    <w:rsid w:val="00F056B1"/>
    <w:rsid w:val="00F0761D"/>
    <w:rsid w:val="00F07985"/>
    <w:rsid w:val="00F134B4"/>
    <w:rsid w:val="00F142C2"/>
    <w:rsid w:val="00F17DB6"/>
    <w:rsid w:val="00F2771A"/>
    <w:rsid w:val="00F36228"/>
    <w:rsid w:val="00F42358"/>
    <w:rsid w:val="00F5148C"/>
    <w:rsid w:val="00F568B7"/>
    <w:rsid w:val="00F66196"/>
    <w:rsid w:val="00F66AEF"/>
    <w:rsid w:val="00F716E5"/>
    <w:rsid w:val="00F73441"/>
    <w:rsid w:val="00F73ACD"/>
    <w:rsid w:val="00F76BB3"/>
    <w:rsid w:val="00F83AA2"/>
    <w:rsid w:val="00F84C73"/>
    <w:rsid w:val="00F856DC"/>
    <w:rsid w:val="00F94877"/>
    <w:rsid w:val="00FB1343"/>
    <w:rsid w:val="00FB2CF1"/>
    <w:rsid w:val="00FB5E10"/>
    <w:rsid w:val="00FD3D52"/>
    <w:rsid w:val="00FE076D"/>
    <w:rsid w:val="00FF095D"/>
    <w:rsid w:val="00FF0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557126-4818-46A1-AF3F-9D71E81A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51A2"/>
    <w:rPr>
      <w:sz w:val="22"/>
    </w:rPr>
  </w:style>
  <w:style w:type="paragraph" w:styleId="Nadpis1">
    <w:name w:val="heading 1"/>
    <w:aliases w:val="Nadpis 1 Char"/>
    <w:basedOn w:val="Normln"/>
    <w:next w:val="Nadpis2"/>
    <w:qFormat/>
    <w:rsid w:val="00D951A2"/>
    <w:pPr>
      <w:keepNext/>
      <w:numPr>
        <w:numId w:val="3"/>
      </w:numPr>
      <w:spacing w:before="240" w:after="60"/>
      <w:outlineLvl w:val="0"/>
    </w:pPr>
    <w:rPr>
      <w:b/>
      <w:i/>
      <w:kern w:val="28"/>
    </w:rPr>
  </w:style>
  <w:style w:type="paragraph" w:styleId="Nadpis2">
    <w:name w:val="heading 2"/>
    <w:basedOn w:val="Normln"/>
    <w:link w:val="Nadpis2Char"/>
    <w:qFormat/>
    <w:rsid w:val="00D951A2"/>
    <w:pPr>
      <w:numPr>
        <w:ilvl w:val="1"/>
        <w:numId w:val="3"/>
      </w:numPr>
      <w:spacing w:before="240" w:after="60"/>
      <w:outlineLvl w:val="1"/>
    </w:pPr>
  </w:style>
  <w:style w:type="paragraph" w:styleId="Nadpis3">
    <w:name w:val="heading 3"/>
    <w:basedOn w:val="Normln"/>
    <w:qFormat/>
    <w:rsid w:val="00D951A2"/>
    <w:pPr>
      <w:numPr>
        <w:ilvl w:val="2"/>
        <w:numId w:val="3"/>
      </w:numPr>
      <w:spacing w:before="240" w:after="60"/>
      <w:outlineLvl w:val="2"/>
    </w:pPr>
  </w:style>
  <w:style w:type="paragraph" w:styleId="Nadpis4">
    <w:name w:val="heading 4"/>
    <w:basedOn w:val="Normln"/>
    <w:qFormat/>
    <w:rsid w:val="00D951A2"/>
    <w:pPr>
      <w:numPr>
        <w:ilvl w:val="3"/>
        <w:numId w:val="3"/>
      </w:numPr>
      <w:spacing w:before="240" w:after="60"/>
      <w:outlineLvl w:val="3"/>
    </w:pPr>
  </w:style>
  <w:style w:type="paragraph" w:styleId="Nadpis5">
    <w:name w:val="heading 5"/>
    <w:basedOn w:val="Normln"/>
    <w:qFormat/>
    <w:rsid w:val="00D951A2"/>
    <w:pPr>
      <w:numPr>
        <w:numId w:val="4"/>
      </w:numPr>
      <w:spacing w:before="240" w:after="60"/>
      <w:outlineLvl w:val="4"/>
    </w:pPr>
  </w:style>
  <w:style w:type="paragraph" w:styleId="Nadpis6">
    <w:name w:val="heading 6"/>
    <w:basedOn w:val="Normln"/>
    <w:next w:val="Normln"/>
    <w:qFormat/>
    <w:rsid w:val="00D951A2"/>
    <w:pPr>
      <w:numPr>
        <w:ilvl w:val="5"/>
        <w:numId w:val="3"/>
      </w:numPr>
      <w:tabs>
        <w:tab w:val="clear" w:pos="1152"/>
      </w:tabs>
      <w:spacing w:before="240" w:after="240"/>
      <w:ind w:left="1151" w:hanging="1151"/>
      <w:outlineLvl w:val="5"/>
    </w:pPr>
  </w:style>
  <w:style w:type="paragraph" w:styleId="Nadpis7">
    <w:name w:val="heading 7"/>
    <w:basedOn w:val="Normln"/>
    <w:next w:val="Normln"/>
    <w:qFormat/>
    <w:rsid w:val="00D951A2"/>
    <w:pPr>
      <w:numPr>
        <w:ilvl w:val="6"/>
        <w:numId w:val="3"/>
      </w:numPr>
      <w:spacing w:before="240" w:after="60"/>
      <w:outlineLvl w:val="6"/>
    </w:pPr>
    <w:rPr>
      <w:rFonts w:ascii="Arial" w:hAnsi="Arial"/>
    </w:rPr>
  </w:style>
  <w:style w:type="paragraph" w:styleId="Nadpis8">
    <w:name w:val="heading 8"/>
    <w:basedOn w:val="Normln"/>
    <w:next w:val="Normln"/>
    <w:qFormat/>
    <w:rsid w:val="00D951A2"/>
    <w:pPr>
      <w:numPr>
        <w:ilvl w:val="7"/>
        <w:numId w:val="3"/>
      </w:numPr>
      <w:spacing w:before="240" w:after="60"/>
      <w:outlineLvl w:val="7"/>
    </w:pPr>
    <w:rPr>
      <w:rFonts w:ascii="Arial" w:hAnsi="Arial"/>
      <w:i/>
    </w:rPr>
  </w:style>
  <w:style w:type="paragraph" w:styleId="Nadpis9">
    <w:name w:val="heading 9"/>
    <w:basedOn w:val="Normln"/>
    <w:next w:val="Normln"/>
    <w:qFormat/>
    <w:rsid w:val="00D951A2"/>
    <w:pPr>
      <w:numPr>
        <w:ilvl w:val="8"/>
        <w:numId w:val="3"/>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dress">
    <w:name w:val="address"/>
    <w:basedOn w:val="Normln"/>
    <w:pPr>
      <w:pBdr>
        <w:top w:val="single" w:sz="12" w:space="1" w:color="auto"/>
        <w:left w:val="single" w:sz="12" w:space="4" w:color="auto"/>
        <w:bottom w:val="single" w:sz="12" w:space="1" w:color="auto"/>
        <w:right w:val="single" w:sz="12" w:space="4" w:color="auto"/>
      </w:pBdr>
      <w:ind w:left="5500"/>
    </w:pPr>
    <w:rPr>
      <w:b/>
    </w:rPr>
  </w:style>
  <w:style w:type="paragraph" w:styleId="Zpat">
    <w:name w:val="footer"/>
    <w:basedOn w:val="Normln"/>
    <w:link w:val="ZpatChar"/>
    <w:pPr>
      <w:tabs>
        <w:tab w:val="center" w:pos="4153"/>
        <w:tab w:val="right" w:pos="8306"/>
      </w:tabs>
    </w:pPr>
  </w:style>
  <w:style w:type="character" w:customStyle="1" w:styleId="ZpatChar">
    <w:name w:val="Zápatí Char"/>
    <w:basedOn w:val="Standardnpsmoodstavce"/>
    <w:link w:val="Zpat"/>
    <w:uiPriority w:val="99"/>
    <w:rsid w:val="00F142C2"/>
    <w:rPr>
      <w:sz w:val="22"/>
    </w:rPr>
  </w:style>
  <w:style w:type="character" w:styleId="slostrnky">
    <w:name w:val="page number"/>
    <w:basedOn w:val="Standardnpsmoodstavce"/>
  </w:style>
  <w:style w:type="paragraph" w:styleId="Zhlav">
    <w:name w:val="header"/>
    <w:basedOn w:val="Normln"/>
    <w:pPr>
      <w:tabs>
        <w:tab w:val="center" w:pos="4153"/>
        <w:tab w:val="right" w:pos="8306"/>
      </w:tabs>
    </w:pPr>
  </w:style>
  <w:style w:type="paragraph" w:customStyle="1" w:styleId="H3">
    <w:name w:val="H3"/>
    <w:basedOn w:val="Normln"/>
    <w:next w:val="Normln"/>
    <w:pPr>
      <w:keepNext/>
      <w:spacing w:before="100" w:after="100"/>
    </w:pPr>
    <w:rPr>
      <w:b/>
      <w:sz w:val="28"/>
    </w:rPr>
  </w:style>
  <w:style w:type="paragraph" w:styleId="Zkladntext">
    <w:name w:val="Body Text"/>
    <w:basedOn w:val="Normln"/>
    <w:pPr>
      <w:jc w:val="both"/>
    </w:pPr>
    <w:rPr>
      <w:sz w:val="20"/>
    </w:rPr>
  </w:style>
  <w:style w:type="paragraph" w:styleId="Zkladntext2">
    <w:name w:val="Body Text 2"/>
    <w:basedOn w:val="Normln"/>
    <w:pPr>
      <w:widowControl w:val="0"/>
      <w:tabs>
        <w:tab w:val="left" w:pos="0"/>
        <w:tab w:val="left" w:pos="1642"/>
        <w:tab w:val="left" w:pos="1985"/>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pPr>
  </w:style>
  <w:style w:type="paragraph" w:styleId="Zkladntextodsazen2">
    <w:name w:val="Body Text Indent 2"/>
    <w:basedOn w:val="Normln"/>
    <w:pPr>
      <w:widowControl w:val="0"/>
      <w:tabs>
        <w:tab w:val="left" w:pos="0"/>
        <w:tab w:val="left" w:pos="1076"/>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276" w:hanging="566"/>
      <w:jc w:val="both"/>
    </w:pPr>
  </w:style>
  <w:style w:type="paragraph" w:styleId="Zkladntextodsazen">
    <w:name w:val="Body Text Indent"/>
    <w:basedOn w:val="Normln"/>
    <w:pPr>
      <w:ind w:left="709" w:hanging="709"/>
      <w:jc w:val="both"/>
    </w:pPr>
  </w:style>
  <w:style w:type="paragraph" w:customStyle="1" w:styleId="odstavec">
    <w:name w:val="odstavec"/>
    <w:basedOn w:val="Normln"/>
    <w:pPr>
      <w:spacing w:after="120"/>
      <w:jc w:val="both"/>
    </w:pPr>
  </w:style>
  <w:style w:type="paragraph" w:customStyle="1" w:styleId="podmnky">
    <w:name w:val="podmínky"/>
    <w:basedOn w:val="sloka"/>
    <w:pPr>
      <w:spacing w:after="120"/>
      <w:ind w:left="0" w:firstLine="0"/>
    </w:pPr>
    <w:rPr>
      <w:b/>
    </w:rPr>
  </w:style>
  <w:style w:type="paragraph" w:customStyle="1" w:styleId="sloka">
    <w:name w:val="složka"/>
    <w:basedOn w:val="Normln"/>
    <w:pPr>
      <w:tabs>
        <w:tab w:val="left" w:pos="720"/>
        <w:tab w:val="decimal" w:leader="dot" w:pos="7513"/>
      </w:tabs>
      <w:spacing w:before="240" w:after="240"/>
      <w:ind w:left="360" w:hanging="360"/>
      <w:jc w:val="both"/>
    </w:pPr>
  </w:style>
  <w:style w:type="paragraph" w:customStyle="1" w:styleId="cena">
    <w:name w:val="cena"/>
    <w:basedOn w:val="cenajistiee"/>
    <w:pPr>
      <w:spacing w:line="240" w:lineRule="auto"/>
      <w:ind w:firstLine="992"/>
    </w:pPr>
  </w:style>
  <w:style w:type="paragraph" w:customStyle="1" w:styleId="cenajistiee">
    <w:name w:val="cena jistiee"/>
    <w:basedOn w:val="Normln"/>
    <w:pPr>
      <w:tabs>
        <w:tab w:val="decimal" w:leader="dot" w:pos="7513"/>
      </w:tabs>
      <w:spacing w:before="60" w:line="360" w:lineRule="auto"/>
      <w:ind w:firstLine="993"/>
      <w:jc w:val="both"/>
    </w:pPr>
  </w:style>
  <w:style w:type="paragraph" w:customStyle="1" w:styleId="poznmka">
    <w:name w:val="poznámka"/>
    <w:basedOn w:val="Normln"/>
    <w:pPr>
      <w:spacing w:before="60"/>
      <w:jc w:val="both"/>
    </w:pPr>
    <w:rPr>
      <w:i/>
      <w:sz w:val="20"/>
    </w:rPr>
  </w:style>
  <w:style w:type="paragraph" w:customStyle="1" w:styleId="bodpodmnek">
    <w:name w:val="bod podmínek"/>
    <w:basedOn w:val="odstavec"/>
    <w:pPr>
      <w:tabs>
        <w:tab w:val="left" w:pos="720"/>
      </w:tabs>
      <w:spacing w:after="60"/>
      <w:ind w:left="720" w:hanging="360"/>
    </w:pPr>
  </w:style>
  <w:style w:type="paragraph" w:customStyle="1" w:styleId="sazba">
    <w:name w:val="sazba"/>
    <w:basedOn w:val="Normln"/>
    <w:pPr>
      <w:tabs>
        <w:tab w:val="left" w:pos="2268"/>
      </w:tabs>
      <w:spacing w:before="240" w:after="120"/>
      <w:ind w:left="2268" w:hanging="2268"/>
      <w:jc w:val="both"/>
    </w:pPr>
    <w:rPr>
      <w:rFonts w:ascii="Arial Black" w:hAnsi="Arial Black"/>
      <w:b/>
      <w:u w:val="single"/>
    </w:rPr>
  </w:style>
  <w:style w:type="paragraph" w:styleId="Zkladntextodsazen3">
    <w:name w:val="Body Text Indent 3"/>
    <w:basedOn w:val="Normln"/>
    <w:pPr>
      <w:ind w:left="720" w:hanging="720"/>
    </w:pPr>
  </w:style>
  <w:style w:type="paragraph" w:styleId="Textbubliny">
    <w:name w:val="Balloon Text"/>
    <w:basedOn w:val="Normln"/>
    <w:semiHidden/>
    <w:rsid w:val="001B4434"/>
    <w:rPr>
      <w:rFonts w:ascii="Tahoma" w:hAnsi="Tahoma" w:cs="Tahoma"/>
      <w:sz w:val="16"/>
      <w:szCs w:val="16"/>
    </w:rPr>
  </w:style>
  <w:style w:type="paragraph" w:styleId="Textpoznpodarou">
    <w:name w:val="footnote text"/>
    <w:basedOn w:val="Normln"/>
    <w:semiHidden/>
    <w:rsid w:val="00DC288D"/>
    <w:rPr>
      <w:sz w:val="20"/>
    </w:rPr>
  </w:style>
  <w:style w:type="character" w:styleId="Znakapoznpodarou">
    <w:name w:val="footnote reference"/>
    <w:semiHidden/>
    <w:rsid w:val="00DC288D"/>
    <w:rPr>
      <w:vertAlign w:val="superscript"/>
    </w:rPr>
  </w:style>
  <w:style w:type="character" w:styleId="Odkaznakoment">
    <w:name w:val="annotation reference"/>
    <w:semiHidden/>
    <w:rsid w:val="00A30FBB"/>
    <w:rPr>
      <w:sz w:val="16"/>
      <w:szCs w:val="16"/>
    </w:rPr>
  </w:style>
  <w:style w:type="paragraph" w:styleId="Textkomente">
    <w:name w:val="annotation text"/>
    <w:basedOn w:val="Normln"/>
    <w:semiHidden/>
    <w:rsid w:val="00A30FBB"/>
    <w:rPr>
      <w:sz w:val="20"/>
    </w:rPr>
  </w:style>
  <w:style w:type="paragraph" w:styleId="Pedmtkomente">
    <w:name w:val="annotation subject"/>
    <w:basedOn w:val="Textkomente"/>
    <w:next w:val="Textkomente"/>
    <w:semiHidden/>
    <w:rsid w:val="00A30FBB"/>
    <w:rPr>
      <w:b/>
      <w:bCs/>
    </w:rPr>
  </w:style>
  <w:style w:type="character" w:styleId="Siln">
    <w:name w:val="Strong"/>
    <w:basedOn w:val="Standardnpsmoodstavce"/>
    <w:uiPriority w:val="22"/>
    <w:qFormat/>
    <w:rsid w:val="0057244C"/>
    <w:rPr>
      <w:b/>
      <w:bCs/>
    </w:rPr>
  </w:style>
  <w:style w:type="character" w:customStyle="1" w:styleId="nowrap">
    <w:name w:val="nowrap"/>
    <w:basedOn w:val="Standardnpsmoodstavce"/>
    <w:rsid w:val="0057244C"/>
  </w:style>
  <w:style w:type="paragraph" w:styleId="Obsah1">
    <w:name w:val="toc 1"/>
    <w:basedOn w:val="Normln"/>
    <w:next w:val="Normln"/>
    <w:autoRedefine/>
    <w:uiPriority w:val="39"/>
    <w:qFormat/>
    <w:rsid w:val="00F142C2"/>
    <w:rPr>
      <w:sz w:val="24"/>
    </w:rPr>
  </w:style>
  <w:style w:type="paragraph" w:styleId="Obsah2">
    <w:name w:val="toc 2"/>
    <w:basedOn w:val="Normln"/>
    <w:next w:val="Normln"/>
    <w:autoRedefine/>
    <w:uiPriority w:val="39"/>
    <w:qFormat/>
    <w:rsid w:val="00F142C2"/>
    <w:pPr>
      <w:ind w:left="240"/>
    </w:pPr>
    <w:rPr>
      <w:sz w:val="24"/>
    </w:rPr>
  </w:style>
  <w:style w:type="character" w:styleId="Hypertextovodkaz">
    <w:name w:val="Hyperlink"/>
    <w:uiPriority w:val="99"/>
    <w:rsid w:val="00F142C2"/>
    <w:rPr>
      <w:color w:val="0000FF"/>
      <w:u w:val="single"/>
    </w:rPr>
  </w:style>
  <w:style w:type="paragraph" w:styleId="Odstavecseseznamem">
    <w:name w:val="List Paragraph"/>
    <w:basedOn w:val="Normln"/>
    <w:uiPriority w:val="34"/>
    <w:qFormat/>
    <w:rsid w:val="00F142C2"/>
    <w:pPr>
      <w:ind w:left="720"/>
      <w:contextualSpacing/>
    </w:pPr>
    <w:rPr>
      <w:sz w:val="24"/>
    </w:rPr>
  </w:style>
  <w:style w:type="table" w:styleId="Mkatabulky">
    <w:name w:val="Table Grid"/>
    <w:basedOn w:val="Normlntabulka"/>
    <w:rsid w:val="00F14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semiHidden/>
    <w:unhideWhenUsed/>
    <w:qFormat/>
    <w:rsid w:val="00F142C2"/>
    <w:pPr>
      <w:keepLines/>
      <w:numPr>
        <w:numId w:val="0"/>
      </w:numPr>
      <w:spacing w:before="480" w:after="0" w:line="276" w:lineRule="auto"/>
      <w:outlineLvl w:val="9"/>
    </w:pPr>
    <w:rPr>
      <w:rFonts w:asciiTheme="majorHAnsi" w:eastAsiaTheme="majorEastAsia" w:hAnsiTheme="majorHAnsi" w:cstheme="majorBidi"/>
      <w:bCs/>
      <w:i w:val="0"/>
      <w:color w:val="365F91" w:themeColor="accent1" w:themeShade="BF"/>
      <w:kern w:val="0"/>
      <w:sz w:val="28"/>
      <w:szCs w:val="28"/>
    </w:rPr>
  </w:style>
  <w:style w:type="paragraph" w:styleId="Obsah3">
    <w:name w:val="toc 3"/>
    <w:basedOn w:val="Normln"/>
    <w:next w:val="Normln"/>
    <w:autoRedefine/>
    <w:uiPriority w:val="39"/>
    <w:rsid w:val="00A3584C"/>
    <w:pPr>
      <w:spacing w:after="100"/>
      <w:ind w:left="440"/>
    </w:pPr>
  </w:style>
  <w:style w:type="paragraph" w:styleId="Revize">
    <w:name w:val="Revision"/>
    <w:hidden/>
    <w:uiPriority w:val="99"/>
    <w:semiHidden/>
    <w:rsid w:val="00F5148C"/>
    <w:rPr>
      <w:sz w:val="22"/>
    </w:rPr>
  </w:style>
  <w:style w:type="character" w:customStyle="1" w:styleId="Nadpis2Char">
    <w:name w:val="Nadpis 2 Char"/>
    <w:link w:val="Nadpis2"/>
    <w:locked/>
    <w:rsid w:val="005E03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0847">
      <w:bodyDiv w:val="1"/>
      <w:marLeft w:val="0"/>
      <w:marRight w:val="0"/>
      <w:marTop w:val="0"/>
      <w:marBottom w:val="0"/>
      <w:divBdr>
        <w:top w:val="none" w:sz="0" w:space="0" w:color="auto"/>
        <w:left w:val="none" w:sz="0" w:space="0" w:color="auto"/>
        <w:bottom w:val="none" w:sz="0" w:space="0" w:color="auto"/>
        <w:right w:val="none" w:sz="0" w:space="0" w:color="auto"/>
      </w:divBdr>
    </w:div>
    <w:div w:id="93598693">
      <w:bodyDiv w:val="1"/>
      <w:marLeft w:val="0"/>
      <w:marRight w:val="0"/>
      <w:marTop w:val="0"/>
      <w:marBottom w:val="0"/>
      <w:divBdr>
        <w:top w:val="none" w:sz="0" w:space="0" w:color="auto"/>
        <w:left w:val="none" w:sz="0" w:space="0" w:color="auto"/>
        <w:bottom w:val="none" w:sz="0" w:space="0" w:color="auto"/>
        <w:right w:val="none" w:sz="0" w:space="0" w:color="auto"/>
      </w:divBdr>
    </w:div>
    <w:div w:id="507521692">
      <w:bodyDiv w:val="1"/>
      <w:marLeft w:val="0"/>
      <w:marRight w:val="0"/>
      <w:marTop w:val="0"/>
      <w:marBottom w:val="0"/>
      <w:divBdr>
        <w:top w:val="none" w:sz="0" w:space="0" w:color="auto"/>
        <w:left w:val="none" w:sz="0" w:space="0" w:color="auto"/>
        <w:bottom w:val="none" w:sz="0" w:space="0" w:color="auto"/>
        <w:right w:val="none" w:sz="0" w:space="0" w:color="auto"/>
      </w:divBdr>
    </w:div>
    <w:div w:id="634874647">
      <w:bodyDiv w:val="1"/>
      <w:marLeft w:val="0"/>
      <w:marRight w:val="0"/>
      <w:marTop w:val="0"/>
      <w:marBottom w:val="0"/>
      <w:divBdr>
        <w:top w:val="none" w:sz="0" w:space="0" w:color="auto"/>
        <w:left w:val="none" w:sz="0" w:space="0" w:color="auto"/>
        <w:bottom w:val="none" w:sz="0" w:space="0" w:color="auto"/>
        <w:right w:val="none" w:sz="0" w:space="0" w:color="auto"/>
      </w:divBdr>
    </w:div>
    <w:div w:id="643314539">
      <w:bodyDiv w:val="1"/>
      <w:marLeft w:val="0"/>
      <w:marRight w:val="0"/>
      <w:marTop w:val="0"/>
      <w:marBottom w:val="0"/>
      <w:divBdr>
        <w:top w:val="none" w:sz="0" w:space="0" w:color="auto"/>
        <w:left w:val="none" w:sz="0" w:space="0" w:color="auto"/>
        <w:bottom w:val="none" w:sz="0" w:space="0" w:color="auto"/>
        <w:right w:val="none" w:sz="0" w:space="0" w:color="auto"/>
      </w:divBdr>
    </w:div>
    <w:div w:id="878054482">
      <w:bodyDiv w:val="1"/>
      <w:marLeft w:val="0"/>
      <w:marRight w:val="0"/>
      <w:marTop w:val="0"/>
      <w:marBottom w:val="0"/>
      <w:divBdr>
        <w:top w:val="none" w:sz="0" w:space="0" w:color="auto"/>
        <w:left w:val="none" w:sz="0" w:space="0" w:color="auto"/>
        <w:bottom w:val="none" w:sz="0" w:space="0" w:color="auto"/>
        <w:right w:val="none" w:sz="0" w:space="0" w:color="auto"/>
      </w:divBdr>
    </w:div>
    <w:div w:id="1029918204">
      <w:bodyDiv w:val="1"/>
      <w:marLeft w:val="0"/>
      <w:marRight w:val="0"/>
      <w:marTop w:val="0"/>
      <w:marBottom w:val="0"/>
      <w:divBdr>
        <w:top w:val="none" w:sz="0" w:space="0" w:color="auto"/>
        <w:left w:val="none" w:sz="0" w:space="0" w:color="auto"/>
        <w:bottom w:val="none" w:sz="0" w:space="0" w:color="auto"/>
        <w:right w:val="none" w:sz="0" w:space="0" w:color="auto"/>
      </w:divBdr>
    </w:div>
    <w:div w:id="1066222234">
      <w:bodyDiv w:val="1"/>
      <w:marLeft w:val="0"/>
      <w:marRight w:val="0"/>
      <w:marTop w:val="0"/>
      <w:marBottom w:val="0"/>
      <w:divBdr>
        <w:top w:val="none" w:sz="0" w:space="0" w:color="auto"/>
        <w:left w:val="none" w:sz="0" w:space="0" w:color="auto"/>
        <w:bottom w:val="none" w:sz="0" w:space="0" w:color="auto"/>
        <w:right w:val="none" w:sz="0" w:space="0" w:color="auto"/>
      </w:divBdr>
    </w:div>
    <w:div w:id="1073431178">
      <w:bodyDiv w:val="1"/>
      <w:marLeft w:val="0"/>
      <w:marRight w:val="0"/>
      <w:marTop w:val="0"/>
      <w:marBottom w:val="0"/>
      <w:divBdr>
        <w:top w:val="none" w:sz="0" w:space="0" w:color="auto"/>
        <w:left w:val="none" w:sz="0" w:space="0" w:color="auto"/>
        <w:bottom w:val="none" w:sz="0" w:space="0" w:color="auto"/>
        <w:right w:val="none" w:sz="0" w:space="0" w:color="auto"/>
      </w:divBdr>
    </w:div>
    <w:div w:id="1351832139">
      <w:bodyDiv w:val="1"/>
      <w:marLeft w:val="0"/>
      <w:marRight w:val="0"/>
      <w:marTop w:val="0"/>
      <w:marBottom w:val="0"/>
      <w:divBdr>
        <w:top w:val="none" w:sz="0" w:space="0" w:color="auto"/>
        <w:left w:val="none" w:sz="0" w:space="0" w:color="auto"/>
        <w:bottom w:val="none" w:sz="0" w:space="0" w:color="auto"/>
        <w:right w:val="none" w:sz="0" w:space="0" w:color="auto"/>
      </w:divBdr>
    </w:div>
    <w:div w:id="182755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2554-E307-4139-80CD-75D69F78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5944</Words>
  <Characters>35075</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TATO SMLOUVA O DODÁVKÁCH ELEKTRINY  (dále jen "Smlouva") byla uzavrena mezi následujícími smluvními stranami:</vt:lpstr>
    </vt:vector>
  </TitlesOfParts>
  <Company>Alpiq Generation</Company>
  <LinksUpToDate>false</LinksUpToDate>
  <CharactersWithSpaces>40938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TATO SMLOUVA O DODÁVKÁCH ELEKTRINY  (dále jen "Smlouva") byla uzavrena mezi následujícími smluvními stranami:</dc:title>
  <dc:creator>Viktor.Kalina@alpiq.com</dc:creator>
  <cp:lastModifiedBy>Lancevská Marina</cp:lastModifiedBy>
  <cp:revision>4</cp:revision>
  <cp:lastPrinted>2016-07-21T10:10:00Z</cp:lastPrinted>
  <dcterms:created xsi:type="dcterms:W3CDTF">2016-09-26T15:01:00Z</dcterms:created>
  <dcterms:modified xsi:type="dcterms:W3CDTF">2016-09-26T15:12:00Z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1352310</vt:i4>
  </property>
  <property fmtid="{D5CDD505-2E9C-101B-9397-08002B2CF9AE}" pid="3" name="DmsSaved">
    <vt:bool>true</vt:bool>
  </property>
</Properties>
</file>