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7224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E7224B" w:rsidRDefault="000E23BB" w:rsidP="009F1608">
      <w:pPr>
        <w:tabs>
          <w:tab w:val="right" w:pos="9057"/>
        </w:tabs>
        <w:jc w:val="center"/>
        <w:rPr>
          <w:rFonts w:cs="Arial"/>
          <w:b/>
          <w:sz w:val="28"/>
          <w:szCs w:val="28"/>
        </w:rPr>
      </w:pPr>
      <w:r w:rsidRPr="00915663">
        <w:rPr>
          <w:rFonts w:cs="Arial"/>
          <w:b/>
          <w:sz w:val="28"/>
          <w:szCs w:val="28"/>
        </w:rPr>
        <w:t>č. </w:t>
      </w:r>
      <w:r w:rsidR="00E7224B" w:rsidRPr="00E7224B">
        <w:rPr>
          <w:rFonts w:cs="Arial"/>
          <w:b/>
          <w:sz w:val="40"/>
          <w:szCs w:val="40"/>
        </w:rPr>
        <w:t>JEA-MN-7/2018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p>
    <w:p w:rsidR="000E23BB" w:rsidRPr="00E7224B" w:rsidRDefault="00E7224B" w:rsidP="009F1608">
      <w:pPr>
        <w:tabs>
          <w:tab w:val="right" w:pos="9057"/>
        </w:tabs>
        <w:jc w:val="center"/>
        <w:rPr>
          <w:rFonts w:cs="Arial"/>
          <w:b/>
          <w:sz w:val="28"/>
          <w:szCs w:val="28"/>
        </w:rPr>
      </w:pPr>
      <w:r w:rsidRPr="00E7224B">
        <w:rPr>
          <w:rFonts w:cs="Arial"/>
          <w:b/>
          <w:bCs/>
          <w:sz w:val="28"/>
          <w:szCs w:val="28"/>
        </w:rPr>
        <w:t>CZ.03</w:t>
      </w:r>
      <w:r w:rsidRPr="00E7224B">
        <w:rPr>
          <w:b/>
          <w:sz w:val="28"/>
          <w:szCs w:val="28"/>
        </w:rPr>
        <w:t>.1.52/0.0/0.0/15_021/0000053</w:t>
      </w:r>
      <w:r w:rsidR="002115B9" w:rsidRPr="00E7224B">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7224B" w:rsidRPr="00E7224B">
        <w:t xml:space="preserve">Ing. </w:t>
      </w:r>
      <w:r w:rsidR="00E7224B">
        <w:rPr>
          <w:szCs w:val="20"/>
        </w:rPr>
        <w:t>Martin Viterna</w:t>
      </w:r>
      <w:r w:rsidRPr="004521C7">
        <w:rPr>
          <w:rFonts w:cs="Arial"/>
          <w:szCs w:val="20"/>
        </w:rPr>
        <w:t xml:space="preserve">, </w:t>
      </w:r>
      <w:r w:rsidR="00E7224B" w:rsidRPr="00E7224B">
        <w:t>ředitel kontaktního</w:t>
      </w:r>
      <w:r w:rsidR="00E7224B">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7224B" w:rsidRPr="00E7224B">
        <w:t>Dobrovského 1278</w:t>
      </w:r>
      <w:r w:rsidR="00E7224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7224B" w:rsidRPr="00E7224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7224B" w:rsidRPr="00E7224B">
        <w:t>Úřad práce</w:t>
      </w:r>
      <w:r w:rsidR="00E7224B">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12C4D">
        <w:rPr>
          <w:rFonts w:cs="Arial"/>
          <w:szCs w:val="20"/>
        </w:rPr>
        <w:t>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7224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7224B" w:rsidRPr="00E7224B">
        <w:rPr>
          <w:b/>
        </w:rPr>
        <w:t>VIDEN plus</w:t>
      </w:r>
      <w:r w:rsidR="00E7224B" w:rsidRPr="00E7224B">
        <w:rPr>
          <w:b/>
          <w:szCs w:val="20"/>
        </w:rPr>
        <w:t xml:space="preserve"> a.s.</w:t>
      </w:r>
    </w:p>
    <w:p w:rsidR="000E23BB" w:rsidRDefault="00E7224B" w:rsidP="00F97C90">
      <w:pPr>
        <w:tabs>
          <w:tab w:val="left" w:pos="2977"/>
        </w:tabs>
        <w:ind w:left="2977" w:hanging="2977"/>
        <w:rPr>
          <w:noProof/>
          <w:szCs w:val="20"/>
        </w:rPr>
      </w:pPr>
      <w:r w:rsidRPr="004521C7">
        <w:rPr>
          <w:rFonts w:cs="Arial"/>
          <w:noProof/>
          <w:szCs w:val="20"/>
        </w:rPr>
        <w:t>zastupující osoba:</w:t>
      </w:r>
      <w:r w:rsidRPr="004521C7">
        <w:rPr>
          <w:rFonts w:cs="Arial"/>
          <w:noProof/>
          <w:szCs w:val="20"/>
        </w:rPr>
        <w:tab/>
      </w:r>
      <w:r w:rsidRPr="00E7224B">
        <w:rPr>
          <w:noProof/>
        </w:rPr>
        <w:t>Ing. Michal</w:t>
      </w:r>
      <w:r>
        <w:rPr>
          <w:noProof/>
          <w:szCs w:val="20"/>
        </w:rPr>
        <w:t xml:space="preserve"> Procházka, předseda představenstva</w:t>
      </w:r>
    </w:p>
    <w:p w:rsidR="00E7224B" w:rsidRPr="004521C7" w:rsidRDefault="00E7224B" w:rsidP="00F97C90">
      <w:pPr>
        <w:tabs>
          <w:tab w:val="left" w:pos="2977"/>
        </w:tabs>
        <w:ind w:left="2977" w:hanging="2977"/>
        <w:rPr>
          <w:rFonts w:cs="Arial"/>
          <w:szCs w:val="20"/>
        </w:rPr>
      </w:pPr>
      <w:r>
        <w:rPr>
          <w:noProof/>
          <w:szCs w:val="20"/>
        </w:rPr>
        <w:tab/>
        <w:t>Martin Černý, člen představenstva</w:t>
      </w:r>
    </w:p>
    <w:p w:rsidR="000E23BB" w:rsidRPr="004521C7" w:rsidRDefault="00E7224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7224B">
        <w:t>Lipovská č</w:t>
      </w:r>
      <w:r>
        <w:rPr>
          <w:szCs w:val="20"/>
        </w:rPr>
        <w:t>.p. 633/102, 790 01 Jeseník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7224B" w:rsidRPr="00E7224B">
        <w:t>25386662</w:t>
      </w:r>
    </w:p>
    <w:p w:rsidR="00C2620A" w:rsidRPr="004521C7" w:rsidRDefault="00E7224B"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E7224B">
        <w:t>Lipovská č</w:t>
      </w:r>
      <w:r>
        <w:rPr>
          <w:szCs w:val="20"/>
        </w:rPr>
        <w:t>.p. 633/102, 790 01 Jeseník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12C4D">
        <w:rPr>
          <w:rFonts w:cs="Arial"/>
          <w:szCs w:val="20"/>
        </w:rPr>
        <w:t>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7224B" w:rsidRPr="00E7224B">
        <w:rPr>
          <w:bCs/>
        </w:rPr>
        <w:t>Podpora odborného</w:t>
      </w:r>
      <w:r w:rsidR="00E7224B">
        <w:rPr>
          <w:szCs w:val="20"/>
        </w:rPr>
        <w:t xml:space="preserve"> vzdělávání zaměstnanců II (POVEZ II)</w:t>
      </w:r>
      <w:r>
        <w:t>“ (dále jen „POVEZ II“),</w:t>
      </w:r>
      <w:r w:rsidRPr="00A21F7C">
        <w:t xml:space="preserve"> r</w:t>
      </w:r>
      <w:r>
        <w:t>eg. </w:t>
      </w:r>
      <w:r w:rsidRPr="00544217">
        <w:t>č.</w:t>
      </w:r>
      <w:r>
        <w:t> </w:t>
      </w:r>
      <w:r w:rsidR="00E7224B" w:rsidRPr="00E7224B">
        <w:rPr>
          <w:bCs/>
        </w:rPr>
        <w:t>CZ.03</w:t>
      </w:r>
      <w:r w:rsidR="00E7224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E7224B"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E7224B" w:rsidRPr="00E7224B">
        <w:rPr>
          <w:b/>
        </w:rPr>
        <w:t>Nový skladový</w:t>
      </w:r>
      <w:r w:rsidR="00E7224B" w:rsidRPr="00E7224B">
        <w:rPr>
          <w:b/>
          <w:szCs w:val="20"/>
        </w:rPr>
        <w:t xml:space="preserve"> systém</w:t>
      </w:r>
    </w:p>
    <w:p w:rsidR="00E7224B" w:rsidRDefault="00E7224B" w:rsidP="00E7224B">
      <w:pPr>
        <w:pStyle w:val="BoddohodyIII"/>
        <w:numPr>
          <w:ilvl w:val="0"/>
          <w:numId w:val="0"/>
        </w:numPr>
        <w:ind w:left="720"/>
        <w:rPr>
          <w:b/>
          <w:szCs w:val="20"/>
        </w:rPr>
      </w:pPr>
    </w:p>
    <w:p w:rsidR="00E7224B" w:rsidRPr="009218DC" w:rsidRDefault="00E7224B" w:rsidP="00E7224B">
      <w:pPr>
        <w:pStyle w:val="BoddohodyIII"/>
        <w:numPr>
          <w:ilvl w:val="0"/>
          <w:numId w:val="0"/>
        </w:numPr>
        <w:ind w:left="720"/>
      </w:pPr>
    </w:p>
    <w:p w:rsidR="00426A3C" w:rsidRDefault="00426A3C" w:rsidP="00D3695D">
      <w:pPr>
        <w:pStyle w:val="BoddohodyIII"/>
        <w:tabs>
          <w:tab w:val="left" w:pos="1701"/>
          <w:tab w:val="right" w:pos="6804"/>
          <w:tab w:val="left" w:pos="7088"/>
        </w:tabs>
      </w:pPr>
      <w:r w:rsidRPr="00E7224B">
        <w:rPr>
          <w:b/>
        </w:rPr>
        <w:t>Rozsah vzdělávací aktivity</w:t>
      </w:r>
      <w:r w:rsidR="00DC5D38" w:rsidRPr="00E7224B">
        <w:rPr>
          <w:b/>
        </w:rPr>
        <w:t xml:space="preserve"> </w:t>
      </w:r>
      <w:r w:rsidR="008B56D5" w:rsidRPr="00E7224B">
        <w:rPr>
          <w:b/>
        </w:rPr>
        <w:t xml:space="preserve">každého </w:t>
      </w:r>
      <w:r w:rsidR="00DC5D38" w:rsidRPr="00E7224B">
        <w:rPr>
          <w:b/>
        </w:rPr>
        <w:t>účastníka</w:t>
      </w:r>
      <w:r w:rsidRPr="00E7224B">
        <w:rPr>
          <w:b/>
        </w:rPr>
        <w:t>:</w:t>
      </w:r>
      <w:r w:rsidRPr="00E7224B">
        <w:rPr>
          <w:b/>
        </w:rPr>
        <w:tab/>
      </w:r>
      <w:r w:rsidR="00E7224B" w:rsidRPr="00E7224B">
        <w:rPr>
          <w:b/>
        </w:rPr>
        <w:t>56,00</w:t>
      </w:r>
      <w:r w:rsidRPr="00E7224B">
        <w:rPr>
          <w:b/>
        </w:rPr>
        <w:t xml:space="preserve"> </w:t>
      </w:r>
      <w:r w:rsidRPr="00E7224B">
        <w:rPr>
          <w:b/>
        </w:rPr>
        <w:tab/>
      </w:r>
      <w:r w:rsidR="00E53B1B" w:rsidRPr="00E7224B">
        <w:rPr>
          <w:b/>
        </w:rPr>
        <w:t>vyučovacích </w:t>
      </w:r>
      <w:r w:rsidRPr="00E7224B">
        <w:rPr>
          <w:b/>
        </w:rPr>
        <w:t>hodin</w:t>
      </w:r>
      <w:r w:rsidRPr="009218DC">
        <w:br/>
      </w:r>
      <w:r w:rsidRPr="00B75BEF">
        <w:t>z toho:</w:t>
      </w:r>
      <w:r w:rsidRPr="00B75BEF">
        <w:tab/>
        <w:t>- teoretická příprava:</w:t>
      </w:r>
      <w:r w:rsidRPr="009C0145">
        <w:tab/>
      </w:r>
      <w:r w:rsidR="00E7224B">
        <w:t>55</w:t>
      </w:r>
      <w:r w:rsidR="00E7224B" w:rsidRPr="00E7224B">
        <w:t>,</w:t>
      </w:r>
      <w:r w:rsidR="00E7224B">
        <w:t>00</w:t>
      </w:r>
      <w:r>
        <w:rPr>
          <w:lang w:val="en-US"/>
        </w:rPr>
        <w:tab/>
      </w:r>
      <w:r w:rsidR="00E53B1B" w:rsidRPr="00E53B1B">
        <w:t>vyučovacích</w:t>
      </w:r>
      <w:r w:rsidR="00E53B1B">
        <w:t> </w:t>
      </w:r>
      <w:r w:rsidRPr="00B75BEF">
        <w:t>hodin</w:t>
      </w:r>
      <w:r w:rsidRPr="00B75BEF">
        <w:br/>
      </w:r>
      <w:r w:rsidRPr="00B75BEF">
        <w:tab/>
        <w:t>- praktická příprava:</w:t>
      </w:r>
      <w:r>
        <w:tab/>
      </w:r>
      <w:r w:rsidR="00E7224B" w:rsidRPr="00E7224B">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7224B" w:rsidRPr="00E7224B">
        <w:t>1,00</w:t>
      </w:r>
      <w:r>
        <w:tab/>
      </w:r>
      <w:r w:rsidR="00E53B1B" w:rsidRPr="00E53B1B">
        <w:t>vyuč</w:t>
      </w:r>
      <w:r w:rsidR="00E53B1B">
        <w:t>. </w:t>
      </w:r>
      <w:r>
        <w:t>hodin</w:t>
      </w:r>
    </w:p>
    <w:p w:rsidR="005E6F04" w:rsidRDefault="005E6F04" w:rsidP="001F74BF">
      <w:pPr>
        <w:pStyle w:val="BoddohodyIII"/>
        <w:tabs>
          <w:tab w:val="left" w:pos="3969"/>
        </w:tabs>
      </w:pPr>
      <w:r>
        <w:t>Dodavatel vzdělávací aktivity:</w:t>
      </w:r>
      <w:r w:rsidR="001F74BF">
        <w:tab/>
      </w:r>
      <w:r w:rsidR="00E7224B" w:rsidRPr="00E7224B">
        <w:rPr>
          <w:b/>
          <w:szCs w:val="20"/>
        </w:rPr>
        <w:t>DUET, společnost s ručením omezeným (spol. s r. o.)</w:t>
      </w:r>
    </w:p>
    <w:p w:rsidR="002E2F9F" w:rsidRPr="00E7224B" w:rsidRDefault="00671BC4" w:rsidP="006C454C">
      <w:pPr>
        <w:pStyle w:val="BoddohodyIII"/>
        <w:rPr>
          <w:b/>
        </w:rPr>
      </w:pPr>
      <w:r w:rsidRPr="00E7224B">
        <w:rPr>
          <w:b/>
        </w:rPr>
        <w:t>T</w:t>
      </w:r>
      <w:r w:rsidR="002E2F9F" w:rsidRPr="00E7224B">
        <w:rPr>
          <w:b/>
        </w:rPr>
        <w:t>ermín realizace vzdělávací aktivity</w:t>
      </w:r>
      <w:r w:rsidR="000E23BB" w:rsidRPr="00E7224B">
        <w:rPr>
          <w:b/>
        </w:rPr>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E7224B" w:rsidRPr="00E7224B">
        <w:rPr>
          <w:b/>
        </w:rPr>
        <w:t>29.1</w:t>
      </w:r>
      <w:r w:rsidR="00E7224B" w:rsidRPr="00E7224B">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E7224B" w:rsidRPr="00E7224B">
        <w:rPr>
          <w:b/>
        </w:rPr>
        <w:t>19.3</w:t>
      </w:r>
      <w:r w:rsidR="00E7224B" w:rsidRPr="00E7224B">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E7224B" w:rsidRPr="00E7224B">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E7224B" w:rsidRPr="00E7224B">
        <w:rPr>
          <w:b/>
        </w:rPr>
        <w:t>18</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E7224B" w:rsidRPr="00E7224B">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7224B"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8F5711">
        <w:rPr>
          <w:b/>
          <w:szCs w:val="20"/>
        </w:rPr>
        <w:t>398 278,61</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E7224B">
        <w:rPr>
          <w:szCs w:val="20"/>
        </w:rPr>
        <w:t>206 626</w:t>
      </w:r>
      <w:r w:rsidR="00C13AD5">
        <w:rPr>
          <w:rFonts w:cs="Arial"/>
          <w:szCs w:val="20"/>
        </w:rPr>
        <w:t xml:space="preserve"> </w:t>
      </w:r>
      <w:r w:rsidR="00C13AD5" w:rsidRPr="009E7648">
        <w:t>Kč</w:t>
      </w:r>
      <w:r w:rsidR="00C13AD5" w:rsidRPr="00556278">
        <w:t xml:space="preserve"> a maximální výše příspěvku na vzdělávací aktivity činí </w:t>
      </w:r>
      <w:r w:rsidR="008F5711">
        <w:rPr>
          <w:bCs/>
          <w:lang w:val="en-US"/>
        </w:rPr>
        <w:t>191 652,61</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E7224B" w:rsidRPr="00E7224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7224B" w:rsidRPr="00E7224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E7224B" w:rsidP="001C4C77">
      <w:pPr>
        <w:pStyle w:val="BoddohodyII"/>
        <w:keepNext/>
        <w:numPr>
          <w:ilvl w:val="0"/>
          <w:numId w:val="0"/>
        </w:numPr>
      </w:pPr>
      <w:r w:rsidRPr="00E7224B">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E7224B" w:rsidRDefault="00E7224B" w:rsidP="001C4C77">
      <w:pPr>
        <w:keepNext/>
        <w:keepLines/>
        <w:jc w:val="center"/>
        <w:rPr>
          <w:szCs w:val="20"/>
        </w:rPr>
      </w:pPr>
      <w:r w:rsidRPr="00E7224B">
        <w:t>Ing. Michal</w:t>
      </w:r>
      <w:r>
        <w:rPr>
          <w:szCs w:val="20"/>
        </w:rPr>
        <w:t xml:space="preserve"> Procházka</w:t>
      </w:r>
      <w:r>
        <w:rPr>
          <w:szCs w:val="20"/>
        </w:rPr>
        <w:tab/>
      </w:r>
      <w:r>
        <w:rPr>
          <w:szCs w:val="20"/>
        </w:rPr>
        <w:br/>
        <w:t xml:space="preserve"> předseda představenstva</w:t>
      </w:r>
    </w:p>
    <w:p w:rsidR="00E7224B" w:rsidRDefault="00E7224B" w:rsidP="001C4C77">
      <w:pPr>
        <w:keepNext/>
        <w:keepLines/>
        <w:jc w:val="center"/>
        <w:rPr>
          <w:szCs w:val="20"/>
        </w:rPr>
      </w:pPr>
      <w:r>
        <w:rPr>
          <w:szCs w:val="20"/>
        </w:rPr>
        <w:t>Marin Černý</w:t>
      </w:r>
    </w:p>
    <w:p w:rsidR="000114A0" w:rsidRPr="004521C7" w:rsidRDefault="00E7224B" w:rsidP="001C4C77">
      <w:pPr>
        <w:keepNext/>
        <w:keepLines/>
        <w:jc w:val="center"/>
        <w:rPr>
          <w:rFonts w:cs="Arial"/>
          <w:szCs w:val="20"/>
        </w:rPr>
      </w:pPr>
      <w:r>
        <w:rPr>
          <w:szCs w:val="20"/>
        </w:rPr>
        <w:t>Člen představenstva</w:t>
      </w:r>
      <w:r>
        <w:rPr>
          <w:szCs w:val="20"/>
        </w:rPr>
        <w:tab/>
      </w:r>
      <w:r>
        <w:rPr>
          <w:szCs w:val="20"/>
        </w:rPr>
        <w:br/>
        <w:t>VIDEN plus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7224B" w:rsidP="001C4C77">
      <w:pPr>
        <w:keepNext/>
        <w:tabs>
          <w:tab w:val="center" w:pos="1800"/>
          <w:tab w:val="center" w:pos="7200"/>
        </w:tabs>
        <w:jc w:val="center"/>
      </w:pPr>
      <w:r w:rsidRPr="00E7224B">
        <w:t xml:space="preserve">Ing. </w:t>
      </w:r>
      <w:r>
        <w:rPr>
          <w:szCs w:val="20"/>
        </w:rPr>
        <w:t>Martin Viterna</w:t>
      </w:r>
    </w:p>
    <w:p w:rsidR="00580136" w:rsidRDefault="00E7224B" w:rsidP="00580136">
      <w:pPr>
        <w:tabs>
          <w:tab w:val="center" w:pos="1800"/>
          <w:tab w:val="center" w:pos="7200"/>
        </w:tabs>
        <w:jc w:val="center"/>
      </w:pPr>
      <w:r w:rsidRPr="00E7224B">
        <w:t>ředitel kontaktního</w:t>
      </w:r>
      <w:r>
        <w:rPr>
          <w:szCs w:val="20"/>
        </w:rPr>
        <w:t xml:space="preserve"> pracoviště Jeseník</w:t>
      </w:r>
    </w:p>
    <w:p w:rsidR="00E7224B" w:rsidRDefault="00E7224B" w:rsidP="00580136">
      <w:pPr>
        <w:keepNext/>
        <w:tabs>
          <w:tab w:val="center" w:pos="1800"/>
          <w:tab w:val="center" w:pos="7200"/>
        </w:tabs>
        <w:jc w:val="center"/>
      </w:pPr>
      <w:r>
        <w:t>Krajská pobočka v Olomouci</w:t>
      </w:r>
    </w:p>
    <w:p w:rsidR="00C77EBD" w:rsidRDefault="00E7224B" w:rsidP="00580136">
      <w:pPr>
        <w:keepNext/>
        <w:tabs>
          <w:tab w:val="center" w:pos="1800"/>
          <w:tab w:val="center" w:pos="7200"/>
        </w:tabs>
        <w:jc w:val="center"/>
      </w:pPr>
      <w:r>
        <w:t>Úřad práce Česká republika</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12C4D">
        <w:rPr>
          <w:rFonts w:cs="Arial"/>
          <w:szCs w:val="20"/>
        </w:rPr>
        <w:t>XXXXXXXXX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12C4D">
        <w:rPr>
          <w:rFonts w:cs="Arial"/>
          <w:szCs w:val="20"/>
        </w:rPr>
        <w:t>XXXXXXXXX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24B" w:rsidRDefault="00E7224B">
      <w:r>
        <w:separator/>
      </w:r>
    </w:p>
  </w:endnote>
  <w:endnote w:type="continuationSeparator" w:id="0">
    <w:p w:rsidR="00E7224B" w:rsidRDefault="00E7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4B" w:rsidRDefault="00E722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7224B" w:rsidRPr="00E7224B">
      <w:rPr>
        <w:i/>
      </w:rPr>
      <w:t>JEA-MN-7/2018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12C4D">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12C4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7224B" w:rsidRPr="00E7224B">
      <w:rPr>
        <w:i/>
      </w:rPr>
      <w:t>JEA-MN-7/2018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12C4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12C4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24B" w:rsidRDefault="00E7224B">
      <w:r>
        <w:separator/>
      </w:r>
    </w:p>
  </w:footnote>
  <w:footnote w:type="continuationSeparator" w:id="0">
    <w:p w:rsidR="00E7224B" w:rsidRDefault="00E7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24B" w:rsidRDefault="00E7224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7224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2C4D"/>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8F5711"/>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46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C7070"/>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7224B"/>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192B8-63E6-43AC-BBCD-9A90DB8B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4090</Words>
  <Characters>24647</Characters>
  <Application>Microsoft Office Word</Application>
  <DocSecurity>0</DocSecurity>
  <Lines>205</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28680</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Ištvánková Šárka Ing. (UPM-JEA)</dc:creator>
  <cp:lastModifiedBy>Ištvánková Šárka Ing. (UPM-JEA)</cp:lastModifiedBy>
  <cp:revision>3</cp:revision>
  <cp:lastPrinted>2018-01-23T12:44:00Z</cp:lastPrinted>
  <dcterms:created xsi:type="dcterms:W3CDTF">2018-01-25T12:05:00Z</dcterms:created>
  <dcterms:modified xsi:type="dcterms:W3CDTF">2018-01-25T12:06:00Z</dcterms:modified>
</cp:coreProperties>
</file>