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8B" w:rsidRDefault="005B5B8B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007828/2018/508100/Cu</w:t>
      </w:r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7047671768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Burš Ivan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5B5B8B">
        <w:rPr>
          <w:rFonts w:ascii="Arial" w:hAnsi="Arial" w:cs="Arial"/>
          <w:color w:val="000000"/>
          <w:sz w:val="22"/>
          <w:szCs w:val="22"/>
        </w:rPr>
        <w:t>xxxxxxxxxx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B5B8B">
        <w:rPr>
          <w:rFonts w:ascii="Arial" w:hAnsi="Arial" w:cs="Arial"/>
          <w:color w:val="000000"/>
          <w:sz w:val="22"/>
          <w:szCs w:val="22"/>
        </w:rPr>
        <w:t>xxxxxxxxxxxxxx</w:t>
      </w:r>
      <w:bookmarkStart w:id="0" w:name="_GoBack"/>
      <w:bookmarkEnd w:id="0"/>
      <w:r w:rsidRPr="00F935EF">
        <w:rPr>
          <w:rFonts w:ascii="Arial" w:hAnsi="Arial" w:cs="Arial"/>
          <w:color w:val="000000"/>
          <w:sz w:val="22"/>
          <w:szCs w:val="22"/>
        </w:rPr>
        <w:t>, Litvínov - Horní Litvínov, PSČ 436 01, rodinný stav ženatý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7047671768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2249/12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2250/96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2250/97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5B5B8B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5B5B8B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2249/12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350,00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123,00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75 560,00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1 840,00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56,00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637,00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194,00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78 760,00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5B5B8B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000000" w:rsidRDefault="00DB296F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 w:rsidP="005B5B8B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5B5B8B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5B5B8B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5B5B8B" w:rsidRPr="00F935EF">
        <w:rPr>
          <w:rFonts w:ascii="Arial" w:hAnsi="Arial" w:cs="Arial"/>
          <w:sz w:val="22"/>
          <w:szCs w:val="22"/>
        </w:rPr>
        <w:t>24. 1. 2018</w:t>
      </w:r>
      <w:r w:rsidRPr="00F935EF">
        <w:rPr>
          <w:rFonts w:ascii="Arial" w:hAnsi="Arial" w:cs="Arial"/>
          <w:sz w:val="22"/>
          <w:szCs w:val="22"/>
        </w:rPr>
        <w:tab/>
      </w:r>
      <w:r w:rsidR="005B5B8B" w:rsidRPr="00F935EF">
        <w:rPr>
          <w:rFonts w:ascii="Arial" w:hAnsi="Arial" w:cs="Arial"/>
          <w:sz w:val="22"/>
          <w:szCs w:val="22"/>
        </w:rPr>
        <w:t>V Teplicích dne 24. 1.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Burš Ivan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2778968, 2780268, 2782668, 1025868, 2836468, 1020868, 2792768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6F" w:rsidRDefault="00DB296F">
      <w:r>
        <w:separator/>
      </w:r>
    </w:p>
  </w:endnote>
  <w:endnote w:type="continuationSeparator" w:id="0">
    <w:p w:rsidR="00DB296F" w:rsidRDefault="00D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6F" w:rsidRDefault="00DB296F">
      <w:r>
        <w:separator/>
      </w:r>
    </w:p>
  </w:footnote>
  <w:footnote w:type="continuationSeparator" w:id="0">
    <w:p w:rsidR="00DB296F" w:rsidRDefault="00DB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365707"/>
    <w:rsid w:val="00373655"/>
    <w:rsid w:val="0040101C"/>
    <w:rsid w:val="00480DC8"/>
    <w:rsid w:val="00550621"/>
    <w:rsid w:val="00566AF0"/>
    <w:rsid w:val="005B5B8B"/>
    <w:rsid w:val="007216FD"/>
    <w:rsid w:val="007D1E79"/>
    <w:rsid w:val="007D2161"/>
    <w:rsid w:val="007F6A10"/>
    <w:rsid w:val="00864044"/>
    <w:rsid w:val="008C14E1"/>
    <w:rsid w:val="008D25D8"/>
    <w:rsid w:val="009014BF"/>
    <w:rsid w:val="009D36E4"/>
    <w:rsid w:val="00A1467D"/>
    <w:rsid w:val="00A31C3B"/>
    <w:rsid w:val="00A923D9"/>
    <w:rsid w:val="00BD5EA5"/>
    <w:rsid w:val="00C324D0"/>
    <w:rsid w:val="00C9419D"/>
    <w:rsid w:val="00CB20ED"/>
    <w:rsid w:val="00D017F7"/>
    <w:rsid w:val="00D137C8"/>
    <w:rsid w:val="00DB296F"/>
    <w:rsid w:val="00DD31B1"/>
    <w:rsid w:val="00DF2489"/>
    <w:rsid w:val="00E4158B"/>
    <w:rsid w:val="00E76447"/>
    <w:rsid w:val="00EC7974"/>
    <w:rsid w:val="00EE1DD7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145DE"/>
  <w14:defaultImageDpi w14:val="0"/>
  <w15:docId w15:val="{C2338222-B4D9-423A-838D-3D7E01E7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B5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B5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1296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2018-01-24T08:55:00Z</cp:lastPrinted>
  <dcterms:created xsi:type="dcterms:W3CDTF">2018-01-24T08:54:00Z</dcterms:created>
  <dcterms:modified xsi:type="dcterms:W3CDTF">2018-01-24T08:56:00Z</dcterms:modified>
</cp:coreProperties>
</file>