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47" w:rsidRDefault="00C459F5">
      <w:pPr>
        <w:pStyle w:val="Nadpis20"/>
        <w:keepNext/>
        <w:keepLines/>
        <w:framePr w:w="6592" w:h="526" w:wrap="none" w:vAnchor="text" w:hAnchor="margin" w:x="779" w:y="21"/>
        <w:pBdr>
          <w:bottom w:val="single" w:sz="4" w:space="0" w:color="auto"/>
        </w:pBdr>
        <w:shd w:val="clear" w:color="auto" w:fill="auto"/>
      </w:pPr>
      <w:bookmarkStart w:id="0" w:name="bookmark0"/>
      <w:proofErr w:type="spellStart"/>
      <w:r>
        <w:t>Dalkia</w:t>
      </w:r>
      <w:proofErr w:type="spellEnd"/>
      <w:r>
        <w:t xml:space="preserve"> Morava, a.s., Ostrava, 28. října 3123/152, PSC: 709 74 Divize Olomouc, Tovární 44, 772 11 Olomouc</w:t>
      </w:r>
      <w:bookmarkEnd w:id="0"/>
    </w:p>
    <w:p w:rsidR="00224047" w:rsidRDefault="00C459F5">
      <w:pPr>
        <w:pStyle w:val="Zkladntext1"/>
        <w:framePr w:w="3067" w:h="392" w:wrap="none" w:vAnchor="text" w:hAnchor="margin" w:x="5826" w:y="876"/>
        <w:shd w:val="clear" w:color="auto" w:fill="auto"/>
        <w:rPr>
          <w:sz w:val="28"/>
          <w:szCs w:val="28"/>
        </w:rPr>
      </w:pPr>
      <w:r>
        <w:t xml:space="preserve">Evidenční číslo: </w:t>
      </w:r>
      <w:r>
        <w:rPr>
          <w:rFonts w:ascii="Book Antiqua" w:eastAsia="Book Antiqua" w:hAnsi="Book Antiqua" w:cs="Book Antiqua"/>
          <w:sz w:val="28"/>
          <w:szCs w:val="28"/>
        </w:rPr>
        <w:t>037971</w:t>
      </w:r>
    </w:p>
    <w:p w:rsidR="00224047" w:rsidRDefault="00C459F5">
      <w:pPr>
        <w:pStyle w:val="Zkladntext1"/>
        <w:framePr w:w="3485" w:h="990" w:wrap="none" w:vAnchor="text" w:hAnchor="margin" w:x="4721" w:y="1923"/>
        <w:shd w:val="clear" w:color="auto" w:fill="auto"/>
        <w:spacing w:line="228" w:lineRule="auto"/>
        <w:rPr>
          <w:sz w:val="22"/>
          <w:szCs w:val="22"/>
        </w:rPr>
      </w:pPr>
      <w:r>
        <w:rPr>
          <w:sz w:val="22"/>
          <w:szCs w:val="22"/>
        </w:rPr>
        <w:t>Střední odborné učiliště technické a obchodní Kosinová 4</w:t>
      </w:r>
    </w:p>
    <w:p w:rsidR="00224047" w:rsidRDefault="00C459F5">
      <w:pPr>
        <w:pStyle w:val="Zkladntext1"/>
        <w:framePr w:w="3485" w:h="990" w:wrap="none" w:vAnchor="text" w:hAnchor="margin" w:x="4721" w:y="1923"/>
        <w:shd w:val="clear" w:color="auto" w:fill="auto"/>
        <w:spacing w:line="228" w:lineRule="auto"/>
        <w:rPr>
          <w:sz w:val="22"/>
          <w:szCs w:val="22"/>
        </w:rPr>
      </w:pPr>
      <w:r>
        <w:rPr>
          <w:sz w:val="22"/>
          <w:szCs w:val="22"/>
        </w:rPr>
        <w:t>772 00 Olomouc</w:t>
      </w:r>
    </w:p>
    <w:p w:rsidR="00224047" w:rsidRDefault="00C459F5">
      <w:pPr>
        <w:pStyle w:val="Nadpis10"/>
        <w:keepNext/>
        <w:keepLines/>
        <w:framePr w:w="7891" w:h="1260" w:wrap="none" w:vAnchor="text" w:hAnchor="margin" w:x="174" w:y="3543"/>
        <w:shd w:val="clear" w:color="auto" w:fill="auto"/>
      </w:pPr>
      <w:bookmarkStart w:id="1" w:name="bookmark1"/>
      <w:r>
        <w:rPr>
          <w:rFonts w:ascii="Courier New" w:eastAsia="Courier New" w:hAnsi="Courier New" w:cs="Courier New"/>
          <w:smallCaps w:val="0"/>
          <w:sz w:val="46"/>
          <w:szCs w:val="46"/>
        </w:rPr>
        <w:t xml:space="preserve">REGULAČNÍ </w:t>
      </w:r>
      <w:r>
        <w:rPr>
          <w:lang w:val="en-US" w:eastAsia="en-US" w:bidi="en-US"/>
        </w:rPr>
        <w:t xml:space="preserve">plan </w:t>
      </w:r>
      <w:r>
        <w:t>odběru tepla</w:t>
      </w:r>
      <w:bookmarkEnd w:id="1"/>
    </w:p>
    <w:p w:rsidR="00224047" w:rsidRDefault="00C459F5">
      <w:pPr>
        <w:pStyle w:val="Zkladntext1"/>
        <w:framePr w:w="7891" w:h="1260" w:wrap="none" w:vAnchor="text" w:hAnchor="margin" w:x="174" w:y="3543"/>
        <w:shd w:val="clear" w:color="auto" w:fill="auto"/>
        <w:spacing w:after="240" w:line="228" w:lineRule="auto"/>
        <w:ind w:right="260"/>
        <w:jc w:val="right"/>
        <w:rPr>
          <w:sz w:val="22"/>
          <w:szCs w:val="22"/>
        </w:rPr>
      </w:pPr>
      <w:r>
        <w:t xml:space="preserve">pro odběrné místo: </w:t>
      </w:r>
      <w:r>
        <w:rPr>
          <w:b/>
          <w:bCs/>
          <w:sz w:val="22"/>
          <w:szCs w:val="22"/>
        </w:rPr>
        <w:t>0510-341/</w:t>
      </w:r>
    </w:p>
    <w:p w:rsidR="00224047" w:rsidRDefault="00C459F5">
      <w:pPr>
        <w:pStyle w:val="Zkladntext20"/>
        <w:framePr w:w="7891" w:h="1260" w:wrap="none" w:vAnchor="text" w:hAnchor="margin" w:x="174" w:y="3543"/>
        <w:shd w:val="clear" w:color="auto" w:fill="auto"/>
      </w:pPr>
      <w:r>
        <w:t xml:space="preserve">Název OM: </w:t>
      </w:r>
      <w:r>
        <w:rPr>
          <w:lang w:val="en-US" w:eastAsia="en-US" w:bidi="en-US"/>
        </w:rPr>
        <w:t>SOU tech.</w:t>
      </w:r>
      <w:r>
        <w:t xml:space="preserve">a </w:t>
      </w:r>
      <w:proofErr w:type="spellStart"/>
      <w:r>
        <w:t>obchodní</w:t>
      </w:r>
      <w:proofErr w:type="gramStart"/>
      <w:r>
        <w:t>,Kosinová</w:t>
      </w:r>
      <w:proofErr w:type="spellEnd"/>
      <w:proofErr w:type="gramEnd"/>
      <w:r>
        <w:t xml:space="preserve"> 4</w:t>
      </w:r>
    </w:p>
    <w:p w:rsidR="00224047" w:rsidRDefault="00C459F5">
      <w:pPr>
        <w:pStyle w:val="Zkladntext1"/>
        <w:framePr w:w="7711" w:h="1678" w:wrap="none" w:vAnchor="text" w:hAnchor="margin" w:x="163" w:y="5275"/>
        <w:shd w:val="clear" w:color="auto" w:fill="auto"/>
        <w:spacing w:line="252" w:lineRule="auto"/>
      </w:pPr>
      <w:r>
        <w:t>Regulační plán je součástí smlouvy na dodávku a odběr tepelné energie.</w:t>
      </w:r>
    </w:p>
    <w:p w:rsidR="00224047" w:rsidRDefault="00C459F5">
      <w:pPr>
        <w:pStyle w:val="Zkladntext1"/>
        <w:framePr w:w="7711" w:h="1678" w:wrap="none" w:vAnchor="text" w:hAnchor="margin" w:x="163" w:y="5275"/>
        <w:shd w:val="clear" w:color="auto" w:fill="auto"/>
        <w:spacing w:after="240" w:line="252" w:lineRule="auto"/>
      </w:pPr>
      <w:r>
        <w:t>Vychází z článku VI. a čl. VIII. odst. 5 "Dodacích podmínek". Rozepisuje omezení při vyhlášení regulačních opatření.</w:t>
      </w:r>
    </w:p>
    <w:p w:rsidR="00224047" w:rsidRDefault="00C459F5">
      <w:pPr>
        <w:pStyle w:val="Zkladntext1"/>
        <w:framePr w:w="7711" w:h="1678" w:wrap="none" w:vAnchor="text" w:hAnchor="margin" w:x="163" w:y="5275"/>
        <w:shd w:val="clear" w:color="auto" w:fill="auto"/>
        <w:spacing w:line="252" w:lineRule="auto"/>
      </w:pPr>
      <w:r>
        <w:t xml:space="preserve">Maximální </w:t>
      </w:r>
      <w:r>
        <w:t>sjednaný výkon před vyhlášením regulačního opatření je</w:t>
      </w:r>
    </w:p>
    <w:p w:rsidR="00224047" w:rsidRDefault="00C459F5">
      <w:pPr>
        <w:pStyle w:val="Zkladntext20"/>
        <w:framePr w:w="7711" w:h="1678" w:wrap="none" w:vAnchor="text" w:hAnchor="margin" w:x="163" w:y="5275"/>
        <w:shd w:val="clear" w:color="auto" w:fill="auto"/>
      </w:pPr>
      <w:r>
        <w:t>000.350 MW.</w:t>
      </w:r>
    </w:p>
    <w:p w:rsidR="00224047" w:rsidRDefault="00C459F5">
      <w:pPr>
        <w:pStyle w:val="Zkladntext1"/>
        <w:framePr w:w="1242" w:h="270" w:wrap="none" w:vAnchor="text" w:hAnchor="margin" w:x="167" w:y="7183"/>
        <w:shd w:val="clear" w:color="auto" w:fill="auto"/>
      </w:pPr>
      <w:proofErr w:type="spellStart"/>
      <w:proofErr w:type="gramStart"/>
      <w:r>
        <w:t>Reg</w:t>
      </w:r>
      <w:proofErr w:type="gramEnd"/>
      <w:r>
        <w:t>.</w:t>
      </w:r>
      <w:proofErr w:type="gramStart"/>
      <w:r>
        <w:t>stupeň</w:t>
      </w:r>
      <w:proofErr w:type="spellEnd"/>
      <w:proofErr w:type="gramEnd"/>
    </w:p>
    <w:p w:rsidR="00224047" w:rsidRDefault="00C459F5">
      <w:pPr>
        <w:pStyle w:val="Zkladntext1"/>
        <w:framePr w:w="781" w:h="270" w:wrap="none" w:vAnchor="text" w:hAnchor="margin" w:x="3878" w:y="7183"/>
        <w:shd w:val="clear" w:color="auto" w:fill="auto"/>
      </w:pPr>
      <w:r>
        <w:t>Význam</w:t>
      </w:r>
    </w:p>
    <w:p w:rsidR="00224047" w:rsidRDefault="00C459F5">
      <w:pPr>
        <w:pStyle w:val="Zkladntext1"/>
        <w:framePr w:w="7924" w:h="4360" w:wrap="none" w:vAnchor="text" w:hAnchor="margin" w:x="181" w:y="7651"/>
        <w:shd w:val="clear" w:color="auto" w:fill="auto"/>
        <w:tabs>
          <w:tab w:val="left" w:pos="1408"/>
        </w:tabs>
        <w:spacing w:line="230" w:lineRule="auto"/>
        <w:jc w:val="both"/>
      </w:pPr>
      <w:r>
        <w:rPr>
          <w:b/>
          <w:bCs/>
          <w:sz w:val="22"/>
          <w:szCs w:val="22"/>
        </w:rPr>
        <w:t>RS 0</w:t>
      </w:r>
      <w:r>
        <w:rPr>
          <w:b/>
          <w:bCs/>
          <w:sz w:val="22"/>
          <w:szCs w:val="22"/>
        </w:rPr>
        <w:tab/>
      </w:r>
      <w:r>
        <w:t>Normální provoz - odběr podle diagramu na dodávku</w:t>
      </w:r>
    </w:p>
    <w:p w:rsidR="00224047" w:rsidRDefault="00C459F5">
      <w:pPr>
        <w:pStyle w:val="Zkladntext1"/>
        <w:framePr w:w="7924" w:h="4360" w:wrap="none" w:vAnchor="text" w:hAnchor="margin" w:x="181" w:y="7651"/>
        <w:shd w:val="clear" w:color="auto" w:fill="auto"/>
        <w:spacing w:after="220" w:line="252" w:lineRule="auto"/>
        <w:ind w:left="1420"/>
      </w:pPr>
      <w:r>
        <w:t>a odběr tepla.</w:t>
      </w:r>
    </w:p>
    <w:p w:rsidR="00224047" w:rsidRDefault="00C459F5">
      <w:pPr>
        <w:pStyle w:val="Zkladntext1"/>
        <w:framePr w:w="7924" w:h="4360" w:wrap="none" w:vAnchor="text" w:hAnchor="margin" w:x="181" w:y="7651"/>
        <w:shd w:val="clear" w:color="auto" w:fill="auto"/>
        <w:tabs>
          <w:tab w:val="left" w:pos="1408"/>
        </w:tabs>
        <w:spacing w:line="230" w:lineRule="auto"/>
        <w:jc w:val="both"/>
      </w:pPr>
      <w:r>
        <w:rPr>
          <w:b/>
          <w:bCs/>
          <w:sz w:val="22"/>
          <w:szCs w:val="22"/>
        </w:rPr>
        <w:t>RS 1</w:t>
      </w:r>
      <w:r>
        <w:rPr>
          <w:b/>
          <w:bCs/>
          <w:sz w:val="22"/>
          <w:szCs w:val="22"/>
        </w:rPr>
        <w:tab/>
      </w:r>
      <w:r>
        <w:t>Snížení výstupní teploty uvedené v platném teplotním</w:t>
      </w:r>
    </w:p>
    <w:p w:rsidR="00224047" w:rsidRDefault="00C459F5">
      <w:pPr>
        <w:pStyle w:val="Zkladntext1"/>
        <w:framePr w:w="7924" w:h="4360" w:wrap="none" w:vAnchor="text" w:hAnchor="margin" w:x="181" w:y="7651"/>
        <w:shd w:val="clear" w:color="auto" w:fill="auto"/>
        <w:spacing w:after="220" w:line="252" w:lineRule="auto"/>
        <w:ind w:left="1420"/>
      </w:pPr>
      <w:r>
        <w:t>diagramu pro provoz sekundární otopné soust</w:t>
      </w:r>
      <w:r>
        <w:t xml:space="preserve">avy o </w:t>
      </w:r>
      <w:r w:rsidR="00187613" w:rsidRPr="00FC02A4">
        <w:rPr>
          <w:highlight w:val="black"/>
        </w:rPr>
        <w:t>…</w:t>
      </w:r>
      <w:proofErr w:type="gramStart"/>
      <w:r w:rsidR="00187613" w:rsidRPr="00FC02A4">
        <w:rPr>
          <w:highlight w:val="black"/>
        </w:rPr>
        <w:t>….</w:t>
      </w:r>
      <w:r>
        <w:t>%.</w:t>
      </w:r>
      <w:proofErr w:type="gramEnd"/>
    </w:p>
    <w:p w:rsidR="00224047" w:rsidRDefault="00C459F5">
      <w:pPr>
        <w:pStyle w:val="Zkladntext1"/>
        <w:framePr w:w="7924" w:h="4360" w:wrap="none" w:vAnchor="text" w:hAnchor="margin" w:x="181" w:y="7651"/>
        <w:shd w:val="clear" w:color="auto" w:fill="auto"/>
        <w:tabs>
          <w:tab w:val="left" w:pos="1411"/>
        </w:tabs>
        <w:spacing w:line="230" w:lineRule="auto"/>
        <w:jc w:val="both"/>
      </w:pPr>
      <w:r>
        <w:rPr>
          <w:b/>
          <w:bCs/>
          <w:sz w:val="22"/>
          <w:szCs w:val="22"/>
        </w:rPr>
        <w:t>RS 2</w:t>
      </w:r>
      <w:r>
        <w:rPr>
          <w:b/>
          <w:bCs/>
          <w:sz w:val="22"/>
          <w:szCs w:val="22"/>
        </w:rPr>
        <w:tab/>
      </w:r>
      <w:r>
        <w:t>Snížení výstupní teploty uvedené v platném teplotním</w:t>
      </w:r>
    </w:p>
    <w:p w:rsidR="00224047" w:rsidRDefault="00C459F5">
      <w:pPr>
        <w:pStyle w:val="Zkladntext1"/>
        <w:framePr w:w="7924" w:h="4360" w:wrap="none" w:vAnchor="text" w:hAnchor="margin" w:x="181" w:y="7651"/>
        <w:shd w:val="clear" w:color="auto" w:fill="auto"/>
        <w:spacing w:after="220" w:line="252" w:lineRule="auto"/>
        <w:ind w:left="1420"/>
      </w:pPr>
      <w:r>
        <w:t xml:space="preserve">diagramu pro provoz sekundární otopné soustavy o </w:t>
      </w:r>
      <w:r w:rsidR="00187613" w:rsidRPr="00FC02A4">
        <w:rPr>
          <w:highlight w:val="black"/>
        </w:rPr>
        <w:t>…</w:t>
      </w:r>
      <w:proofErr w:type="gramStart"/>
      <w:r w:rsidR="00187613" w:rsidRPr="00FC02A4">
        <w:rPr>
          <w:highlight w:val="black"/>
        </w:rPr>
        <w:t>….</w:t>
      </w:r>
      <w:r>
        <w:t>%.</w:t>
      </w:r>
      <w:proofErr w:type="gramEnd"/>
    </w:p>
    <w:p w:rsidR="00224047" w:rsidRDefault="00C459F5">
      <w:pPr>
        <w:pStyle w:val="Zkladntext1"/>
        <w:framePr w:w="7924" w:h="4360" w:wrap="none" w:vAnchor="text" w:hAnchor="margin" w:x="181" w:y="7651"/>
        <w:shd w:val="clear" w:color="auto" w:fill="auto"/>
        <w:tabs>
          <w:tab w:val="left" w:pos="1411"/>
        </w:tabs>
        <w:spacing w:line="228" w:lineRule="auto"/>
        <w:jc w:val="both"/>
      </w:pPr>
      <w:r>
        <w:rPr>
          <w:b/>
          <w:bCs/>
          <w:sz w:val="22"/>
          <w:szCs w:val="22"/>
        </w:rPr>
        <w:t>RS 3</w:t>
      </w:r>
      <w:r>
        <w:rPr>
          <w:b/>
          <w:bCs/>
          <w:sz w:val="22"/>
          <w:szCs w:val="22"/>
        </w:rPr>
        <w:tab/>
      </w:r>
      <w:r>
        <w:t>Snížení výstupní teploty uvedené v platném teplotním</w:t>
      </w:r>
    </w:p>
    <w:p w:rsidR="00224047" w:rsidRDefault="00C459F5">
      <w:pPr>
        <w:pStyle w:val="Zkladntext1"/>
        <w:framePr w:w="7924" w:h="4360" w:wrap="none" w:vAnchor="text" w:hAnchor="margin" w:x="181" w:y="7651"/>
        <w:shd w:val="clear" w:color="auto" w:fill="auto"/>
        <w:spacing w:after="220" w:line="252" w:lineRule="auto"/>
        <w:ind w:left="1420"/>
      </w:pPr>
      <w:r>
        <w:t xml:space="preserve">diagramu pro provoz sekundární otopné soustavy o </w:t>
      </w:r>
      <w:r w:rsidR="00187613" w:rsidRPr="00FC02A4">
        <w:rPr>
          <w:highlight w:val="black"/>
        </w:rPr>
        <w:t>…</w:t>
      </w:r>
      <w:proofErr w:type="gramStart"/>
      <w:r w:rsidR="00187613" w:rsidRPr="00FC02A4">
        <w:rPr>
          <w:highlight w:val="black"/>
        </w:rPr>
        <w:t>….</w:t>
      </w:r>
      <w:r>
        <w:t>%.</w:t>
      </w:r>
      <w:proofErr w:type="gramEnd"/>
      <w:r>
        <w:t xml:space="preserve"> Snížení odebíraného </w:t>
      </w:r>
      <w:r>
        <w:t>výkonu pro technologickou spotřebu o 30% proti sjednanému výkonu.</w:t>
      </w:r>
    </w:p>
    <w:p w:rsidR="00224047" w:rsidRDefault="00C459F5">
      <w:pPr>
        <w:pStyle w:val="Zkladntext1"/>
        <w:framePr w:w="7924" w:h="4360" w:wrap="none" w:vAnchor="text" w:hAnchor="margin" w:x="181" w:y="7651"/>
        <w:shd w:val="clear" w:color="auto" w:fill="auto"/>
        <w:tabs>
          <w:tab w:val="left" w:pos="1411"/>
        </w:tabs>
        <w:spacing w:line="230" w:lineRule="auto"/>
        <w:jc w:val="both"/>
      </w:pPr>
      <w:r>
        <w:rPr>
          <w:b/>
          <w:bCs/>
          <w:sz w:val="22"/>
          <w:szCs w:val="22"/>
        </w:rPr>
        <w:t>RS 4</w:t>
      </w:r>
      <w:r>
        <w:rPr>
          <w:b/>
          <w:bCs/>
          <w:sz w:val="22"/>
          <w:szCs w:val="22"/>
        </w:rPr>
        <w:tab/>
      </w:r>
      <w:r>
        <w:t>Snížení výstupní teploty uvedené v platném teplotním</w:t>
      </w:r>
    </w:p>
    <w:p w:rsidR="00224047" w:rsidRDefault="00C459F5">
      <w:pPr>
        <w:pStyle w:val="Zkladntext1"/>
        <w:framePr w:w="7924" w:h="4360" w:wrap="none" w:vAnchor="text" w:hAnchor="margin" w:x="181" w:y="7651"/>
        <w:shd w:val="clear" w:color="auto" w:fill="auto"/>
        <w:spacing w:after="100" w:line="254" w:lineRule="auto"/>
        <w:ind w:left="1420"/>
      </w:pPr>
      <w:r>
        <w:t xml:space="preserve">diagramu pro provoz sekundární otopné soustavy o </w:t>
      </w:r>
      <w:r w:rsidR="00187613" w:rsidRPr="00FC02A4">
        <w:rPr>
          <w:highlight w:val="black"/>
        </w:rPr>
        <w:t>…</w:t>
      </w:r>
      <w:proofErr w:type="gramStart"/>
      <w:r w:rsidR="00187613" w:rsidRPr="00FC02A4">
        <w:rPr>
          <w:highlight w:val="black"/>
        </w:rPr>
        <w:t>….</w:t>
      </w:r>
      <w:r>
        <w:t>%.</w:t>
      </w:r>
      <w:proofErr w:type="gramEnd"/>
      <w:r>
        <w:t xml:space="preserve"> Snížení odebíraného výkonu pro technologickou spotřebu o 40% proti sjednanému </w:t>
      </w:r>
      <w:r>
        <w:t>výkonu.</w:t>
      </w:r>
    </w:p>
    <w:p w:rsidR="00224047" w:rsidRDefault="00C459F5">
      <w:pPr>
        <w:pStyle w:val="Nadpis30"/>
        <w:keepNext/>
        <w:keepLines/>
        <w:framePr w:w="655" w:h="292" w:wrap="none" w:vAnchor="text" w:hAnchor="margin" w:x="145" w:y="12194"/>
        <w:shd w:val="clear" w:color="auto" w:fill="auto"/>
      </w:pPr>
      <w:bookmarkStart w:id="2" w:name="bookmark2"/>
      <w:r>
        <w:t>RS 5</w:t>
      </w:r>
      <w:bookmarkEnd w:id="2"/>
    </w:p>
    <w:p w:rsidR="00224047" w:rsidRDefault="00C459F5">
      <w:pPr>
        <w:pStyle w:val="Titulekobrzku0"/>
        <w:framePr w:w="1008" w:h="479" w:wrap="none" w:vAnchor="text" w:hAnchor="margin" w:x="2" w:y="13663"/>
        <w:shd w:val="clear" w:color="auto" w:fill="auto"/>
      </w:pPr>
      <w:r>
        <w:t>Olomouc</w:t>
      </w:r>
    </w:p>
    <w:p w:rsidR="00224047" w:rsidRDefault="00224047">
      <w:pPr>
        <w:pStyle w:val="Titulekobrzku0"/>
        <w:framePr w:w="1008" w:h="479" w:wrap="none" w:vAnchor="text" w:hAnchor="margin" w:x="2" w:y="13663"/>
        <w:shd w:val="clear" w:color="auto" w:fill="auto"/>
        <w:spacing w:line="204" w:lineRule="auto"/>
        <w:jc w:val="right"/>
        <w:rPr>
          <w:sz w:val="22"/>
          <w:szCs w:val="22"/>
        </w:rPr>
      </w:pPr>
    </w:p>
    <w:p w:rsidR="00224047" w:rsidRDefault="00224047">
      <w:pPr>
        <w:pStyle w:val="Titulekobrzku0"/>
        <w:framePr w:w="1771" w:h="274" w:wrap="none" w:vAnchor="text" w:hAnchor="margin" w:x="1060" w:y="14365"/>
        <w:shd w:val="clear" w:color="auto" w:fill="auto"/>
      </w:pPr>
    </w:p>
    <w:p w:rsidR="00224047" w:rsidRDefault="00C459F5" w:rsidP="00187613">
      <w:pPr>
        <w:pStyle w:val="Zkladntext1"/>
        <w:framePr w:w="7841" w:h="1428" w:wrap="none" w:vAnchor="text" w:hAnchor="margin" w:x="1556" w:y="12202"/>
        <w:shd w:val="clear" w:color="auto" w:fill="auto"/>
        <w:jc w:val="both"/>
      </w:pPr>
      <w:r>
        <w:t>Havarijní provoz.</w:t>
      </w:r>
    </w:p>
    <w:p w:rsidR="00224047" w:rsidRDefault="00C459F5" w:rsidP="00187613">
      <w:pPr>
        <w:pStyle w:val="Zkladntext1"/>
        <w:framePr w:w="7841" w:h="1428" w:wrap="none" w:vAnchor="text" w:hAnchor="margin" w:x="1556" w:y="12202"/>
        <w:shd w:val="clear" w:color="auto" w:fill="auto"/>
        <w:jc w:val="both"/>
      </w:pPr>
      <w:r>
        <w:t>Snížení výstupní teploty uvedené v platném teplotním</w:t>
      </w:r>
    </w:p>
    <w:p w:rsidR="00224047" w:rsidRDefault="00C459F5" w:rsidP="00187613">
      <w:pPr>
        <w:pStyle w:val="Zkladntext1"/>
        <w:framePr w:w="7841" w:h="1428" w:wrap="none" w:vAnchor="text" w:hAnchor="margin" w:x="1556" w:y="12202"/>
        <w:shd w:val="clear" w:color="auto" w:fill="auto"/>
        <w:jc w:val="both"/>
      </w:pPr>
      <w:r>
        <w:t xml:space="preserve">diagramu pro provoz sekundární otopné soustavy o </w:t>
      </w:r>
      <w:r w:rsidR="00187613" w:rsidRPr="00FC02A4">
        <w:rPr>
          <w:highlight w:val="black"/>
        </w:rPr>
        <w:t>…</w:t>
      </w:r>
      <w:proofErr w:type="gramStart"/>
      <w:r w:rsidR="00187613" w:rsidRPr="00FC02A4">
        <w:rPr>
          <w:highlight w:val="black"/>
        </w:rPr>
        <w:t>….</w:t>
      </w:r>
      <w:r>
        <w:t>%</w:t>
      </w:r>
      <w:proofErr w:type="gramEnd"/>
    </w:p>
    <w:p w:rsidR="00224047" w:rsidRDefault="00C459F5" w:rsidP="00187613">
      <w:pPr>
        <w:pStyle w:val="Zkladntext1"/>
        <w:framePr w:w="7841" w:h="1428" w:wrap="none" w:vAnchor="text" w:hAnchor="margin" w:x="1556" w:y="12202"/>
        <w:shd w:val="clear" w:color="auto" w:fill="auto"/>
        <w:jc w:val="both"/>
      </w:pPr>
      <w:r>
        <w:t xml:space="preserve">a přerušení dodávek tepla pro přípravu </w:t>
      </w:r>
      <w:proofErr w:type="spellStart"/>
      <w:r>
        <w:t>tepl§</w:t>
      </w:r>
      <w:r>
        <w:rPr>
          <w:vertAlign w:val="subscript"/>
        </w:rPr>
        <w:t>t</w:t>
      </w:r>
      <w:proofErr w:type="spellEnd"/>
      <w:r>
        <w:t>^£</w:t>
      </w:r>
      <w:proofErr w:type="spellStart"/>
      <w:r>
        <w:t>kcjý</w:t>
      </w:r>
      <w:proofErr w:type="spellEnd"/>
      <w:r>
        <w:t xml:space="preserve">^ </w:t>
      </w:r>
      <w:r>
        <w:rPr>
          <w:vertAlign w:val="subscript"/>
        </w:rPr>
        <w:t xml:space="preserve">0 </w:t>
      </w:r>
      <w:proofErr w:type="spellStart"/>
      <w:r>
        <w:rPr>
          <w:vertAlign w:val="subscript"/>
        </w:rPr>
        <w:t>rn</w:t>
      </w:r>
      <w:proofErr w:type="spellEnd"/>
      <w:r>
        <w:rPr>
          <w:vertAlign w:val="subscript"/>
        </w:rPr>
        <w:t xml:space="preserve"> é</w:t>
      </w:r>
    </w:p>
    <w:p w:rsidR="00224047" w:rsidRDefault="00C459F5" w:rsidP="00187613">
      <w:pPr>
        <w:pStyle w:val="Zkladntext30"/>
        <w:framePr w:w="7841" w:h="1428" w:wrap="none" w:vAnchor="text" w:hAnchor="margin" w:x="1556" w:y="12202"/>
        <w:shd w:val="clear" w:color="auto" w:fill="auto"/>
        <w:tabs>
          <w:tab w:val="left" w:pos="5332"/>
        </w:tabs>
        <w:ind w:left="0"/>
        <w:jc w:val="both"/>
      </w:pPr>
      <w:r>
        <w:rPr>
          <w:vertAlign w:val="superscript"/>
        </w:rPr>
        <w:t>vody</w:t>
      </w:r>
      <w:r>
        <w:t>-</w:t>
      </w:r>
      <w:r>
        <w:tab/>
      </w:r>
    </w:p>
    <w:p w:rsidR="00224047" w:rsidRDefault="00C459F5">
      <w:pPr>
        <w:pStyle w:val="Zkladntext1"/>
        <w:framePr w:w="1649" w:h="230" w:wrap="none" w:vAnchor="text" w:hAnchor="margin" w:x="5761" w:y="14408"/>
        <w:pBdr>
          <w:top w:val="single" w:sz="4" w:space="0" w:color="auto"/>
        </w:pBdr>
        <w:shd w:val="clear" w:color="auto" w:fill="auto"/>
      </w:pPr>
      <w:r>
        <w:t>Za odběratele</w:t>
      </w:r>
    </w:p>
    <w:p w:rsidR="00224047" w:rsidRDefault="00187613">
      <w:pPr>
        <w:pStyle w:val="Zkladntext1"/>
        <w:framePr w:w="1958" w:h="526" w:wrap="none" w:vAnchor="text" w:hAnchor="margin" w:x="998" w:y="14639"/>
        <w:shd w:val="clear" w:color="auto" w:fill="auto"/>
        <w:spacing w:line="257" w:lineRule="auto"/>
        <w:jc w:val="center"/>
      </w:pPr>
      <w:r w:rsidRPr="00FC02A4">
        <w:rPr>
          <w:highlight w:val="black"/>
        </w:rPr>
        <w:t>…….…….…….…….</w:t>
      </w:r>
      <w:r w:rsidR="00C459F5">
        <w:br/>
        <w:t>ředitel divize</w:t>
      </w:r>
    </w:p>
    <w:p w:rsidR="00187613" w:rsidRDefault="00187613">
      <w:pPr>
        <w:pStyle w:val="Zkladntext1"/>
        <w:framePr w:w="2837" w:h="526" w:wrap="none" w:vAnchor="text" w:hAnchor="margin" w:x="4919" w:y="14700"/>
        <w:shd w:val="clear" w:color="auto" w:fill="auto"/>
        <w:spacing w:line="233" w:lineRule="auto"/>
        <w:ind w:left="440" w:hanging="440"/>
      </w:pPr>
      <w:r w:rsidRPr="00FC02A4">
        <w:rPr>
          <w:highlight w:val="black"/>
        </w:rPr>
        <w:t>…….…….…….…….</w:t>
      </w:r>
    </w:p>
    <w:p w:rsidR="00224047" w:rsidRDefault="00C459F5">
      <w:pPr>
        <w:pStyle w:val="Zkladntext1"/>
        <w:framePr w:w="2837" w:h="526" w:wrap="none" w:vAnchor="text" w:hAnchor="margin" w:x="4919" w:y="14700"/>
        <w:shd w:val="clear" w:color="auto" w:fill="auto"/>
        <w:spacing w:line="233" w:lineRule="auto"/>
        <w:ind w:left="440" w:hanging="440"/>
        <w:rPr>
          <w:sz w:val="22"/>
          <w:szCs w:val="22"/>
        </w:rPr>
      </w:pPr>
      <w:r>
        <w:rPr>
          <w:sz w:val="22"/>
          <w:szCs w:val="22"/>
        </w:rPr>
        <w:t xml:space="preserve">ředitel </w:t>
      </w:r>
      <w:proofErr w:type="spellStart"/>
      <w:r>
        <w:rPr>
          <w:sz w:val="22"/>
          <w:szCs w:val="22"/>
        </w:rPr>
        <w:t>SOU^ť</w:t>
      </w:r>
      <w:proofErr w:type="spellEnd"/>
      <w:r>
        <w:rPr>
          <w:sz w:val="22"/>
          <w:szCs w:val="22"/>
        </w:rPr>
        <w:t xml:space="preserve"> 0</w:t>
      </w: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360" w:lineRule="exact"/>
      </w:pPr>
    </w:p>
    <w:p w:rsidR="00224047" w:rsidRDefault="00224047">
      <w:pPr>
        <w:spacing w:line="14" w:lineRule="exact"/>
      </w:pPr>
      <w:bookmarkStart w:id="3" w:name="_GoBack"/>
      <w:bookmarkEnd w:id="3"/>
    </w:p>
    <w:sectPr w:rsidR="00224047">
      <w:footerReference w:type="default" r:id="rId7"/>
      <w:pgSz w:w="11900" w:h="16840"/>
      <w:pgMar w:top="78" w:right="1104" w:bottom="2661" w:left="13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9F5" w:rsidRDefault="00C459F5">
      <w:r>
        <w:separator/>
      </w:r>
    </w:p>
  </w:endnote>
  <w:endnote w:type="continuationSeparator" w:id="0">
    <w:p w:rsidR="00C459F5" w:rsidRDefault="00C4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047" w:rsidRDefault="00C459F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5261610</wp:posOffset>
              </wp:positionH>
              <wp:positionV relativeFrom="page">
                <wp:posOffset>8940165</wp:posOffset>
              </wp:positionV>
              <wp:extent cx="185420" cy="2330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" cy="2330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4047" w:rsidRDefault="00C459F5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50"/>
                              <w:szCs w:val="50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14.3pt;margin-top:703.95pt;width:14.6pt;height:18.3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" filled="f" stroked="f">
              <v:textbox style="mso-fit-shape-to-text:t" inset="0,0,0,0">
                <w:txbxContent>
                  <w:p w:rsidR="00224047" w:rsidRDefault="00C459F5">
                    <w:pPr>
                      <w:pStyle w:val="Zhlavnebozpat20"/>
                      <w:shd w:val="clear" w:color="auto" w:fill="auto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50"/>
                        <w:szCs w:val="5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9F5" w:rsidRDefault="00C459F5"/>
  </w:footnote>
  <w:footnote w:type="continuationSeparator" w:id="0">
    <w:p w:rsidR="00C459F5" w:rsidRDefault="00C459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24047"/>
    <w:rsid w:val="00187613"/>
    <w:rsid w:val="00224047"/>
    <w:rsid w:val="00C4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50"/>
      <w:szCs w:val="5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06" w:lineRule="auto"/>
      <w:ind w:left="220" w:hanging="2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mallCaps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98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50"/>
      <w:szCs w:val="5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06" w:lineRule="auto"/>
      <w:ind w:left="220" w:hanging="2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mallCaps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98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2018-01-12T14:42:00Z</dcterms:created>
  <dcterms:modified xsi:type="dcterms:W3CDTF">2018-01-12T14:44:00Z</dcterms:modified>
</cp:coreProperties>
</file>