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D1" w:rsidRDefault="00CE2022">
      <w:pPr>
        <w:spacing w:after="0" w:line="223" w:lineRule="auto"/>
        <w:ind w:left="3392" w:right="2835" w:hanging="485"/>
      </w:pPr>
      <w:bookmarkStart w:id="0" w:name="_GoBack"/>
      <w:bookmarkEnd w:id="0"/>
      <w:r>
        <w:rPr>
          <w:sz w:val="20"/>
        </w:rPr>
        <w:t>Zdravotní ústav se sídlem v Ústí nad Labem lč: 71009361, DIČ: CZ71009361</w:t>
      </w:r>
    </w:p>
    <w:p w:rsidR="005E14D1" w:rsidRDefault="00CE2022">
      <w:pPr>
        <w:ind w:left="2835" w:firstLine="79"/>
      </w:pPr>
      <w:r>
        <w:t>Moskevská 1531/15, 400 OI Ústí nad Labem zastoupený Ing. Pavlem Bernáthem, ředitelem (dále též jen ”pronajímatel”)</w:t>
      </w:r>
    </w:p>
    <w:p w:rsidR="005E14D1" w:rsidRDefault="00CE2022">
      <w:pPr>
        <w:spacing w:after="156" w:line="259" w:lineRule="auto"/>
        <w:ind w:left="0" w:right="86" w:firstLine="0"/>
        <w:jc w:val="center"/>
      </w:pPr>
      <w:r>
        <w:rPr>
          <w:sz w:val="22"/>
        </w:rPr>
        <w:t>a</w:t>
      </w:r>
    </w:p>
    <w:p w:rsidR="005E14D1" w:rsidRDefault="00CE2022">
      <w:pPr>
        <w:spacing w:after="0" w:line="259" w:lineRule="auto"/>
        <w:ind w:left="600" w:right="669" w:hanging="10"/>
        <w:jc w:val="center"/>
      </w:pPr>
      <w:r>
        <w:rPr>
          <w:sz w:val="20"/>
        </w:rPr>
        <w:t>NH Hospital, a.s.</w:t>
      </w:r>
    </w:p>
    <w:p w:rsidR="005E14D1" w:rsidRDefault="00CE2022">
      <w:pPr>
        <w:spacing w:after="0" w:line="264" w:lineRule="auto"/>
        <w:ind w:left="2204" w:right="2266" w:hanging="10"/>
        <w:jc w:val="center"/>
      </w:pPr>
      <w:r>
        <w:t>It: 27872963 DIČ: CZ27872963</w:t>
      </w:r>
    </w:p>
    <w:p w:rsidR="005E14D1" w:rsidRDefault="00CE2022">
      <w:pPr>
        <w:spacing w:after="0" w:line="264" w:lineRule="auto"/>
        <w:ind w:left="2204" w:right="2223" w:hanging="10"/>
        <w:jc w:val="center"/>
      </w:pPr>
      <w:r>
        <w:t xml:space="preserve">Okruhová 1135/44, 155 OO Praha 13, Stodůlky zapsaná v OR u Městského soudu v Praze, oddíl B, vložka 13753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673" name="Picture 2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3" name="Picture 26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zastoupená MUDr. Michalem Průšou, MBA, ředitelem</w:t>
      </w:r>
    </w:p>
    <w:p w:rsidR="005E14D1" w:rsidRDefault="00CE2022">
      <w:pPr>
        <w:spacing w:after="2358" w:line="264" w:lineRule="auto"/>
        <w:ind w:left="2204" w:right="2259" w:hanging="10"/>
        <w:jc w:val="center"/>
      </w:pPr>
      <w:r>
        <w:t>(dále též jen "nájemce”)</w:t>
      </w:r>
    </w:p>
    <w:p w:rsidR="005E14D1" w:rsidRDefault="00CE2022">
      <w:pPr>
        <w:spacing w:after="0" w:line="223" w:lineRule="auto"/>
        <w:ind w:left="3490" w:right="14" w:firstLine="66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-785908</wp:posOffset>
                </wp:positionH>
                <wp:positionV relativeFrom="paragraph">
                  <wp:posOffset>-1212746</wp:posOffset>
                </wp:positionV>
                <wp:extent cx="5259192" cy="1749580"/>
                <wp:effectExtent l="0" t="0" r="0" b="0"/>
                <wp:wrapSquare wrapText="bothSides"/>
                <wp:docPr id="26539" name="Group 26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9192" cy="1749580"/>
                          <a:chOff x="0" y="0"/>
                          <a:chExt cx="5259192" cy="1749580"/>
                        </a:xfrm>
                      </wpg:grpSpPr>
                      <pic:pic xmlns:pic="http://schemas.openxmlformats.org/drawingml/2006/picture">
                        <pic:nvPicPr>
                          <pic:cNvPr id="27021" name="Picture 270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40"/>
                            <a:ext cx="4564669" cy="1525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Rectangle 85"/>
                        <wps:cNvSpPr/>
                        <wps:spPr>
                          <a:xfrm>
                            <a:off x="3358390" y="0"/>
                            <a:ext cx="559092" cy="14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uzavírají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778759" y="0"/>
                            <a:ext cx="267392" cy="139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tuto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614267" y="296926"/>
                            <a:ext cx="1350890" cy="249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4"/>
                                </w:rPr>
                                <w:t xml:space="preserve">nebytových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646915" y="296926"/>
                            <a:ext cx="814329" cy="249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4"/>
                                </w:rPr>
                                <w:t>prostor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020929" y="941027"/>
                            <a:ext cx="856869" cy="13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nepotřebnost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85909" y="1507471"/>
                            <a:ext cx="366402" cy="133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1395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64632" y="1507471"/>
                            <a:ext cx="364625" cy="139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(dále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338787" y="1502903"/>
                            <a:ext cx="267392" cy="14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jen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539833" y="1502903"/>
                            <a:ext cx="759636" cy="13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„budova”),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110988" y="1502903"/>
                            <a:ext cx="200544" cy="13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261773" y="1502903"/>
                            <a:ext cx="269169" cy="139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vše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467388" y="1502903"/>
                            <a:ext cx="577323" cy="139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zapsáno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901466" y="1502903"/>
                            <a:ext cx="133696" cy="13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785909" y="1644514"/>
                            <a:ext cx="858646" cy="139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katastrálním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448448" y="1639946"/>
                            <a:ext cx="840415" cy="139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pracovištěm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092711" y="1639946"/>
                            <a:ext cx="415019" cy="13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Velká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417127" y="1639946"/>
                            <a:ext cx="439328" cy="13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Víska,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764389" y="1639946"/>
                            <a:ext cx="208398" cy="13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4D1" w:rsidRDefault="00CE20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539" style="width:414.11pt;height:137.762pt;position:absolute;mso-position-horizontal-relative:text;mso-position-horizontal:absolute;margin-left:-61.8826pt;mso-position-vertical-relative:text;margin-top:-95.4919pt;" coordsize="52591,17495">
                <v:shape id="Picture 27021" style="position:absolute;width:45646;height:15257;left:0;top:228;" filled="f">
                  <v:imagedata r:id="rId9"/>
                </v:shape>
                <v:rect id="Rectangle 85" style="position:absolute;width:5590;height:1458;left:3358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uzavírají </w:t>
                        </w:r>
                      </w:p>
                    </w:txbxContent>
                  </v:textbox>
                </v:rect>
                <v:rect id="Rectangle 86" style="position:absolute;width:2673;height:1397;left:3778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tuto</w:t>
                        </w:r>
                      </w:p>
                    </w:txbxContent>
                  </v:textbox>
                </v:rect>
                <v:rect id="Rectangle 90" style="position:absolute;width:13508;height:2490;left:36142;top:2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4"/>
                          </w:rPr>
                          <w:t xml:space="preserve">nebytových </w:t>
                        </w:r>
                      </w:p>
                    </w:txbxContent>
                  </v:textbox>
                </v:rect>
                <v:rect id="Rectangle 91" style="position:absolute;width:8143;height:2490;left:46469;top:2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4"/>
                          </w:rPr>
                          <w:t xml:space="preserve">prostor</w:t>
                        </w:r>
                      </w:p>
                    </w:txbxContent>
                  </v:textbox>
                </v:rect>
                <v:rect id="Rectangle 98" style="position:absolute;width:8568;height:1397;left:40209;top:9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nepotřebnost</w:t>
                        </w:r>
                      </w:p>
                    </w:txbxContent>
                  </v:textbox>
                </v:rect>
                <v:rect id="Rectangle 135" style="position:absolute;width:3664;height:1336;left:7859;top:15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1395 </w:t>
                        </w:r>
                      </w:p>
                    </w:txbxContent>
                  </v:textbox>
                </v:rect>
                <v:rect id="Rectangle 136" style="position:absolute;width:3646;height:1397;left:10646;top:15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(dále </w:t>
                        </w:r>
                      </w:p>
                    </w:txbxContent>
                  </v:textbox>
                </v:rect>
                <v:rect id="Rectangle 137" style="position:absolute;width:2673;height:1458;left:13387;top:15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jen </w:t>
                        </w:r>
                      </w:p>
                    </w:txbxContent>
                  </v:textbox>
                </v:rect>
                <v:rect id="Rectangle 138" style="position:absolute;width:7596;height:1397;left:15398;top:15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„budova”), </w:t>
                        </w:r>
                      </w:p>
                    </w:txbxContent>
                  </v:textbox>
                </v:rect>
                <v:rect id="Rectangle 139" style="position:absolute;width:2005;height:1397;left:21109;top:15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to </w:t>
                        </w:r>
                      </w:p>
                    </w:txbxContent>
                  </v:textbox>
                </v:rect>
                <v:rect id="Rectangle 140" style="position:absolute;width:2691;height:1397;left:22617;top:15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vše </w:t>
                        </w:r>
                      </w:p>
                    </w:txbxContent>
                  </v:textbox>
                </v:rect>
                <v:rect id="Rectangle 141" style="position:absolute;width:5773;height:1397;left:24673;top:15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zapsáno </w:t>
                        </w:r>
                      </w:p>
                    </w:txbxContent>
                  </v:textbox>
                </v:rect>
                <v:rect id="Rectangle 142" style="position:absolute;width:1336;height:1397;left:29014;top:15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151" style="position:absolute;width:8586;height:1397;left:7859;top:16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katastrálním </w:t>
                        </w:r>
                      </w:p>
                    </w:txbxContent>
                  </v:textbox>
                </v:rect>
                <v:rect id="Rectangle 152" style="position:absolute;width:8404;height:1397;left:14484;top:16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pracovištěm </w:t>
                        </w:r>
                      </w:p>
                    </w:txbxContent>
                  </v:textbox>
                </v:rect>
                <v:rect id="Rectangle 153" style="position:absolute;width:4150;height:1397;left:20927;top:16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Velká </w:t>
                        </w:r>
                      </w:p>
                    </w:txbxContent>
                  </v:textbox>
                </v:rect>
                <v:rect id="Rectangle 154" style="position:absolute;width:4393;height:1397;left:24171;top:16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Víska, </w:t>
                        </w:r>
                      </w:p>
                    </w:txbxContent>
                  </v:textbox>
                </v:rect>
                <v:rect id="Rectangle 155" style="position:absolute;width:2083;height:1397;left:27643;top:16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na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>České republiky, a to pozemkem p. č. 67/3 v obci Hořovice, součástí je stavba občanské vybavenosti — budova č. p. Katastru nemovitostí vedeném Katastrálním úřadem pro obec Hořovice,</w:t>
      </w:r>
    </w:p>
    <w:p w:rsidR="005E14D1" w:rsidRDefault="00CE2022">
      <w:pPr>
        <w:spacing w:after="431" w:line="223" w:lineRule="auto"/>
        <w:ind w:left="-1" w:right="14" w:firstLine="3396"/>
      </w:pPr>
      <w:r>
        <w:rPr>
          <w:sz w:val="20"/>
        </w:rPr>
        <w:t>LV č. 2112 pro obec Hořovice, katastrální území Velká Víska. Pozemek s budovou se nachází v areálu Nemocnice Hořovice na adrese K Nemocnici 1106, Hořovice.</w:t>
      </w:r>
    </w:p>
    <w:p w:rsidR="005E14D1" w:rsidRDefault="00CE2022">
      <w:pPr>
        <w:spacing w:after="0" w:line="259" w:lineRule="auto"/>
        <w:ind w:left="600" w:right="619" w:hanging="10"/>
        <w:jc w:val="center"/>
      </w:pPr>
      <w:r>
        <w:rPr>
          <w:sz w:val="20"/>
        </w:rPr>
        <w:t>Článek Il.</w:t>
      </w:r>
    </w:p>
    <w:p w:rsidR="005E14D1" w:rsidRDefault="00CE2022">
      <w:pPr>
        <w:spacing w:after="211" w:line="259" w:lineRule="auto"/>
        <w:ind w:left="600" w:right="612" w:hanging="10"/>
        <w:jc w:val="center"/>
      </w:pPr>
      <w:r>
        <w:rPr>
          <w:sz w:val="20"/>
        </w:rPr>
        <w:t>Předmět nájmu</w:t>
      </w:r>
    </w:p>
    <w:p w:rsidR="005E14D1" w:rsidRDefault="00CE2022">
      <w:pPr>
        <w:ind w:left="741" w:right="14" w:hanging="475"/>
      </w:pPr>
      <w:r>
        <w:rPr>
          <w:noProof/>
        </w:rPr>
        <w:drawing>
          <wp:inline distT="0" distB="0" distL="0" distR="0">
            <wp:extent cx="9138" cy="4568"/>
            <wp:effectExtent l="0" t="0" r="0" b="0"/>
            <wp:docPr id="2721" name="Picture 2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" name="Picture 27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 </w:t>
      </w:r>
      <w:r>
        <w:t>Pronajímatel přenechává nájemci do nájmu nebytové prostory v 1. podzem</w:t>
      </w:r>
      <w:r>
        <w:t>ním a 2. nadzemním podlaží budovy, přičemž nájemce je oprávněn výlučně užívat tyto místnosti:</w:t>
      </w:r>
    </w:p>
    <w:p w:rsidR="005E14D1" w:rsidRDefault="00CE2022">
      <w:pPr>
        <w:spacing w:after="30" w:line="223" w:lineRule="auto"/>
        <w:ind w:left="-1" w:right="14" w:firstLine="0"/>
      </w:pPr>
      <w:r>
        <w:rPr>
          <w:sz w:val="20"/>
        </w:rPr>
        <w:t>Přehled pronajatých místností:</w:t>
      </w:r>
    </w:p>
    <w:tbl>
      <w:tblPr>
        <w:tblStyle w:val="TableGrid"/>
        <w:tblW w:w="9148" w:type="dxa"/>
        <w:tblInd w:w="26" w:type="dxa"/>
        <w:tblCellMar>
          <w:top w:w="17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"/>
        <w:gridCol w:w="4543"/>
        <w:gridCol w:w="24"/>
        <w:gridCol w:w="4524"/>
        <w:gridCol w:w="31"/>
      </w:tblGrid>
      <w:tr w:rsidR="005E14D1">
        <w:trPr>
          <w:gridBefore w:val="1"/>
          <w:wBefore w:w="26" w:type="dxa"/>
          <w:trHeight w:val="226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>místnosti 1. PP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0"/>
              </w:rPr>
              <w:t>plocha (m )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72" w:right="0" w:firstLine="0"/>
              <w:jc w:val="left"/>
            </w:pPr>
            <w:r>
              <w:t>chodba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27" w:right="0" w:firstLine="0"/>
              <w:jc w:val="left"/>
            </w:pPr>
            <w:r>
              <w:t>19,6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79" w:right="0" w:firstLine="0"/>
              <w:jc w:val="left"/>
            </w:pPr>
            <w:r>
              <w:t>pitevna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27" w:right="0" w:firstLine="0"/>
              <w:jc w:val="left"/>
            </w:pPr>
            <w:r>
              <w:t>18,2</w:t>
            </w:r>
          </w:p>
        </w:tc>
      </w:tr>
      <w:tr w:rsidR="005E14D1">
        <w:trPr>
          <w:gridBefore w:val="1"/>
          <w:wBefore w:w="26" w:type="dxa"/>
          <w:trHeight w:val="223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79" w:right="0" w:firstLine="0"/>
              <w:jc w:val="left"/>
            </w:pPr>
            <w:r>
              <w:t>chodba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5E14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86" w:right="0" w:firstLine="0"/>
              <w:jc w:val="left"/>
            </w:pPr>
            <w:r>
              <w:t>umývárna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206" w:right="0" w:firstLine="0"/>
              <w:jc w:val="left"/>
            </w:pPr>
            <w:r>
              <w:t>3,4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79" w:right="0" w:firstLine="0"/>
              <w:jc w:val="left"/>
            </w:pPr>
            <w:r>
              <w:t>chlad.box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34" w:right="0" w:firstLine="0"/>
              <w:jc w:val="left"/>
            </w:pPr>
            <w:r>
              <w:t>11,0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86" w:right="0" w:firstLine="0"/>
              <w:jc w:val="left"/>
            </w:pPr>
            <w:r>
              <w:t>laboratoř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213" w:right="0" w:firstLine="0"/>
              <w:jc w:val="left"/>
            </w:pPr>
            <w:r>
              <w:t>7,8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86" w:right="0" w:firstLine="0"/>
              <w:jc w:val="left"/>
            </w:pPr>
            <w:r>
              <w:t>kancelář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5E14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14D1">
        <w:trPr>
          <w:gridBefore w:val="1"/>
          <w:wBefore w:w="26" w:type="dxa"/>
          <w:trHeight w:val="228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86" w:right="0" w:firstLine="0"/>
              <w:jc w:val="left"/>
            </w:pPr>
            <w:r>
              <w:t>zádveří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5E14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0"/>
              </w:rPr>
              <w:t>místnosti 2, NP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5E14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86" w:right="0" w:firstLine="0"/>
              <w:jc w:val="left"/>
            </w:pPr>
            <w:r>
              <w:t>chemie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34" w:right="0" w:firstLine="0"/>
              <w:jc w:val="left"/>
            </w:pPr>
            <w:r>
              <w:t>27,5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86" w:right="0" w:firstLine="0"/>
              <w:jc w:val="left"/>
            </w:pPr>
            <w:r>
              <w:t>chemie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41" w:right="0" w:firstLine="0"/>
              <w:jc w:val="left"/>
            </w:pPr>
            <w:r>
              <w:t>17,4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94" w:right="0" w:firstLine="0"/>
              <w:jc w:val="left"/>
            </w:pPr>
            <w:r>
              <w:t>polarografie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41" w:right="0" w:firstLine="0"/>
              <w:jc w:val="left"/>
            </w:pPr>
            <w:r>
              <w:t>14,53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94" w:right="0" w:firstLine="0"/>
              <w:jc w:val="left"/>
            </w:pPr>
            <w:r>
              <w:t>denní místnost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41" w:right="0" w:firstLine="0"/>
              <w:jc w:val="left"/>
            </w:pPr>
            <w:r>
              <w:t>10,39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94" w:right="0" w:firstLine="0"/>
              <w:jc w:val="left"/>
            </w:pPr>
            <w:r>
              <w:t>denní místnost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213" w:right="0" w:firstLine="0"/>
              <w:jc w:val="left"/>
            </w:pPr>
            <w:r>
              <w:t>4,99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94" w:right="0" w:firstLine="0"/>
              <w:jc w:val="left"/>
            </w:pPr>
            <w:r>
              <w:t>šatna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48" w:right="0" w:firstLine="0"/>
              <w:jc w:val="left"/>
            </w:pPr>
            <w:r>
              <w:t>14,87</w:t>
            </w:r>
          </w:p>
        </w:tc>
      </w:tr>
      <w:tr w:rsidR="005E14D1">
        <w:trPr>
          <w:gridBefore w:val="1"/>
          <w:wBefore w:w="26" w:type="dxa"/>
          <w:trHeight w:val="229"/>
        </w:trPr>
        <w:tc>
          <w:tcPr>
            <w:tcW w:w="45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25219" cy="223837"/>
                  <wp:effectExtent l="0" t="0" r="0" b="0"/>
                  <wp:docPr id="2672" name="Picture 2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2" name="Picture 26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219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220" w:right="0" w:firstLine="0"/>
              <w:jc w:val="left"/>
            </w:pPr>
            <w:r>
              <w:t>3,35</w:t>
            </w:r>
          </w:p>
        </w:tc>
      </w:tr>
      <w:tr w:rsidR="005E14D1">
        <w:trPr>
          <w:gridBefore w:val="1"/>
          <w:wBefore w:w="26" w:type="dxa"/>
          <w:trHeight w:val="23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5E14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220" w:right="0" w:firstLine="0"/>
              <w:jc w:val="left"/>
            </w:pPr>
            <w:r>
              <w:t>7,69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5E14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220" w:right="0" w:firstLine="0"/>
              <w:jc w:val="left"/>
            </w:pPr>
            <w:r>
              <w:t>4,42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01" w:right="0" w:firstLine="0"/>
              <w:jc w:val="left"/>
            </w:pPr>
            <w:r>
              <w:t>dokumentace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220" w:right="0" w:firstLine="0"/>
              <w:jc w:val="left"/>
            </w:pPr>
            <w:r>
              <w:t>9,48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08" w:right="0" w:firstLine="0"/>
              <w:jc w:val="left"/>
            </w:pPr>
            <w:r>
              <w:t>kancelář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0"/>
              </w:rPr>
              <w:t>15,5</w:t>
            </w:r>
          </w:p>
        </w:tc>
      </w:tr>
      <w:tr w:rsidR="005E14D1">
        <w:trPr>
          <w:gridBefore w:val="1"/>
          <w:wBefore w:w="26" w:type="dxa"/>
          <w:trHeight w:val="226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08" w:right="0" w:firstLine="0"/>
              <w:jc w:val="left"/>
            </w:pPr>
            <w:r>
              <w:t>mikrobiologická laboratoř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92" w:right="0" w:firstLine="0"/>
              <w:jc w:val="left"/>
            </w:pPr>
            <w:r>
              <w:t>24,76</w:t>
            </w:r>
          </w:p>
        </w:tc>
      </w:tr>
      <w:tr w:rsidR="005E14D1">
        <w:trPr>
          <w:gridBefore w:val="1"/>
          <w:wBefore w:w="26" w:type="dxa"/>
          <w:trHeight w:val="242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15" w:right="0" w:firstLine="0"/>
              <w:jc w:val="left"/>
            </w:pPr>
            <w:r>
              <w:t>mikrobiologická laboratoř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0"/>
              </w:rPr>
              <w:t>10,1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08" w:right="0" w:firstLine="0"/>
              <w:jc w:val="left"/>
            </w:pPr>
            <w:r>
              <w:t>destilace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99" w:right="0" w:firstLine="0"/>
              <w:jc w:val="left"/>
            </w:pPr>
            <w:r>
              <w:t>13,64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51" w:right="0" w:firstLine="0"/>
              <w:jc w:val="left"/>
            </w:pPr>
            <w:r>
              <w:t>sklad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92" w:right="0" w:firstLine="0"/>
              <w:jc w:val="left"/>
            </w:pPr>
            <w:r>
              <w:t>46,66</w:t>
            </w:r>
          </w:p>
        </w:tc>
      </w:tr>
      <w:tr w:rsidR="005E14D1">
        <w:trPr>
          <w:gridBefore w:val="1"/>
          <w:wBefore w:w="26" w:type="dxa"/>
          <w:trHeight w:val="230"/>
        </w:trPr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08" w:right="0" w:firstLine="0"/>
              <w:jc w:val="left"/>
            </w:pPr>
            <w:r>
              <w:t>chodba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92" w:right="0" w:firstLine="0"/>
              <w:jc w:val="left"/>
            </w:pPr>
            <w:r>
              <w:t>33,43</w:t>
            </w:r>
          </w:p>
        </w:tc>
      </w:tr>
      <w:tr w:rsidR="005E14D1">
        <w:tblPrEx>
          <w:tblCellMar>
            <w:top w:w="46" w:type="dxa"/>
            <w:left w:w="115" w:type="dxa"/>
          </w:tblCellMar>
        </w:tblPrEx>
        <w:trPr>
          <w:gridAfter w:val="1"/>
          <w:wAfter w:w="31" w:type="dxa"/>
          <w:trHeight w:val="226"/>
        </w:trPr>
        <w:tc>
          <w:tcPr>
            <w:tcW w:w="4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0" w:right="0" w:firstLine="0"/>
              <w:jc w:val="left"/>
            </w:pPr>
            <w:r>
              <w:t>chromatologie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89" w:right="0" w:firstLine="0"/>
              <w:jc w:val="left"/>
            </w:pPr>
            <w:r>
              <w:t>11,24</w:t>
            </w:r>
          </w:p>
        </w:tc>
      </w:tr>
      <w:tr w:rsidR="005E14D1">
        <w:tblPrEx>
          <w:tblCellMar>
            <w:top w:w="46" w:type="dxa"/>
            <w:left w:w="115" w:type="dxa"/>
          </w:tblCellMar>
        </w:tblPrEx>
        <w:trPr>
          <w:gridAfter w:val="1"/>
          <w:wAfter w:w="31" w:type="dxa"/>
          <w:trHeight w:val="230"/>
        </w:trPr>
        <w:tc>
          <w:tcPr>
            <w:tcW w:w="4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0" w:right="0" w:firstLine="0"/>
              <w:jc w:val="left"/>
            </w:pPr>
            <w:r>
              <w:t>schodiště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>14,91</w:t>
            </w:r>
          </w:p>
        </w:tc>
      </w:tr>
      <w:tr w:rsidR="005E14D1">
        <w:tblPrEx>
          <w:tblCellMar>
            <w:top w:w="46" w:type="dxa"/>
            <w:left w:w="115" w:type="dxa"/>
          </w:tblCellMar>
        </w:tblPrEx>
        <w:trPr>
          <w:gridAfter w:val="1"/>
          <w:wAfter w:w="31" w:type="dxa"/>
          <w:trHeight w:val="230"/>
        </w:trPr>
        <w:tc>
          <w:tcPr>
            <w:tcW w:w="4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0" w:right="0" w:firstLine="0"/>
              <w:jc w:val="left"/>
            </w:pPr>
            <w:r>
              <w:t>váhovna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161" w:right="0" w:firstLine="0"/>
              <w:jc w:val="left"/>
            </w:pPr>
            <w:r>
              <w:t>5,18</w:t>
            </w:r>
          </w:p>
        </w:tc>
      </w:tr>
      <w:tr w:rsidR="005E14D1">
        <w:tblPrEx>
          <w:tblCellMar>
            <w:top w:w="46" w:type="dxa"/>
            <w:left w:w="115" w:type="dxa"/>
          </w:tblCellMar>
        </w:tblPrEx>
        <w:trPr>
          <w:gridAfter w:val="1"/>
          <w:wAfter w:w="31" w:type="dxa"/>
          <w:trHeight w:val="230"/>
        </w:trPr>
        <w:tc>
          <w:tcPr>
            <w:tcW w:w="4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7" w:right="0" w:firstLine="0"/>
              <w:jc w:val="left"/>
            </w:pPr>
            <w:r>
              <w:t>umývárna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89" w:right="0" w:firstLine="0"/>
              <w:jc w:val="left"/>
            </w:pPr>
            <w:r>
              <w:t>24,2</w:t>
            </w:r>
          </w:p>
        </w:tc>
      </w:tr>
      <w:tr w:rsidR="005E14D1">
        <w:tblPrEx>
          <w:tblCellMar>
            <w:top w:w="46" w:type="dxa"/>
            <w:left w:w="115" w:type="dxa"/>
          </w:tblCellMar>
        </w:tblPrEx>
        <w:trPr>
          <w:gridAfter w:val="1"/>
          <w:wAfter w:w="31" w:type="dxa"/>
          <w:trHeight w:val="230"/>
        </w:trPr>
        <w:tc>
          <w:tcPr>
            <w:tcW w:w="4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0" w:right="0" w:firstLine="0"/>
              <w:jc w:val="left"/>
            </w:pPr>
            <w:r>
              <w:t>odp. vody digestoře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96" w:right="0" w:firstLine="0"/>
              <w:jc w:val="left"/>
            </w:pPr>
            <w:r>
              <w:t>16,58</w:t>
            </w:r>
          </w:p>
        </w:tc>
      </w:tr>
      <w:tr w:rsidR="005E14D1">
        <w:tblPrEx>
          <w:tblCellMar>
            <w:top w:w="46" w:type="dxa"/>
            <w:left w:w="115" w:type="dxa"/>
          </w:tblCellMar>
        </w:tblPrEx>
        <w:trPr>
          <w:gridAfter w:val="1"/>
          <w:wAfter w:w="31" w:type="dxa"/>
          <w:trHeight w:val="230"/>
        </w:trPr>
        <w:tc>
          <w:tcPr>
            <w:tcW w:w="4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7" w:right="0" w:firstLine="0"/>
              <w:jc w:val="left"/>
            </w:pPr>
            <w:r>
              <w:t>chodba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89" w:right="0" w:firstLine="0"/>
              <w:jc w:val="left"/>
            </w:pPr>
            <w:r>
              <w:t>39,53</w:t>
            </w:r>
          </w:p>
        </w:tc>
      </w:tr>
      <w:tr w:rsidR="005E14D1">
        <w:tblPrEx>
          <w:tblCellMar>
            <w:top w:w="46" w:type="dxa"/>
            <w:left w:w="115" w:type="dxa"/>
          </w:tblCellMar>
        </w:tblPrEx>
        <w:trPr>
          <w:gridAfter w:val="1"/>
          <w:wAfter w:w="31" w:type="dxa"/>
          <w:trHeight w:val="230"/>
        </w:trPr>
        <w:tc>
          <w:tcPr>
            <w:tcW w:w="4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plocha CELKEM 1. PP a 2. NP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D1" w:rsidRDefault="00CE2022">
            <w:pPr>
              <w:spacing w:after="0" w:line="259" w:lineRule="auto"/>
              <w:ind w:left="3" w:right="0" w:firstLine="0"/>
              <w:jc w:val="left"/>
            </w:pPr>
            <w:r>
              <w:t>451,25</w:t>
            </w:r>
          </w:p>
        </w:tc>
      </w:tr>
    </w:tbl>
    <w:p w:rsidR="005E14D1" w:rsidRDefault="00CE2022">
      <w:pPr>
        <w:numPr>
          <w:ilvl w:val="0"/>
          <w:numId w:val="1"/>
        </w:numPr>
        <w:ind w:left="691" w:right="14" w:hanging="353"/>
      </w:pPr>
      <w:r>
        <w:t>Celková výměra pronajatých nebytových prostor činí 451,25 m</w:t>
      </w:r>
      <w:r>
        <w:rPr>
          <w:vertAlign w:val="superscript"/>
        </w:rPr>
        <w:t xml:space="preserve">2 </w:t>
      </w:r>
      <w:r>
        <w:t>. Pronajaté nebytové prostory jsou vyznačeny ve schematických plánech podlaží budovy, které jsou přílohami č. 1 a 2 této smlouvy a tvoří její nedílnou součást.</w:t>
      </w:r>
    </w:p>
    <w:p w:rsidR="005E14D1" w:rsidRDefault="00CE2022">
      <w:pPr>
        <w:numPr>
          <w:ilvl w:val="0"/>
          <w:numId w:val="1"/>
        </w:numPr>
        <w:spacing w:after="425"/>
        <w:ind w:left="691" w:right="14" w:hanging="353"/>
      </w:pPr>
      <w:r>
        <w:t>Pronajaté nebytové prostory jsou pro pronajímatele dočasně nepotřebné k plnění jeho úkolů či k p</w:t>
      </w:r>
      <w:r>
        <w:t>lnění funkcí státu ve smyslu S 27, odst. 1. zákona č. 219/2000 Sb., ve znění pozdějších předpisů. Pronajímatel zajistil splnění podmínek pronájmu pronajatých nebytových prostor dle zákona č. 219/2000 Sb., ve znění pozdějších předpisů.</w:t>
      </w:r>
    </w:p>
    <w:p w:rsidR="005E14D1" w:rsidRDefault="00CE2022">
      <w:pPr>
        <w:spacing w:after="0" w:line="259" w:lineRule="auto"/>
        <w:ind w:left="600" w:right="691" w:hanging="10"/>
        <w:jc w:val="center"/>
      </w:pPr>
      <w:r>
        <w:rPr>
          <w:sz w:val="20"/>
        </w:rPr>
        <w:t>Článek Ill.</w:t>
      </w:r>
    </w:p>
    <w:p w:rsidR="005E14D1" w:rsidRDefault="00CE2022">
      <w:pPr>
        <w:spacing w:after="145" w:line="259" w:lineRule="auto"/>
        <w:ind w:left="600" w:right="684" w:hanging="10"/>
        <w:jc w:val="center"/>
      </w:pPr>
      <w:r>
        <w:rPr>
          <w:sz w:val="20"/>
        </w:rPr>
        <w:t>Doba a úč</w:t>
      </w:r>
      <w:r>
        <w:rPr>
          <w:sz w:val="20"/>
        </w:rPr>
        <w:t>el nájmu</w:t>
      </w:r>
    </w:p>
    <w:p w:rsidR="005E14D1" w:rsidRDefault="00CE2022">
      <w:pPr>
        <w:ind w:left="701" w:right="14"/>
      </w:pPr>
      <w:r>
        <w:t xml:space="preserve">I. </w:t>
      </w:r>
      <w:r>
        <w:t>Nebytové prostory uvedené v čl. Il. této smlouvy (dále jen „pronajaté nebytové prostory”) pronajímá pronajímatel nájemci na dobu určitou od 1. dubna 2016 do 31. prosince 2016.</w:t>
      </w:r>
    </w:p>
    <w:p w:rsidR="005E14D1" w:rsidRDefault="00CE2022">
      <w:pPr>
        <w:spacing w:after="185"/>
        <w:ind w:left="701" w:right="14"/>
      </w:pPr>
      <w:r>
        <w:t xml:space="preserve">2. </w:t>
      </w:r>
      <w:r>
        <w:t>Nájemce je oprávněn užívat pronajaté nebytové prostory pouze k po</w:t>
      </w:r>
      <w:r>
        <w:t>skytování zdravotní péče v rozsahu vymezeném v rozhodnutí Krajského úřadu Středočeského kraje o registraci vydaném dle 58 zákona č.160/1992 Sb., v platném znění.</w:t>
      </w:r>
    </w:p>
    <w:p w:rsidR="005E14D1" w:rsidRDefault="00CE2022">
      <w:pPr>
        <w:spacing w:after="0" w:line="259" w:lineRule="auto"/>
        <w:ind w:left="600" w:right="698" w:hanging="10"/>
        <w:jc w:val="center"/>
      </w:pPr>
      <w:r>
        <w:rPr>
          <w:sz w:val="20"/>
        </w:rPr>
        <w:t>Článek IV.</w:t>
      </w:r>
    </w:p>
    <w:p w:rsidR="005E14D1" w:rsidRDefault="00CE2022">
      <w:pPr>
        <w:spacing w:after="196" w:line="259" w:lineRule="auto"/>
        <w:ind w:left="600" w:right="655" w:hanging="10"/>
        <w:jc w:val="center"/>
      </w:pPr>
      <w:r>
        <w:rPr>
          <w:sz w:val="20"/>
        </w:rPr>
        <w:t>Zákaz nepovoleného podnájmu</w:t>
      </w:r>
    </w:p>
    <w:p w:rsidR="005E14D1" w:rsidRDefault="00CE2022">
      <w:pPr>
        <w:ind w:left="701" w:right="14"/>
      </w:pPr>
      <w:r>
        <w:t xml:space="preserve">1. </w:t>
      </w:r>
      <w:r>
        <w:t>Nájemce nesmí dát pronajaté nebytové prostory do podnájmu jiné osobě bez předchozího- písemného souhlasu pronajímatele.</w:t>
      </w:r>
    </w:p>
    <w:p w:rsidR="005E14D1" w:rsidRDefault="00CE2022">
      <w:pPr>
        <w:spacing w:after="0" w:line="259" w:lineRule="auto"/>
        <w:ind w:left="600" w:right="648" w:hanging="10"/>
        <w:jc w:val="center"/>
      </w:pPr>
      <w:r>
        <w:rPr>
          <w:sz w:val="20"/>
        </w:rPr>
        <w:t>Článek V.</w:t>
      </w:r>
    </w:p>
    <w:p w:rsidR="005E14D1" w:rsidRDefault="00CE2022">
      <w:pPr>
        <w:spacing w:after="219" w:line="264" w:lineRule="auto"/>
        <w:ind w:left="2204" w:right="2237" w:hanging="10"/>
        <w:jc w:val="center"/>
      </w:pPr>
      <w:r>
        <w:t>Nájemné</w:t>
      </w:r>
    </w:p>
    <w:p w:rsidR="005E14D1" w:rsidRDefault="00CE2022">
      <w:pPr>
        <w:ind w:left="701" w:right="14"/>
      </w:pPr>
      <w:r>
        <w:t xml:space="preserve">I. </w:t>
      </w:r>
      <w:r>
        <w:t>Za užívání pronajatých nebytových prostor bude nájemce platit pronajímateli nájemné, které se sjednává ve výši 500,</w:t>
      </w:r>
      <w:r>
        <w:t>- Kč/m</w:t>
      </w:r>
      <w:r>
        <w:rPr>
          <w:vertAlign w:val="superscript"/>
        </w:rPr>
        <w:t xml:space="preserve">2 </w:t>
      </w:r>
      <w:r>
        <w:t>podlahové plochy pronajatých nebytových prostor ročně, což činí dle Čl. Il. této smlouvy Kč 225 625,ročně, tedy Kč 56 406,- čtvrtletně.</w:t>
      </w:r>
    </w:p>
    <w:p w:rsidR="005E14D1" w:rsidRDefault="00CE2022">
      <w:pPr>
        <w:numPr>
          <w:ilvl w:val="0"/>
          <w:numId w:val="2"/>
        </w:numPr>
        <w:ind w:left="691" w:right="14" w:hanging="353"/>
      </w:pPr>
      <w:r>
        <w:t>Pronajímatel prohlašuje, že nájemné je osvobozeno od daně z přidané hodnoty (dále též jen „DPH”) podle S 56a zák</w:t>
      </w:r>
      <w:r>
        <w:t>ona č. 235/2004 Sb. ve znění pozdějších předpisů.</w:t>
      </w:r>
    </w:p>
    <w:p w:rsidR="005E14D1" w:rsidRDefault="00CE2022">
      <w:pPr>
        <w:numPr>
          <w:ilvl w:val="0"/>
          <w:numId w:val="2"/>
        </w:numPr>
        <w:ind w:left="691" w:right="14" w:hanging="353"/>
      </w:pPr>
      <w:r>
        <w:t>Kromě nájemného bude dále nájemce platit pronajímateli zálohy na úhrady za plnění spojená s nájmem pronajatých nebytových prostor, na vytápění částku Kč 18 000,- čtvrtletně, na dodávku vody a odvod odpadníc</w:t>
      </w:r>
      <w:r>
        <w:t>h vod částku ve výši Kč IO 000,- čtvrtletně, což činí celkem Kč 28 000,- čtvrtletně (cena včetně aktuální DPH).</w:t>
      </w:r>
    </w:p>
    <w:p w:rsidR="005E14D1" w:rsidRDefault="00CE2022">
      <w:pPr>
        <w:numPr>
          <w:ilvl w:val="0"/>
          <w:numId w:val="2"/>
        </w:numPr>
        <w:ind w:left="691" w:right="14" w:hanging="353"/>
      </w:pPr>
      <w:r>
        <w:t>Zálohy vyúčtuje pronajímatel nájemci do 30 dnů poté, co obdrží vyúčtování příslušného plnění (služby) za kalendářní rok od osoby toto plnění pos</w:t>
      </w:r>
      <w:r>
        <w:t>kytující (dále jen „dodavatel služby"), za dodávku vody a odvod odpadních vod v procentuálním poměru 50% ze skutečných nákladů celé budovy, za vytápění dle skutečné spotřeby na základě odečtů z příslušných nainstalovaných měřidel. Vyúčtování je pronajímate</w:t>
      </w:r>
      <w:r>
        <w:t>l povinen provést písemně a poskytnout doklady, z nichž při jeho vyhotovení vycházel, zejm. vyúčtování služeb ze strany dodavatele služby.</w:t>
      </w:r>
    </w:p>
    <w:p w:rsidR="005E14D1" w:rsidRDefault="00CE2022">
      <w:pPr>
        <w:numPr>
          <w:ilvl w:val="0"/>
          <w:numId w:val="2"/>
        </w:numPr>
        <w:spacing w:after="414"/>
        <w:ind w:left="691" w:right="14" w:hanging="353"/>
      </w:pPr>
      <w:r>
        <w:lastRenderedPageBreak/>
        <w:t>Cenu za dodávku elektrické energie do pronajatých nebytových prostor bude platit nájemce příslušnému dodavateli elekt</w:t>
      </w:r>
      <w:r>
        <w:t>řiny na základě údajů elektroměru, který byl za tímto účelem nainstalován a je v okamžiku uzavření této smlouvy plně funkční.</w:t>
      </w:r>
    </w:p>
    <w:p w:rsidR="005E14D1" w:rsidRDefault="00CE2022">
      <w:pPr>
        <w:spacing w:after="0" w:line="259" w:lineRule="auto"/>
        <w:ind w:left="600" w:right="561" w:hanging="10"/>
        <w:jc w:val="center"/>
      </w:pPr>
      <w:r>
        <w:rPr>
          <w:sz w:val="20"/>
        </w:rPr>
        <w:t>Článek Vl.</w:t>
      </w:r>
    </w:p>
    <w:p w:rsidR="005E14D1" w:rsidRDefault="00CE2022">
      <w:pPr>
        <w:spacing w:after="190" w:line="264" w:lineRule="auto"/>
        <w:ind w:left="2204" w:right="2158" w:hanging="10"/>
        <w:jc w:val="center"/>
      </w:pPr>
      <w:r>
        <w:t>Úhrada nájemného</w:t>
      </w:r>
    </w:p>
    <w:p w:rsidR="005E14D1" w:rsidRDefault="00CE2022">
      <w:pPr>
        <w:ind w:left="780" w:right="14"/>
      </w:pPr>
      <w:r>
        <w:t xml:space="preserve">I. </w:t>
      </w:r>
      <w:r>
        <w:t xml:space="preserve">Nájemné a zálohovou částku na úhrady za plnění spojená s nájmem dle ČI. V. této smlouvy bude nájemce platit pronajímateli bezhotovostně převodem na jeho účet u České národní banky Ústí nad Labem, číslo účtu: 10006-41936411/0710, VS 31605 v celkové výši Kč </w:t>
      </w:r>
      <w:r>
        <w:t>84 406,- splatných vždy měsíčně předem do 15. dne kalendářního měsíce.</w:t>
      </w:r>
    </w:p>
    <w:p w:rsidR="005E14D1" w:rsidRDefault="00CE2022">
      <w:pPr>
        <w:numPr>
          <w:ilvl w:val="0"/>
          <w:numId w:val="3"/>
        </w:numPr>
        <w:ind w:left="691" w:right="14" w:hanging="353"/>
      </w:pPr>
      <w:r>
        <w:t xml:space="preserve">Bude-li nájemce v prodlení s úhradou nájemného nebo platbou za služby, bude nájemce povinen zaplatit pronajímateli smluvní pokutu ve výši 0,02 % ze včas nezaplacené částky za každý den </w:t>
      </w:r>
      <w:r>
        <w:t>prodlení. Tato smluvní pokuta bude splatná do 15 dnů od doručení jejího vyúčtování nájemci.</w:t>
      </w:r>
    </w:p>
    <w:p w:rsidR="005E14D1" w:rsidRDefault="00CE2022">
      <w:pPr>
        <w:numPr>
          <w:ilvl w:val="0"/>
          <w:numId w:val="3"/>
        </w:numPr>
        <w:spacing w:after="418"/>
        <w:ind w:left="691" w:right="14" w:hanging="353"/>
      </w:pPr>
      <w:r>
        <w:t xml:space="preserve">Výši nájemnéhö popřípadě zálohy na úhrady za plnění spojená s nájmem je pronajímatel oprávněn upravit jednostranným úkonem každoročně, vždy s účinností od 1. ledna </w:t>
      </w:r>
      <w:r>
        <w:t>následujícího kalendářního roku, o míru inflace vyhlášenou Českým statistickým úřadem za rok uplynulý.</w:t>
      </w:r>
    </w:p>
    <w:p w:rsidR="005E14D1" w:rsidRDefault="00CE2022">
      <w:pPr>
        <w:spacing w:after="0" w:line="259" w:lineRule="auto"/>
        <w:ind w:left="600" w:right="691" w:hanging="10"/>
        <w:jc w:val="center"/>
      </w:pPr>
      <w:r>
        <w:rPr>
          <w:sz w:val="20"/>
        </w:rPr>
        <w:t>článek VII.</w:t>
      </w:r>
    </w:p>
    <w:p w:rsidR="005E14D1" w:rsidRDefault="00CE2022">
      <w:pPr>
        <w:tabs>
          <w:tab w:val="center" w:pos="4515"/>
          <w:tab w:val="center" w:pos="7142"/>
        </w:tabs>
        <w:spacing w:after="150" w:line="259" w:lineRule="auto"/>
        <w:ind w:left="0" w:right="0" w:firstLine="0"/>
        <w:jc w:val="left"/>
      </w:pPr>
      <w:r>
        <w:rPr>
          <w:sz w:val="20"/>
        </w:rPr>
        <w:tab/>
        <w:t>Stav předmětu nájmu, způsob užívání a jeho údržba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1146" name="Picture 11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6" name="Picture 11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D1" w:rsidRDefault="00CE2022">
      <w:pPr>
        <w:ind w:left="701" w:right="14"/>
      </w:pPr>
      <w:r>
        <w:t xml:space="preserve">I. </w:t>
      </w:r>
      <w:r>
        <w:t>Nájemce potvrzuje, že se před uzavřením této smlouvy seznámil se stavem pronajatých nebytových prostor a potvrzuje, že jsou ve stavu způsobilém ke smluvenému účelu užívání. V tomto stavu se je pronajímatel zavazuje udržovat po celou dobu trvání nájemního v</w:t>
      </w:r>
      <w:r>
        <w:t>ztahu.</w:t>
      </w:r>
    </w:p>
    <w:p w:rsidR="005E14D1" w:rsidRDefault="00CE2022">
      <w:pPr>
        <w:ind w:left="647" w:right="14" w:hanging="309"/>
      </w:pPr>
      <w:r>
        <w:t xml:space="preserve">2, </w:t>
      </w:r>
      <w:r>
        <w:t xml:space="preserve">Pronajímatel má právo vstupovat do pronajatých nebytových prostor za účelem kontroly stavu a způsobu jejich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1147" name="Picture 11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7" name="Picture 111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užívání, a to po předchozím ohlášení a za přítomnosti nájemce nebo jeho pověřeného zaměstnance.</w:t>
      </w:r>
    </w:p>
    <w:p w:rsidR="005E14D1" w:rsidRDefault="00CE2022">
      <w:pPr>
        <w:numPr>
          <w:ilvl w:val="0"/>
          <w:numId w:val="4"/>
        </w:numPr>
        <w:ind w:left="698" w:right="14" w:hanging="360"/>
      </w:pPr>
      <w:r>
        <w:t>Nájemce se žavazuje provádět na svůj vla</w:t>
      </w:r>
      <w:r>
        <w:t>stní náklad běžnou údržbu a úklid pronajatých nebytových prostor. Nájemce je povinen nahradit pronajímateli veškeré škody, které vzniknou na pronajatých nebytových prostorách zaviněním nájemce.</w:t>
      </w:r>
    </w:p>
    <w:p w:rsidR="005E14D1" w:rsidRDefault="00CE2022">
      <w:pPr>
        <w:numPr>
          <w:ilvl w:val="0"/>
          <w:numId w:val="4"/>
        </w:numPr>
        <w:ind w:left="698" w:right="14" w:hanging="360"/>
      </w:pPr>
      <w:r>
        <w:t xml:space="preserve">Pronajímatel je povinen nahradit nájemci veškeré škody, které </w:t>
      </w:r>
      <w:r>
        <w:t>vzniknou na věcech nájemce umístěných v pronajatých nebytových prostorách, a které budou způsobeny porušením povinností pronajímatele, zejména co do povinnosti udržovat předmět nájmu ve stavu způsobilém ke sjednanému účelu.</w:t>
      </w:r>
    </w:p>
    <w:p w:rsidR="005E14D1" w:rsidRDefault="00CE2022">
      <w:pPr>
        <w:numPr>
          <w:ilvl w:val="0"/>
          <w:numId w:val="4"/>
        </w:numPr>
        <w:ind w:left="698" w:right="14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749355</wp:posOffset>
            </wp:positionH>
            <wp:positionV relativeFrom="page">
              <wp:posOffset>7596740</wp:posOffset>
            </wp:positionV>
            <wp:extent cx="9138" cy="4568"/>
            <wp:effectExtent l="0" t="0" r="0" b="0"/>
            <wp:wrapSquare wrapText="bothSides"/>
            <wp:docPr id="11158" name="Picture 11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8" name="Picture 111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118800</wp:posOffset>
            </wp:positionH>
            <wp:positionV relativeFrom="page">
              <wp:posOffset>3398662</wp:posOffset>
            </wp:positionV>
            <wp:extent cx="758494" cy="1228817"/>
            <wp:effectExtent l="0" t="0" r="0" b="0"/>
            <wp:wrapSquare wrapText="bothSides"/>
            <wp:docPr id="27023" name="Picture 27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23" name="Picture 270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8494" cy="122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Jakékoliv stavební úpravy a re</w:t>
      </w:r>
      <w:r>
        <w:t>konstrukce v pronajatých nebytových prostorech může nájemce provádět pouze s předchozím písemným souhlasem pronajímatele.</w:t>
      </w:r>
    </w:p>
    <w:p w:rsidR="005E14D1" w:rsidRDefault="00CE2022">
      <w:pPr>
        <w:numPr>
          <w:ilvl w:val="0"/>
          <w:numId w:val="4"/>
        </w:numPr>
        <w:ind w:left="698" w:right="14" w:hanging="360"/>
      </w:pPr>
      <w:r>
        <w:t>Nájemce je povinen si zajistit řádnou likvidaci produkovaných nebezpečných odpadů a na výzvu pronajímatele mu způsob likvidace těchto odpadů doložit.</w:t>
      </w:r>
    </w:p>
    <w:p w:rsidR="005E14D1" w:rsidRDefault="00CE2022">
      <w:pPr>
        <w:numPr>
          <w:ilvl w:val="0"/>
          <w:numId w:val="4"/>
        </w:numPr>
        <w:ind w:left="698" w:right="14" w:hanging="360"/>
      </w:pPr>
      <w:r>
        <w:t>Nájemce je povinen v pronajatých nebytových prostorech plnit povinnosti uložené mu na základě právních pře</w:t>
      </w:r>
      <w:r>
        <w:t>dpisü a rozhodnutí na úseku požární ochrany, hygieny, bezpečnosti a ochrany zdraví při práci a ochrany životního prostředí.</w:t>
      </w:r>
    </w:p>
    <w:p w:rsidR="005E14D1" w:rsidRDefault="00CE2022">
      <w:pPr>
        <w:spacing w:after="240"/>
        <w:ind w:left="770" w:right="14" w:hanging="432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3682805</wp:posOffset>
            </wp:positionH>
            <wp:positionV relativeFrom="paragraph">
              <wp:posOffset>279089</wp:posOffset>
            </wp:positionV>
            <wp:extent cx="73108" cy="41113"/>
            <wp:effectExtent l="0" t="0" r="0" b="0"/>
            <wp:wrapSquare wrapText="bothSides"/>
            <wp:docPr id="27025" name="Picture 2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25" name="Picture 270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108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1153" name="Picture 11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3" name="Picture 111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8. </w:t>
      </w:r>
      <w:r>
        <w:t>Nájemce je oprávněn používat v pronajatých nebytových prostorech elektrické spotřebiče pouze s předchozím souhlasem pronajímat</w:t>
      </w:r>
      <w:r>
        <w:t>ele. .Povinné revize těchto elektrických spotřebičů si nájemce bude zařizovat na vlastní náklady. Kopie těchto revizních zpráv předá nájemce pronajímateli.</w:t>
      </w:r>
    </w:p>
    <w:p w:rsidR="005E14D1" w:rsidRDefault="00CE2022">
      <w:pPr>
        <w:spacing w:after="397"/>
        <w:ind w:left="701" w:right="14"/>
      </w:pPr>
      <w:r>
        <w:t xml:space="preserve">9. </w:t>
      </w:r>
      <w:r>
        <w:t>Nájemce i pronajímatel jsou povinni navzájem si bez zbytečného odkladu oznámit jakékoliv změny tý</w:t>
      </w:r>
      <w:r>
        <w:t xml:space="preserve">kající se své osoby (zejména změny adresy svého sídla, předmětu činnosti, podnikání a živnostenského oprávnění) a veškeré další údaje důležité pro obsah této smlouvy a pro právní vztahy Z ní vyplývající. </w:t>
      </w:r>
      <w:r>
        <w:rPr>
          <w:noProof/>
        </w:rPr>
        <w:drawing>
          <wp:inline distT="0" distB="0" distL="0" distR="0">
            <wp:extent cx="9139" cy="4568"/>
            <wp:effectExtent l="0" t="0" r="0" b="0"/>
            <wp:docPr id="11157" name="Picture 11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7" name="Picture 111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D1" w:rsidRDefault="00CE2022">
      <w:pPr>
        <w:spacing w:after="0" w:line="259" w:lineRule="auto"/>
        <w:ind w:left="600" w:right="597" w:hanging="10"/>
        <w:jc w:val="center"/>
      </w:pPr>
      <w:r>
        <w:rPr>
          <w:sz w:val="20"/>
        </w:rPr>
        <w:t>Článek VIII.</w:t>
      </w:r>
    </w:p>
    <w:p w:rsidR="005E14D1" w:rsidRDefault="00CE2022">
      <w:pPr>
        <w:spacing w:after="134" w:line="259" w:lineRule="auto"/>
        <w:ind w:left="600" w:right="597" w:hanging="10"/>
        <w:jc w:val="center"/>
      </w:pPr>
      <w:r>
        <w:rPr>
          <w:sz w:val="20"/>
        </w:rPr>
        <w:t>Vstup do předmětu nájmu a vyklizení</w:t>
      </w:r>
    </w:p>
    <w:p w:rsidR="005E14D1" w:rsidRDefault="00CE2022">
      <w:pPr>
        <w:ind w:left="701" w:right="14"/>
      </w:pPr>
      <w:r>
        <w:t>I</w:t>
      </w:r>
      <w:r>
        <w:t xml:space="preserve">. </w:t>
      </w:r>
      <w:r>
        <w:t>Za účelem zajištění ochrany majetku a zdraví uloží nájemce u pronajímatele náhradní klíče Od pronajatých nebytových prostor. Klíče budou uloženy v zapečetěné obálce a k jejich použití je pronajímatel oprávněn pouze v případě nezbytné potřeby k ochraně zd</w:t>
      </w:r>
      <w:r>
        <w:t>raví nebo majetku, zejména při haváriích nebo živelných katastrofách. O použití náhradhích klíčů je pronajímatel povinen bez zbytečného odkladu- informovat nájemce.</w:t>
      </w:r>
      <w:r>
        <w:rPr>
          <w:noProof/>
        </w:rPr>
        <w:drawing>
          <wp:inline distT="0" distB="0" distL="0" distR="0">
            <wp:extent cx="73108" cy="13704"/>
            <wp:effectExtent l="0" t="0" r="0" b="0"/>
            <wp:docPr id="27027" name="Picture 27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27" name="Picture 270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0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D1" w:rsidRDefault="005E14D1">
      <w:pPr>
        <w:sectPr w:rsidR="005E14D1">
          <w:footerReference w:type="even" r:id="rId15"/>
          <w:footerReference w:type="default" r:id="rId16"/>
          <w:footerReference w:type="first" r:id="rId17"/>
          <w:pgSz w:w="11909" w:h="16841"/>
          <w:pgMar w:top="1026" w:right="1346" w:bottom="1190" w:left="1425" w:header="708" w:footer="640" w:gutter="0"/>
          <w:cols w:space="708"/>
        </w:sectPr>
      </w:pPr>
    </w:p>
    <w:p w:rsidR="005E14D1" w:rsidRDefault="00CE2022">
      <w:pPr>
        <w:numPr>
          <w:ilvl w:val="0"/>
          <w:numId w:val="5"/>
        </w:numPr>
        <w:spacing w:after="0"/>
        <w:ind w:left="691" w:right="14" w:hanging="353"/>
      </w:pPr>
      <w:r>
        <w:lastRenderedPageBreak/>
        <w:t>Nejpozději v den skončení nájmu je nájem</w:t>
      </w:r>
      <w:r>
        <w:t xml:space="preserve">ce povinen pronajaté nebytové prostory vyklidit a vyklizené předat pronajímateli, a to ve stavu v jakém je nájemce při započetí nájmu převzal, s přihlédnutírn k jejich obvyklému </w:t>
      </w:r>
      <w:r>
        <w:rPr>
          <w:noProof/>
        </w:rPr>
        <w:drawing>
          <wp:inline distT="0" distB="0" distL="0" distR="0">
            <wp:extent cx="4569" cy="9136"/>
            <wp:effectExtent l="0" t="0" r="0" b="0"/>
            <wp:docPr id="11161" name="Picture 11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1" name="Picture 111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opotřebení a případným úpravám provedeným se souhlasem pronajímatele.' Bude-l</w:t>
      </w:r>
      <w:r>
        <w:t xml:space="preserve">i nájemce v prodlení se splněním této povinnosti, bude povinen zaplatit pronajímateli smluvní pokutu ve výši Kč 1.000,-za každý den, kdy </w:t>
      </w:r>
      <w:r>
        <w:rPr>
          <w:noProof/>
        </w:rPr>
        <w:drawing>
          <wp:inline distT="0" distB="0" distL="0" distR="0">
            <wp:extent cx="4569" cy="9137"/>
            <wp:effectExtent l="0" t="0" r="0" b="0"/>
            <wp:docPr id="11162" name="Picture 11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" name="Picture 111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bude nájemce v prodlení s řádným vyklizením a předáním pronajatých nebytových prostor pronajímateli. Tato smluvní pok</w:t>
      </w:r>
      <w:r>
        <w:t>uta bude splatná do 15 dnů od doručení jejího vyúčtování nájemci.</w:t>
      </w:r>
    </w:p>
    <w:p w:rsidR="005E14D1" w:rsidRDefault="00CE2022">
      <w:pPr>
        <w:spacing w:after="0" w:line="264" w:lineRule="auto"/>
        <w:ind w:left="2204" w:right="2324" w:hanging="10"/>
        <w:jc w:val="center"/>
      </w:pPr>
      <w:r>
        <w:t>Článek IX.</w:t>
      </w:r>
    </w:p>
    <w:p w:rsidR="005E14D1" w:rsidRDefault="00CE2022">
      <w:pPr>
        <w:spacing w:after="200" w:line="259" w:lineRule="auto"/>
        <w:ind w:left="600" w:right="720" w:hanging="10"/>
        <w:jc w:val="center"/>
      </w:pPr>
      <w:r>
        <w:rPr>
          <w:sz w:val="20"/>
        </w:rPr>
        <w:t>Skončení nájmu</w:t>
      </w:r>
    </w:p>
    <w:p w:rsidR="005E14D1" w:rsidRDefault="00CE2022">
      <w:pPr>
        <w:numPr>
          <w:ilvl w:val="1"/>
          <w:numId w:val="5"/>
        </w:numPr>
        <w:ind w:left="691" w:right="46" w:hanging="353"/>
      </w:pPr>
      <w:r>
        <w:t>Nájem sjednaný touto smlouvou skončí uplynutím sjednané doby. Dříve může skončit písemnou dohodou obou smluvních stran, písemnou výpovědí danou jednou z nich, anebo</w:t>
      </w:r>
      <w:r>
        <w:t xml:space="preserve"> odstoupením od smlouvy podle článku X. této smlouvy.</w:t>
      </w:r>
    </w:p>
    <w:p w:rsidR="005E14D1" w:rsidRDefault="00CE2022">
      <w:pPr>
        <w:numPr>
          <w:ilvl w:val="1"/>
          <w:numId w:val="5"/>
        </w:numPr>
        <w:ind w:left="691" w:right="46" w:hanging="353"/>
      </w:pPr>
      <w:r>
        <w:t>Pronajímatel může nájem sjednaný touto smlouvou vypovědět z těchto důvodů:</w:t>
      </w:r>
    </w:p>
    <w:p w:rsidR="005E14D1" w:rsidRDefault="00CE2022">
      <w:pPr>
        <w:numPr>
          <w:ilvl w:val="2"/>
          <w:numId w:val="5"/>
        </w:numPr>
        <w:spacing w:after="0"/>
        <w:ind w:right="14"/>
      </w:pPr>
      <w:r>
        <w:t>má-li být budova, v níž se pronajaté nebytové prostory nachází, odstraněna, anebo přestavována tak, že to brání dalšímu užívání pronajatých nebytových prostor, a pronajímatel to při uzavření smlouvy nemusel ani nemohl předvídat,</w:t>
      </w:r>
    </w:p>
    <w:p w:rsidR="005E14D1" w:rsidRDefault="00CE2022">
      <w:pPr>
        <w:numPr>
          <w:ilvl w:val="2"/>
          <w:numId w:val="5"/>
        </w:numPr>
        <w:spacing w:after="240"/>
        <w:ind w:right="14"/>
      </w:pPr>
      <w:r>
        <w:t>porušuje-li nájemce hrubě s</w:t>
      </w:r>
      <w:r>
        <w:t>vé povinnosti vůči pronajímateli, zejména tím, že je po dobu delší než 30 dní v prodlení s placením nájemného nebo služeb spojených s užíváním pronajatých nebytových prostor.</w:t>
      </w:r>
    </w:p>
    <w:p w:rsidR="005E14D1" w:rsidRDefault="00CE2022">
      <w:pPr>
        <w:numPr>
          <w:ilvl w:val="0"/>
          <w:numId w:val="5"/>
        </w:numPr>
        <w:spacing w:after="231"/>
        <w:ind w:left="691" w:right="14" w:hanging="353"/>
      </w:pPr>
      <w:r>
        <w:t>Nájemce může nájem sjednaný touto smlouvou vypovědět z těchto důvodů:</w:t>
      </w:r>
    </w:p>
    <w:p w:rsidR="005E14D1" w:rsidRDefault="00CE2022">
      <w:pPr>
        <w:numPr>
          <w:ilvl w:val="2"/>
          <w:numId w:val="6"/>
        </w:numPr>
        <w:spacing w:after="8"/>
        <w:ind w:right="14" w:hanging="374"/>
      </w:pPr>
      <w:r>
        <w:t>ztratí-li způsobilost k činnosti, k jejímuž výkonu je prostor sloužící podnikání určen,</w:t>
      </w:r>
    </w:p>
    <w:p w:rsidR="005E14D1" w:rsidRDefault="00CE2022">
      <w:pPr>
        <w:numPr>
          <w:ilvl w:val="2"/>
          <w:numId w:val="6"/>
        </w:numPr>
        <w:spacing w:after="0"/>
        <w:ind w:right="14" w:hanging="374"/>
      </w:pPr>
      <w:r>
        <w:t>přestane-li být najatý prostor z objektivních důvodů zpüsobilý k výkonu činnosti, k němuž byl určen, a pronajímatel nezajistí nájemci odpovídající náhradní prostor, neb</w:t>
      </w:r>
      <w:r>
        <w:t>o</w:t>
      </w:r>
    </w:p>
    <w:p w:rsidR="005E14D1" w:rsidRDefault="00CE2022">
      <w:pPr>
        <w:numPr>
          <w:ilvl w:val="2"/>
          <w:numId w:val="6"/>
        </w:numPr>
        <w:ind w:right="14" w:hanging="374"/>
      </w:pPr>
      <w:r>
        <w:t>porušuje-li pronajímatel hrubě své povinnosti vůči nájemci.</w:t>
      </w:r>
    </w:p>
    <w:p w:rsidR="005E14D1" w:rsidRDefault="00CE2022">
      <w:pPr>
        <w:numPr>
          <w:ilvl w:val="0"/>
          <w:numId w:val="5"/>
        </w:numPr>
        <w:spacing w:after="423"/>
        <w:ind w:left="691" w:right="14" w:hanging="353"/>
      </w:pPr>
      <w:r>
        <w:t>Výpovědní doba se sjednává v délce dvou měsíců a počne běžet od prvého dne kalendářního měsíce následujícího po měsíci, v němž byla výpověď doručena druhé smluvní straně na kteroukoli z jejích a</w:t>
      </w:r>
      <w:r>
        <w:t>dres uvedených v této smlouvě, případně na adresu, kterou smluvní strana v průběhu trvání nájmu dle této smlouvy písemně oznámila druhé smluvní straně.</w:t>
      </w:r>
    </w:p>
    <w:p w:rsidR="005E14D1" w:rsidRDefault="00CE2022">
      <w:pPr>
        <w:spacing w:after="0" w:line="259" w:lineRule="auto"/>
        <w:ind w:left="600" w:right="640" w:hanging="10"/>
        <w:jc w:val="center"/>
      </w:pPr>
      <w:r>
        <w:rPr>
          <w:sz w:val="20"/>
        </w:rPr>
        <w:t>Článek X.</w:t>
      </w:r>
    </w:p>
    <w:p w:rsidR="005E14D1" w:rsidRDefault="00CE2022">
      <w:pPr>
        <w:spacing w:after="185" w:line="264" w:lineRule="auto"/>
        <w:ind w:left="2204" w:right="2230" w:hanging="10"/>
        <w:jc w:val="center"/>
      </w:pPr>
      <w:r>
        <w:t>Odstoupení od smlouvy</w:t>
      </w:r>
    </w:p>
    <w:p w:rsidR="005E14D1" w:rsidRDefault="00CE2022">
      <w:pPr>
        <w:spacing w:after="423"/>
        <w:ind w:left="0" w:right="14" w:firstLine="7"/>
      </w:pPr>
      <w:r>
        <w:t>Pronajímatel je oprávněn od této smlouvy odstoupit, jestliže bude pronaj</w:t>
      </w:r>
      <w:r>
        <w:t>até nebytové prostory opět potřebovat k plnění funkcí státu nebo jiných úkolů v rámci své působnosti nebo svého předmětu činnosti. V takovém případě nájem končí uplynutím dvou měsícü ode dne doručení písemného odstoupení od smlouvy nájemci.</w:t>
      </w:r>
    </w:p>
    <w:p w:rsidR="005E14D1" w:rsidRDefault="00CE2022">
      <w:pPr>
        <w:spacing w:after="0" w:line="259" w:lineRule="auto"/>
        <w:ind w:left="600" w:right="612" w:hanging="10"/>
        <w:jc w:val="center"/>
      </w:pPr>
      <w:r>
        <w:rPr>
          <w:sz w:val="20"/>
        </w:rPr>
        <w:t>Článek XI.</w:t>
      </w:r>
    </w:p>
    <w:p w:rsidR="005E14D1" w:rsidRDefault="00CE2022">
      <w:pPr>
        <w:spacing w:after="194" w:line="264" w:lineRule="auto"/>
        <w:ind w:left="2204" w:right="2194" w:hanging="10"/>
        <w:jc w:val="center"/>
      </w:pPr>
      <w:r>
        <w:t>Závě</w:t>
      </w:r>
      <w:r>
        <w:t>rečná ustanovení</w:t>
      </w:r>
    </w:p>
    <w:p w:rsidR="005E14D1" w:rsidRDefault="00CE2022">
      <w:pPr>
        <w:numPr>
          <w:ilvl w:val="0"/>
          <w:numId w:val="7"/>
        </w:numPr>
        <w:spacing w:after="246"/>
        <w:ind w:left="691" w:right="14" w:hanging="353"/>
      </w:pPr>
      <w:r>
        <w:t>Jakékoli změny této smlouvy jsou možné pouze písemnou dohodou obou smluvních stran.</w:t>
      </w:r>
    </w:p>
    <w:p w:rsidR="005E14D1" w:rsidRDefault="00CE2022">
      <w:pPr>
        <w:numPr>
          <w:ilvl w:val="0"/>
          <w:numId w:val="7"/>
        </w:numPr>
        <w:ind w:left="691" w:right="14" w:hanging="353"/>
      </w:pPr>
      <w:r>
        <w:t xml:space="preserve">Práva a povinnosti pronajímatele a nájemce neupravené touto smlouvou se řídí občanským zákoníkem (zákon č. 89/2012 Sb., ve znění pozdějších předpisů) a dalšími obecně závaznými právními předpisy České republiky a Evropské unie. Označení „nebytový prostor” </w:t>
      </w:r>
      <w:r>
        <w:t>dle této smlouvy je třeba vykládat jako „prostor sloužící k podnikání” dle S 2302 odst. 1 občanského zákoníku.</w:t>
      </w:r>
    </w:p>
    <w:p w:rsidR="005E14D1" w:rsidRDefault="00CE2022">
      <w:pPr>
        <w:numPr>
          <w:ilvl w:val="0"/>
          <w:numId w:val="7"/>
        </w:numPr>
        <w:spacing w:after="0" w:line="259" w:lineRule="auto"/>
        <w:ind w:left="691" w:right="14" w:hanging="353"/>
      </w:pPr>
      <w:r>
        <w:t>Tato smlouva byla sepsána ve čtyřech vyhotoveních. Každá smluvní strana obdržela po podpisu smlouvy dva její</w:t>
      </w:r>
    </w:p>
    <w:p w:rsidR="005E14D1" w:rsidRDefault="005E14D1">
      <w:pPr>
        <w:sectPr w:rsidR="005E14D1">
          <w:type w:val="continuous"/>
          <w:pgSz w:w="11909" w:h="16841"/>
          <w:pgMar w:top="1047" w:right="1353" w:bottom="2630" w:left="1418" w:header="708" w:footer="708" w:gutter="0"/>
          <w:cols w:space="708"/>
        </w:sectPr>
      </w:pPr>
    </w:p>
    <w:p w:rsidR="005E14D1" w:rsidRDefault="00CE2022">
      <w:pPr>
        <w:spacing w:after="656"/>
        <w:ind w:left="712" w:right="14" w:firstLine="0"/>
      </w:pPr>
      <w:r>
        <w:t>exempláře.</w:t>
      </w:r>
    </w:p>
    <w:p w:rsidR="005E14D1" w:rsidRDefault="00CE2022">
      <w:pPr>
        <w:spacing w:after="185"/>
        <w:ind w:left="0" w:right="14" w:firstLine="0"/>
      </w:pPr>
      <w:r>
        <w:t>za pronaj</w:t>
      </w:r>
      <w:r>
        <w:t>ímatele:</w:t>
      </w:r>
    </w:p>
    <w:p w:rsidR="005E14D1" w:rsidRDefault="00CE2022">
      <w:pPr>
        <w:spacing w:after="825"/>
        <w:ind w:left="0" w:right="14" w:firstLine="0"/>
      </w:pPr>
      <w:r>
        <w:t>V Ústí nad Labem dne 11. 3. 2016</w:t>
      </w:r>
    </w:p>
    <w:p w:rsidR="005E14D1" w:rsidRDefault="00CE2022">
      <w:pPr>
        <w:tabs>
          <w:tab w:val="center" w:pos="2925"/>
          <w:tab w:val="center" w:pos="3612"/>
        </w:tabs>
        <w:spacing w:after="1" w:line="259" w:lineRule="auto"/>
        <w:ind w:left="0" w:right="0" w:firstLine="0"/>
        <w:jc w:val="left"/>
      </w:pPr>
      <w:r>
        <w:rPr>
          <w:sz w:val="16"/>
        </w:rPr>
        <w:lastRenderedPageBreak/>
        <w:tab/>
        <w:t xml:space="preserve">V </w:t>
      </w:r>
      <w:r>
        <w:rPr>
          <w:sz w:val="16"/>
        </w:rPr>
        <w:tab/>
        <w:t>nad Labem</w:t>
      </w:r>
    </w:p>
    <w:p w:rsidR="005E14D1" w:rsidRDefault="00CE2022">
      <w:pPr>
        <w:tabs>
          <w:tab w:val="center" w:pos="3461"/>
          <w:tab w:val="right" w:pos="4260"/>
        </w:tabs>
        <w:spacing w:after="649" w:line="259" w:lineRule="auto"/>
        <w:ind w:left="0" w:right="0" w:firstLine="0"/>
        <w:jc w:val="left"/>
      </w:pPr>
      <w:r>
        <w:rPr>
          <w:sz w:val="14"/>
        </w:rPr>
        <w:tab/>
        <w:t xml:space="preserve">„stí </w:t>
      </w:r>
      <w:r>
        <w:rPr>
          <w:sz w:val="14"/>
        </w:rPr>
        <w:tab/>
        <w:t>Labem</w:t>
      </w:r>
    </w:p>
    <w:p w:rsidR="005E14D1" w:rsidRDefault="00CE2022">
      <w:pPr>
        <w:ind w:left="29" w:right="2461" w:firstLine="0"/>
      </w:pPr>
      <w:r>
        <w:t>Ing, Pavel Bernáth ředitel</w:t>
      </w:r>
    </w:p>
    <w:p w:rsidR="005E14D1" w:rsidRDefault="00CE2022">
      <w:pPr>
        <w:spacing w:after="201" w:line="259" w:lineRule="auto"/>
        <w:ind w:left="36" w:right="0" w:firstLine="0"/>
        <w:jc w:val="left"/>
      </w:pPr>
      <w:r>
        <w:rPr>
          <w:sz w:val="16"/>
        </w:rPr>
        <w:t>za nájemce:_</w:t>
      </w:r>
    </w:p>
    <w:p w:rsidR="005E14D1" w:rsidRDefault="00CE2022">
      <w:pPr>
        <w:spacing w:after="421"/>
        <w:ind w:left="0" w:right="14" w:firstLine="0"/>
      </w:pPr>
      <w:r>
        <w:t>-V Hořovicích dne:</w:t>
      </w:r>
    </w:p>
    <w:p w:rsidR="005E14D1" w:rsidRDefault="00CE2022">
      <w:pPr>
        <w:spacing w:after="0" w:line="259" w:lineRule="auto"/>
        <w:ind w:left="640" w:right="0" w:firstLine="0"/>
        <w:jc w:val="center"/>
      </w:pPr>
      <w:r>
        <w:rPr>
          <w:sz w:val="24"/>
        </w:rPr>
        <w:t>a,</w:t>
      </w:r>
    </w:p>
    <w:p w:rsidR="005E14D1" w:rsidRDefault="00CE2022">
      <w:pPr>
        <w:spacing w:after="81" w:line="259" w:lineRule="auto"/>
        <w:ind w:left="1382" w:right="0" w:firstLine="0"/>
        <w:jc w:val="left"/>
      </w:pPr>
      <w:r>
        <w:rPr>
          <w:sz w:val="24"/>
        </w:rPr>
        <w:t>HÖ'OV\CE</w:t>
      </w:r>
    </w:p>
    <w:p w:rsidR="005E14D1" w:rsidRDefault="00CE2022">
      <w:pPr>
        <w:spacing w:after="9"/>
        <w:ind w:left="1288" w:right="14" w:firstLine="230"/>
      </w:pPr>
      <w:r>
        <w:t>268 31 Hořovice fax: +420 311 539 050 r: cz699004146</w:t>
      </w:r>
    </w:p>
    <w:p w:rsidR="005E14D1" w:rsidRDefault="00CE2022">
      <w:pPr>
        <w:ind w:left="58" w:right="389" w:firstLine="0"/>
      </w:pPr>
      <w:r>
        <w:t>MUDr. M'cha r ša, MBA ředitel</w:t>
      </w:r>
    </w:p>
    <w:sectPr w:rsidR="005E14D1">
      <w:type w:val="continuous"/>
      <w:pgSz w:w="11909" w:h="16841"/>
      <w:pgMar w:top="1440" w:right="1979" w:bottom="1440" w:left="1461" w:header="708" w:footer="708" w:gutter="0"/>
      <w:cols w:num="2" w:space="708" w:equalWidth="0">
        <w:col w:w="4260" w:space="1396"/>
        <w:col w:w="28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E2022">
      <w:pPr>
        <w:spacing w:after="0" w:line="240" w:lineRule="auto"/>
      </w:pPr>
      <w:r>
        <w:separator/>
      </w:r>
    </w:p>
  </w:endnote>
  <w:endnote w:type="continuationSeparator" w:id="0">
    <w:p w:rsidR="00000000" w:rsidRDefault="00CE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D1" w:rsidRDefault="00CE2022">
    <w:pPr>
      <w:spacing w:after="0" w:line="259" w:lineRule="auto"/>
      <w:ind w:left="65" w:right="0" w:firstLine="0"/>
      <w:jc w:val="center"/>
    </w:pPr>
    <w:r>
      <w:rPr>
        <w:sz w:val="1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4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4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D1" w:rsidRDefault="00CE2022">
    <w:pPr>
      <w:spacing w:after="0" w:line="259" w:lineRule="auto"/>
      <w:ind w:left="65" w:right="0" w:firstLine="0"/>
      <w:jc w:val="center"/>
    </w:pPr>
    <w:r>
      <w:rPr>
        <w:sz w:val="1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CE2022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4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Pr="00CE2022">
      <w:rPr>
        <w:noProof/>
        <w:sz w:val="14"/>
      </w:rPr>
      <w:t>5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D1" w:rsidRDefault="00CE2022">
    <w:pPr>
      <w:spacing w:after="0" w:line="259" w:lineRule="auto"/>
      <w:ind w:left="65" w:right="0" w:firstLine="0"/>
      <w:jc w:val="center"/>
    </w:pPr>
    <w:r>
      <w:rPr>
        <w:sz w:val="1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4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4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E2022">
      <w:pPr>
        <w:spacing w:after="0" w:line="240" w:lineRule="auto"/>
      </w:pPr>
      <w:r>
        <w:separator/>
      </w:r>
    </w:p>
  </w:footnote>
  <w:footnote w:type="continuationSeparator" w:id="0">
    <w:p w:rsidR="00000000" w:rsidRDefault="00CE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7B5"/>
    <w:multiLevelType w:val="hybridMultilevel"/>
    <w:tmpl w:val="C7D49F78"/>
    <w:lvl w:ilvl="0" w:tplc="438008D4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1EFB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CCF8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7A2D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C6B9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0202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4E32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123D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700C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A18A0"/>
    <w:multiLevelType w:val="hybridMultilevel"/>
    <w:tmpl w:val="B2FAC95C"/>
    <w:lvl w:ilvl="0" w:tplc="73DAFCFC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C6DF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585D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306B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1857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A441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84FC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9034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D204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250097"/>
    <w:multiLevelType w:val="hybridMultilevel"/>
    <w:tmpl w:val="BBBA7E4A"/>
    <w:lvl w:ilvl="0" w:tplc="505642EC">
      <w:start w:val="1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655B2">
      <w:start w:val="1"/>
      <w:numFmt w:val="lowerLetter"/>
      <w:lvlText w:val="%2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B844B4">
      <w:start w:val="1"/>
      <w:numFmt w:val="lowerRoman"/>
      <w:lvlText w:val="%3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0C347C">
      <w:start w:val="1"/>
      <w:numFmt w:val="decimal"/>
      <w:lvlText w:val="%4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041654">
      <w:start w:val="1"/>
      <w:numFmt w:val="lowerLetter"/>
      <w:lvlText w:val="%5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7E2E64">
      <w:start w:val="1"/>
      <w:numFmt w:val="lowerRoman"/>
      <w:lvlText w:val="%6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A3822">
      <w:start w:val="1"/>
      <w:numFmt w:val="decimal"/>
      <w:lvlText w:val="%7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AAE4B8">
      <w:start w:val="1"/>
      <w:numFmt w:val="lowerLetter"/>
      <w:lvlText w:val="%8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2E9C2">
      <w:start w:val="1"/>
      <w:numFmt w:val="lowerRoman"/>
      <w:lvlText w:val="%9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FB1BA7"/>
    <w:multiLevelType w:val="hybridMultilevel"/>
    <w:tmpl w:val="17A0C926"/>
    <w:lvl w:ilvl="0" w:tplc="2D72FE6E">
      <w:start w:val="3"/>
      <w:numFmt w:val="decimal"/>
      <w:lvlText w:val="%1.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2672C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6A2A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66FEB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3409D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808CA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50174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14C2AE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4CCBE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C41878"/>
    <w:multiLevelType w:val="hybridMultilevel"/>
    <w:tmpl w:val="D26E535A"/>
    <w:lvl w:ilvl="0" w:tplc="FAB4973A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BA4644">
      <w:start w:val="1"/>
      <w:numFmt w:val="lowerLetter"/>
      <w:lvlText w:val="%2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426570">
      <w:start w:val="1"/>
      <w:numFmt w:val="lowerRoman"/>
      <w:lvlText w:val="%3"/>
      <w:lvlJc w:val="left"/>
      <w:pPr>
        <w:ind w:left="1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082134">
      <w:start w:val="1"/>
      <w:numFmt w:val="decimal"/>
      <w:lvlText w:val="%4"/>
      <w:lvlJc w:val="left"/>
      <w:pPr>
        <w:ind w:left="2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1A4036">
      <w:start w:val="1"/>
      <w:numFmt w:val="lowerLetter"/>
      <w:lvlText w:val="%5"/>
      <w:lvlJc w:val="left"/>
      <w:pPr>
        <w:ind w:left="3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7CB10E">
      <w:start w:val="1"/>
      <w:numFmt w:val="lowerRoman"/>
      <w:lvlText w:val="%6"/>
      <w:lvlJc w:val="left"/>
      <w:pPr>
        <w:ind w:left="4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BA6A08">
      <w:start w:val="1"/>
      <w:numFmt w:val="decimal"/>
      <w:lvlText w:val="%7"/>
      <w:lvlJc w:val="left"/>
      <w:pPr>
        <w:ind w:left="4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C2FB66">
      <w:start w:val="1"/>
      <w:numFmt w:val="lowerLetter"/>
      <w:lvlText w:val="%8"/>
      <w:lvlJc w:val="left"/>
      <w:pPr>
        <w:ind w:left="5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83492">
      <w:start w:val="1"/>
      <w:numFmt w:val="lowerRoman"/>
      <w:lvlText w:val="%9"/>
      <w:lvlJc w:val="left"/>
      <w:pPr>
        <w:ind w:left="6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1964D1"/>
    <w:multiLevelType w:val="hybridMultilevel"/>
    <w:tmpl w:val="E93AFE98"/>
    <w:lvl w:ilvl="0" w:tplc="B4FCDA98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C887F2">
      <w:start w:val="1"/>
      <w:numFmt w:val="decimal"/>
      <w:lvlText w:val="%2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8EA23A">
      <w:start w:val="1"/>
      <w:numFmt w:val="lowerLetter"/>
      <w:lvlText w:val="%3."/>
      <w:lvlJc w:val="left"/>
      <w:pPr>
        <w:ind w:left="1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EBF0A">
      <w:start w:val="1"/>
      <w:numFmt w:val="decimal"/>
      <w:lvlText w:val="%4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A69B0E">
      <w:start w:val="1"/>
      <w:numFmt w:val="lowerLetter"/>
      <w:lvlText w:val="%5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828B34">
      <w:start w:val="1"/>
      <w:numFmt w:val="lowerRoman"/>
      <w:lvlText w:val="%6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8D1DA">
      <w:start w:val="1"/>
      <w:numFmt w:val="decimal"/>
      <w:lvlText w:val="%7"/>
      <w:lvlJc w:val="left"/>
      <w:pPr>
        <w:ind w:left="4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8EA3D2">
      <w:start w:val="1"/>
      <w:numFmt w:val="lowerLetter"/>
      <w:lvlText w:val="%8"/>
      <w:lvlJc w:val="left"/>
      <w:pPr>
        <w:ind w:left="5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901E18">
      <w:start w:val="1"/>
      <w:numFmt w:val="lowerRoman"/>
      <w:lvlText w:val="%9"/>
      <w:lvlJc w:val="left"/>
      <w:pPr>
        <w:ind w:left="6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475CC3"/>
    <w:multiLevelType w:val="hybridMultilevel"/>
    <w:tmpl w:val="02BAE22C"/>
    <w:lvl w:ilvl="0" w:tplc="4AFCF6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B04162">
      <w:start w:val="1"/>
      <w:numFmt w:val="lowerLetter"/>
      <w:lvlText w:val="%2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6EAC8">
      <w:start w:val="1"/>
      <w:numFmt w:val="lowerLetter"/>
      <w:lvlRestart w:val="0"/>
      <w:lvlText w:val="%3."/>
      <w:lvlJc w:val="left"/>
      <w:pPr>
        <w:ind w:left="1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F022">
      <w:start w:val="1"/>
      <w:numFmt w:val="decimal"/>
      <w:lvlText w:val="%4"/>
      <w:lvlJc w:val="left"/>
      <w:pPr>
        <w:ind w:left="2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AEA00">
      <w:start w:val="1"/>
      <w:numFmt w:val="lowerLetter"/>
      <w:lvlText w:val="%5"/>
      <w:lvlJc w:val="left"/>
      <w:pPr>
        <w:ind w:left="3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F843C4">
      <w:start w:val="1"/>
      <w:numFmt w:val="lowerRoman"/>
      <w:lvlText w:val="%6"/>
      <w:lvlJc w:val="left"/>
      <w:pPr>
        <w:ind w:left="3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0C52">
      <w:start w:val="1"/>
      <w:numFmt w:val="decimal"/>
      <w:lvlText w:val="%7"/>
      <w:lvlJc w:val="left"/>
      <w:pPr>
        <w:ind w:left="4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058D8">
      <w:start w:val="1"/>
      <w:numFmt w:val="lowerLetter"/>
      <w:lvlText w:val="%8"/>
      <w:lvlJc w:val="left"/>
      <w:pPr>
        <w:ind w:left="5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46D478">
      <w:start w:val="1"/>
      <w:numFmt w:val="lowerRoman"/>
      <w:lvlText w:val="%9"/>
      <w:lvlJc w:val="left"/>
      <w:pPr>
        <w:ind w:left="6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D1"/>
    <w:rsid w:val="005E14D1"/>
    <w:rsid w:val="00C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1E9BB-3C85-47BC-ADB2-92E8ABFC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0" w:line="248" w:lineRule="auto"/>
      <w:ind w:left="3198" w:right="2929" w:hanging="363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5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2018-01-23T13:17:00Z</dcterms:created>
  <dcterms:modified xsi:type="dcterms:W3CDTF">2018-01-23T13:17:00Z</dcterms:modified>
</cp:coreProperties>
</file>