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464A6" w14:textId="77777777" w:rsidR="00626828" w:rsidRDefault="00124C25" w:rsidP="0027477A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Smlouva</w:t>
      </w:r>
      <w:r w:rsidR="003144A5">
        <w:rPr>
          <w:b/>
          <w:sz w:val="36"/>
          <w:szCs w:val="36"/>
        </w:rPr>
        <w:t xml:space="preserve"> o</w:t>
      </w:r>
      <w:r w:rsidR="00FB0590">
        <w:rPr>
          <w:b/>
          <w:sz w:val="36"/>
          <w:szCs w:val="36"/>
        </w:rPr>
        <w:t xml:space="preserve"> </w:t>
      </w:r>
      <w:r w:rsidR="00CE3B74">
        <w:rPr>
          <w:b/>
          <w:sz w:val="36"/>
          <w:szCs w:val="36"/>
        </w:rPr>
        <w:t xml:space="preserve">pilotním projektu podpory racionální preskripce </w:t>
      </w:r>
      <w:r w:rsidR="005E2BC6">
        <w:rPr>
          <w:b/>
          <w:sz w:val="36"/>
          <w:szCs w:val="36"/>
        </w:rPr>
        <w:t>OZP</w:t>
      </w:r>
      <w:r w:rsidR="00CE3B74">
        <w:rPr>
          <w:b/>
          <w:sz w:val="36"/>
          <w:szCs w:val="36"/>
        </w:rPr>
        <w:t xml:space="preserve"> prostřednictvím ambulantních informačních systémů</w:t>
      </w:r>
    </w:p>
    <w:p w14:paraId="20E616C3" w14:textId="77777777" w:rsidR="00124C25" w:rsidRDefault="00124C25" w:rsidP="00626828">
      <w:pPr>
        <w:spacing w:after="120"/>
        <w:jc w:val="center"/>
        <w:rPr>
          <w:b/>
          <w:sz w:val="36"/>
          <w:szCs w:val="36"/>
        </w:rPr>
      </w:pPr>
    </w:p>
    <w:p w14:paraId="3604043E" w14:textId="77777777" w:rsidR="00E365BA" w:rsidRPr="00C422FE" w:rsidRDefault="00E365BA" w:rsidP="00124C25">
      <w:pPr>
        <w:jc w:val="center"/>
      </w:pPr>
      <w:r w:rsidRPr="00C422FE">
        <w:t xml:space="preserve">uzavřená podle zák. č. </w:t>
      </w:r>
      <w:r w:rsidR="002515A5">
        <w:t>89</w:t>
      </w:r>
      <w:r w:rsidRPr="00C422FE">
        <w:t>/</w:t>
      </w:r>
      <w:r w:rsidR="002515A5">
        <w:t>2012</w:t>
      </w:r>
      <w:r w:rsidR="002515A5" w:rsidRPr="00C422FE">
        <w:t xml:space="preserve"> </w:t>
      </w:r>
      <w:r w:rsidRPr="00C422FE">
        <w:t>Sb.,</w:t>
      </w:r>
      <w:r w:rsidR="009B3EFA">
        <w:t xml:space="preserve"> </w:t>
      </w:r>
      <w:r w:rsidR="002515A5" w:rsidRPr="00C422FE">
        <w:t>ob</w:t>
      </w:r>
      <w:r w:rsidR="002515A5">
        <w:t>čanský</w:t>
      </w:r>
      <w:r w:rsidR="002515A5" w:rsidRPr="00C422FE">
        <w:t xml:space="preserve"> </w:t>
      </w:r>
      <w:r w:rsidRPr="00C422FE">
        <w:t>zákoník, ve</w:t>
      </w:r>
      <w:r w:rsidR="00AA4DA2" w:rsidRPr="00C422FE">
        <w:t xml:space="preserve"> </w:t>
      </w:r>
      <w:r w:rsidRPr="00C422FE">
        <w:t>znění pozdějších předpisů (dále jen „ob</w:t>
      </w:r>
      <w:r w:rsidR="002515A5">
        <w:t>čanský</w:t>
      </w:r>
      <w:r w:rsidRPr="00C422FE">
        <w:t xml:space="preserve"> zákoník“)</w:t>
      </w:r>
    </w:p>
    <w:p w14:paraId="53238A5A" w14:textId="77777777" w:rsidR="008849B1" w:rsidRPr="00C422FE" w:rsidRDefault="008849B1"/>
    <w:p w14:paraId="157F71A5" w14:textId="77777777" w:rsidR="00383C2A" w:rsidRPr="00C422FE" w:rsidRDefault="00383C2A" w:rsidP="00383C2A">
      <w:pPr>
        <w:ind w:left="720"/>
      </w:pPr>
    </w:p>
    <w:p w14:paraId="55377D57" w14:textId="77777777" w:rsidR="004B263E" w:rsidRPr="00C422FE" w:rsidRDefault="005F218D" w:rsidP="002A0CC7">
      <w:pPr>
        <w:ind w:left="709"/>
        <w:rPr>
          <w:b/>
          <w:bCs/>
        </w:rPr>
      </w:pPr>
      <w:proofErr w:type="spellStart"/>
      <w:r w:rsidRPr="00C422FE">
        <w:rPr>
          <w:b/>
          <w:bCs/>
        </w:rPr>
        <w:t>CompuGroup</w:t>
      </w:r>
      <w:proofErr w:type="spellEnd"/>
      <w:r w:rsidR="004B263E" w:rsidRPr="00C422FE">
        <w:rPr>
          <w:b/>
          <w:bCs/>
        </w:rPr>
        <w:t xml:space="preserve"> </w:t>
      </w:r>
      <w:proofErr w:type="spellStart"/>
      <w:r w:rsidR="004B263E" w:rsidRPr="00C422FE">
        <w:rPr>
          <w:b/>
          <w:bCs/>
        </w:rPr>
        <w:t>Medical</w:t>
      </w:r>
      <w:proofErr w:type="spellEnd"/>
      <w:r w:rsidR="004B263E" w:rsidRPr="00C422FE">
        <w:rPr>
          <w:b/>
          <w:bCs/>
        </w:rPr>
        <w:t xml:space="preserve"> Česká republika s.r.o.</w:t>
      </w:r>
      <w:r w:rsidR="004B263E" w:rsidRPr="00C422FE" w:rsidDel="004B263E">
        <w:rPr>
          <w:b/>
          <w:bCs/>
        </w:rPr>
        <w:t xml:space="preserve"> </w:t>
      </w:r>
    </w:p>
    <w:p w14:paraId="4CD04780" w14:textId="77777777" w:rsidR="002A0CC7" w:rsidRPr="00C422FE" w:rsidRDefault="002A0CC7" w:rsidP="002A0CC7">
      <w:pPr>
        <w:ind w:left="709"/>
      </w:pPr>
      <w:r w:rsidRPr="00C422FE">
        <w:t xml:space="preserve">zapsaná v obchodním rejstříku vedeném Městským soudem v Praze, </w:t>
      </w:r>
    </w:p>
    <w:p w14:paraId="6D53CB9E" w14:textId="77777777" w:rsidR="002A0CC7" w:rsidRPr="00C422FE" w:rsidRDefault="002A0CC7" w:rsidP="002A0CC7">
      <w:pPr>
        <w:ind w:left="709"/>
      </w:pPr>
      <w:r w:rsidRPr="00C422FE">
        <w:t xml:space="preserve">oddíl C, vložka </w:t>
      </w:r>
      <w:r w:rsidR="004B263E" w:rsidRPr="00C422FE">
        <w:t>131584</w:t>
      </w:r>
      <w:r w:rsidRPr="00C422FE">
        <w:t xml:space="preserve"> </w:t>
      </w:r>
    </w:p>
    <w:p w14:paraId="42B76F99" w14:textId="77777777" w:rsidR="002A0CC7" w:rsidRPr="00C422FE" w:rsidRDefault="00BC191C" w:rsidP="006571B5">
      <w:pPr>
        <w:tabs>
          <w:tab w:val="left" w:pos="1985"/>
        </w:tabs>
        <w:ind w:left="709"/>
      </w:pPr>
      <w:r>
        <w:t>se sídlem:</w:t>
      </w:r>
      <w:r>
        <w:tab/>
      </w:r>
      <w:r w:rsidR="00D84C84">
        <w:t>Bucharova 2657/12, 158 00 Praha 5</w:t>
      </w:r>
    </w:p>
    <w:p w14:paraId="12411C86" w14:textId="77777777" w:rsidR="004B263E" w:rsidRPr="00C422FE" w:rsidRDefault="002A0CC7" w:rsidP="006571B5">
      <w:pPr>
        <w:tabs>
          <w:tab w:val="left" w:pos="1985"/>
        </w:tabs>
        <w:ind w:left="709"/>
      </w:pPr>
      <w:r w:rsidRPr="00C422FE">
        <w:t>IČ</w:t>
      </w:r>
      <w:r w:rsidR="00B660BF" w:rsidRPr="00C422FE">
        <w:t>O</w:t>
      </w:r>
      <w:r w:rsidR="00BC191C">
        <w:t>:</w:t>
      </w:r>
      <w:r w:rsidR="00BC191C">
        <w:tab/>
      </w:r>
      <w:r w:rsidR="004B263E" w:rsidRPr="00C422FE">
        <w:t>47902442</w:t>
      </w:r>
    </w:p>
    <w:p w14:paraId="66EFEF48" w14:textId="77777777" w:rsidR="004B263E" w:rsidRPr="00C422FE" w:rsidRDefault="002A0CC7" w:rsidP="006571B5">
      <w:pPr>
        <w:tabs>
          <w:tab w:val="left" w:pos="1985"/>
        </w:tabs>
        <w:ind w:left="709"/>
      </w:pPr>
      <w:r w:rsidRPr="00C422FE">
        <w:t>DIČ:</w:t>
      </w:r>
      <w:r w:rsidR="00BC191C">
        <w:tab/>
      </w:r>
      <w:r w:rsidRPr="00C422FE">
        <w:t>CZ</w:t>
      </w:r>
      <w:r w:rsidR="004B263E" w:rsidRPr="00C422FE">
        <w:t>47902442</w:t>
      </w:r>
    </w:p>
    <w:p w14:paraId="1DBB9C9D" w14:textId="3C95D0B3" w:rsidR="004B263E" w:rsidRDefault="006571B5" w:rsidP="006571B5">
      <w:pPr>
        <w:tabs>
          <w:tab w:val="left" w:pos="1985"/>
        </w:tabs>
        <w:ind w:left="709"/>
      </w:pPr>
      <w:r>
        <w:t>zastoupen</w:t>
      </w:r>
      <w:r w:rsidR="00652E49">
        <w:t>a</w:t>
      </w:r>
      <w:r w:rsidR="002A0CC7" w:rsidRPr="00C422FE">
        <w:t>:</w:t>
      </w:r>
      <w:r w:rsidR="00BC191C">
        <w:tab/>
      </w:r>
      <w:r w:rsidR="00FB406E" w:rsidRPr="00FB406E">
        <w:t>Bc. Vladimír Přikryl, jednatel</w:t>
      </w:r>
      <w:r w:rsidR="00D84C84">
        <w:t xml:space="preserve"> a </w:t>
      </w:r>
      <w:r w:rsidR="005D7080" w:rsidRPr="005D7080">
        <w:t xml:space="preserve">Dan Navrátil </w:t>
      </w:r>
      <w:proofErr w:type="spellStart"/>
      <w:r w:rsidR="005D7080" w:rsidRPr="005D7080">
        <w:t>MSc</w:t>
      </w:r>
      <w:proofErr w:type="spellEnd"/>
      <w:r w:rsidR="005D7080" w:rsidRPr="005D7080">
        <w:t>., MBA.</w:t>
      </w:r>
      <w:r w:rsidR="00D84C84">
        <w:t>, jednatel</w:t>
      </w:r>
    </w:p>
    <w:p w14:paraId="4173E563" w14:textId="77777777" w:rsidR="00FB406E" w:rsidRPr="00C422FE" w:rsidRDefault="00FB406E" w:rsidP="00FB406E">
      <w:pPr>
        <w:tabs>
          <w:tab w:val="left" w:pos="1843"/>
        </w:tabs>
        <w:ind w:left="709"/>
      </w:pPr>
    </w:p>
    <w:p w14:paraId="1633E334" w14:textId="77777777" w:rsidR="002A0CC7" w:rsidRPr="00C422FE" w:rsidRDefault="002A0CC7" w:rsidP="002A0CC7">
      <w:pPr>
        <w:ind w:left="709"/>
      </w:pPr>
      <w:r w:rsidRPr="00C422FE">
        <w:t>(dále jen „</w:t>
      </w:r>
      <w:r w:rsidR="008B062E" w:rsidRPr="00C422FE">
        <w:t>P</w:t>
      </w:r>
      <w:r w:rsidRPr="00C422FE">
        <w:t>oskytovatel“)</w:t>
      </w:r>
    </w:p>
    <w:p w14:paraId="5FA00C5E" w14:textId="77777777" w:rsidR="002A0CC7" w:rsidRPr="00C422FE" w:rsidRDefault="002A0CC7">
      <w:pPr>
        <w:ind w:left="720"/>
      </w:pPr>
    </w:p>
    <w:p w14:paraId="1A07611F" w14:textId="77777777" w:rsidR="008849B1" w:rsidRPr="00C422FE" w:rsidRDefault="008849B1">
      <w:pPr>
        <w:ind w:left="720"/>
      </w:pPr>
      <w:r w:rsidRPr="00C422FE">
        <w:t xml:space="preserve">a </w:t>
      </w:r>
    </w:p>
    <w:p w14:paraId="2825961D" w14:textId="77777777" w:rsidR="005E2BC6" w:rsidRPr="005E2BC6" w:rsidRDefault="005E2BC6" w:rsidP="005E2BC6">
      <w:pPr>
        <w:rPr>
          <w:b/>
        </w:rPr>
      </w:pPr>
      <w:r w:rsidRPr="005E2BC6">
        <w:rPr>
          <w:b/>
        </w:rPr>
        <w:tab/>
      </w:r>
    </w:p>
    <w:p w14:paraId="44FCA4AF" w14:textId="77777777" w:rsidR="00B01AB0" w:rsidRPr="00C422FE" w:rsidRDefault="005E2BC6" w:rsidP="005E2BC6">
      <w:pPr>
        <w:ind w:left="720"/>
        <w:rPr>
          <w:b/>
        </w:rPr>
      </w:pPr>
      <w:r w:rsidRPr="005E2BC6">
        <w:rPr>
          <w:b/>
        </w:rPr>
        <w:t>Oborová zdravotní pojišťovna zaměstnanců bank, pojišťoven a stavebnictví</w:t>
      </w:r>
    </w:p>
    <w:p w14:paraId="2B46B8B9" w14:textId="77777777" w:rsidR="00BC191C" w:rsidRDefault="00CE3B74" w:rsidP="003F488D">
      <w:pPr>
        <w:ind w:left="720"/>
      </w:pPr>
      <w:r>
        <w:t>vedená u</w:t>
      </w:r>
      <w:r w:rsidR="006757ED" w:rsidRPr="006757ED">
        <w:t xml:space="preserve"> Městského soudu v</w:t>
      </w:r>
      <w:r w:rsidR="006757ED">
        <w:t> </w:t>
      </w:r>
      <w:r w:rsidR="006757ED" w:rsidRPr="006757ED">
        <w:t>Praze</w:t>
      </w:r>
      <w:r w:rsidR="006757ED">
        <w:t>, spisová značka A 7232</w:t>
      </w:r>
    </w:p>
    <w:p w14:paraId="5329614E" w14:textId="1E79A51D" w:rsidR="003F59DA" w:rsidRPr="00C422FE" w:rsidRDefault="00B660BF" w:rsidP="00BC191C">
      <w:pPr>
        <w:tabs>
          <w:tab w:val="left" w:pos="1843"/>
        </w:tabs>
        <w:ind w:left="720"/>
        <w:rPr>
          <w:bCs/>
        </w:rPr>
      </w:pPr>
      <w:r w:rsidRPr="00C422FE">
        <w:t>s</w:t>
      </w:r>
      <w:r w:rsidR="00A905FE" w:rsidRPr="00C422FE">
        <w:t xml:space="preserve">e </w:t>
      </w:r>
      <w:r w:rsidR="003F59DA" w:rsidRPr="00C422FE">
        <w:t>sídlem:</w:t>
      </w:r>
      <w:r w:rsidR="00BC191C">
        <w:tab/>
      </w:r>
      <w:r w:rsidR="005E2BC6" w:rsidRPr="005E2BC6">
        <w:rPr>
          <w:bCs/>
        </w:rPr>
        <w:t>Praha 4, Roškotova 1225/1, PSČ 140</w:t>
      </w:r>
      <w:r w:rsidR="00C82238">
        <w:rPr>
          <w:bCs/>
        </w:rPr>
        <w:t xml:space="preserve"> 21</w:t>
      </w:r>
    </w:p>
    <w:p w14:paraId="7586CDD7" w14:textId="77777777" w:rsidR="003F59DA" w:rsidRPr="00C422FE" w:rsidRDefault="003F59DA" w:rsidP="006571B5">
      <w:pPr>
        <w:tabs>
          <w:tab w:val="left" w:pos="2127"/>
        </w:tabs>
        <w:ind w:left="720"/>
      </w:pPr>
      <w:r w:rsidRPr="00C422FE">
        <w:t>IČ</w:t>
      </w:r>
      <w:r w:rsidR="00B660BF" w:rsidRPr="00C422FE">
        <w:t>O</w:t>
      </w:r>
      <w:r w:rsidR="00BC191C">
        <w:t>:</w:t>
      </w:r>
      <w:r w:rsidR="00BC191C">
        <w:tab/>
      </w:r>
      <w:r w:rsidR="006757ED" w:rsidRPr="006757ED">
        <w:t>47114321</w:t>
      </w:r>
    </w:p>
    <w:p w14:paraId="4F93AF82" w14:textId="77777777" w:rsidR="003144A5" w:rsidRPr="00C422FE" w:rsidRDefault="003F59DA" w:rsidP="006571B5">
      <w:pPr>
        <w:tabs>
          <w:tab w:val="left" w:pos="2127"/>
        </w:tabs>
        <w:ind w:left="720"/>
      </w:pPr>
      <w:r w:rsidRPr="00C422FE">
        <w:t>DIČ:</w:t>
      </w:r>
      <w:r w:rsidR="00BC191C">
        <w:tab/>
      </w:r>
      <w:r w:rsidR="00410E63" w:rsidRPr="00410E63">
        <w:t>CZ</w:t>
      </w:r>
      <w:r w:rsidR="006757ED" w:rsidRPr="006757ED">
        <w:t>47114321</w:t>
      </w:r>
    </w:p>
    <w:p w14:paraId="6FC0F88C" w14:textId="3BC019B6" w:rsidR="00E32E2E" w:rsidRPr="00C422FE" w:rsidRDefault="006571B5" w:rsidP="006571B5">
      <w:pPr>
        <w:pStyle w:val="Nadpis3"/>
        <w:ind w:left="720"/>
      </w:pPr>
      <w:r>
        <w:rPr>
          <w:rFonts w:ascii="Times New Roman" w:hAnsi="Times New Roman"/>
          <w:szCs w:val="24"/>
        </w:rPr>
        <w:t>zastoupen</w:t>
      </w:r>
      <w:r w:rsidR="00652E49">
        <w:rPr>
          <w:rFonts w:ascii="Times New Roman" w:hAnsi="Times New Roman"/>
          <w:szCs w:val="24"/>
        </w:rPr>
        <w:t>a</w:t>
      </w:r>
      <w:r w:rsidR="003144A5" w:rsidRPr="00C422FE">
        <w:rPr>
          <w:rFonts w:ascii="Times New Roman" w:hAnsi="Times New Roman"/>
          <w:szCs w:val="24"/>
        </w:rPr>
        <w:t>:</w:t>
      </w:r>
      <w:r w:rsidR="006757ED">
        <w:rPr>
          <w:rFonts w:ascii="Times New Roman" w:hAnsi="Times New Roman"/>
          <w:szCs w:val="24"/>
        </w:rPr>
        <w:tab/>
      </w:r>
      <w:r w:rsidR="006757ED" w:rsidRPr="006757ED">
        <w:rPr>
          <w:rFonts w:ascii="Times New Roman" w:hAnsi="Times New Roman"/>
          <w:szCs w:val="24"/>
        </w:rPr>
        <w:t>Ing. R</w:t>
      </w:r>
      <w:r w:rsidR="006757ED">
        <w:rPr>
          <w:rFonts w:ascii="Times New Roman" w:hAnsi="Times New Roman"/>
          <w:szCs w:val="24"/>
        </w:rPr>
        <w:t xml:space="preserve">adovan </w:t>
      </w:r>
      <w:r w:rsidR="006757ED" w:rsidRPr="006757ED">
        <w:rPr>
          <w:rFonts w:ascii="Times New Roman" w:hAnsi="Times New Roman"/>
          <w:szCs w:val="24"/>
        </w:rPr>
        <w:t>K</w:t>
      </w:r>
      <w:r w:rsidR="006757ED">
        <w:rPr>
          <w:rFonts w:ascii="Times New Roman" w:hAnsi="Times New Roman"/>
          <w:szCs w:val="24"/>
        </w:rPr>
        <w:t>ouřil, generální ředitel</w:t>
      </w:r>
    </w:p>
    <w:p w14:paraId="590C0965" w14:textId="77777777" w:rsidR="008849B1" w:rsidRDefault="003F59DA" w:rsidP="003F59DA">
      <w:pPr>
        <w:ind w:left="720"/>
      </w:pPr>
      <w:r w:rsidRPr="00C422FE">
        <w:t xml:space="preserve"> </w:t>
      </w:r>
      <w:r w:rsidR="008849B1" w:rsidRPr="00C422FE">
        <w:t>(dále jen „</w:t>
      </w:r>
      <w:r w:rsidR="00396DD2">
        <w:t>Objednatel</w:t>
      </w:r>
      <w:r w:rsidR="008849B1" w:rsidRPr="00C422FE">
        <w:t>“</w:t>
      </w:r>
      <w:r w:rsidR="00CE3B74">
        <w:t xml:space="preserve"> nebo též „</w:t>
      </w:r>
      <w:r w:rsidR="005E2BC6">
        <w:t>OZP</w:t>
      </w:r>
      <w:r w:rsidR="00CE3B74">
        <w:t>“</w:t>
      </w:r>
      <w:r w:rsidR="008849B1" w:rsidRPr="00C422FE">
        <w:t>)</w:t>
      </w:r>
      <w:r w:rsidR="00583972">
        <w:t>,</w:t>
      </w:r>
    </w:p>
    <w:p w14:paraId="3DD14F51" w14:textId="77777777" w:rsidR="00583972" w:rsidRDefault="00583972" w:rsidP="003F59DA">
      <w:pPr>
        <w:ind w:left="720"/>
      </w:pPr>
    </w:p>
    <w:p w14:paraId="21DCB849" w14:textId="77777777" w:rsidR="00583972" w:rsidRPr="00C422FE" w:rsidRDefault="00583972" w:rsidP="003F59DA">
      <w:pPr>
        <w:ind w:left="720"/>
      </w:pPr>
      <w:r>
        <w:t>(společně dále jako „Smluvní strany“)</w:t>
      </w:r>
    </w:p>
    <w:p w14:paraId="2B96848A" w14:textId="77777777" w:rsidR="008849B1" w:rsidRPr="00C422FE" w:rsidRDefault="008849B1"/>
    <w:p w14:paraId="48676891" w14:textId="53A71C3B" w:rsidR="008849B1" w:rsidRPr="00C422FE" w:rsidRDefault="00CE3B74">
      <w:pPr>
        <w:ind w:left="720"/>
      </w:pPr>
      <w:r>
        <w:t xml:space="preserve">uzavírají tuto </w:t>
      </w:r>
      <w:r w:rsidR="00C82238">
        <w:t>S</w:t>
      </w:r>
      <w:r>
        <w:t>mlouvu</w:t>
      </w:r>
      <w:r w:rsidR="006F1BE9">
        <w:t>.</w:t>
      </w:r>
    </w:p>
    <w:p w14:paraId="422352A0" w14:textId="77777777" w:rsidR="004B0356" w:rsidRPr="00C422FE" w:rsidRDefault="004B0356">
      <w:pPr>
        <w:ind w:left="720"/>
      </w:pPr>
    </w:p>
    <w:p w14:paraId="602596B2" w14:textId="77777777" w:rsidR="00626828" w:rsidRPr="00C422FE" w:rsidRDefault="00626828" w:rsidP="003F33CB">
      <w:pPr>
        <w:ind w:left="720"/>
        <w:jc w:val="center"/>
      </w:pPr>
    </w:p>
    <w:p w14:paraId="1D130AF3" w14:textId="0C1F8E31" w:rsidR="00A476F4" w:rsidRPr="00C422FE" w:rsidRDefault="003E067B" w:rsidP="00D04E4C">
      <w:pPr>
        <w:numPr>
          <w:ilvl w:val="0"/>
          <w:numId w:val="2"/>
        </w:numPr>
        <w:spacing w:after="240"/>
        <w:ind w:left="284" w:hanging="284"/>
        <w:jc w:val="center"/>
        <w:rPr>
          <w:b/>
        </w:rPr>
      </w:pPr>
      <w:r>
        <w:rPr>
          <w:b/>
        </w:rPr>
        <w:t xml:space="preserve"> Úvodní prohlášení a předmět smlouvy</w:t>
      </w:r>
    </w:p>
    <w:p w14:paraId="7E97CF69" w14:textId="6C58F104" w:rsidR="00A476F4" w:rsidRPr="00C422FE" w:rsidRDefault="00A476F4" w:rsidP="003F33CB">
      <w:pPr>
        <w:numPr>
          <w:ilvl w:val="1"/>
          <w:numId w:val="17"/>
        </w:numPr>
        <w:spacing w:after="120"/>
        <w:ind w:left="425" w:hanging="425"/>
        <w:jc w:val="both"/>
      </w:pPr>
      <w:r w:rsidRPr="00C422FE">
        <w:t xml:space="preserve">Poskytovatel a </w:t>
      </w:r>
      <w:r w:rsidR="00396DD2">
        <w:t>Objednatel</w:t>
      </w:r>
      <w:r w:rsidRPr="00C422FE">
        <w:t xml:space="preserve"> tímto prohlašují, že jsou subjekty řádně založenými a registrovanými</w:t>
      </w:r>
      <w:r w:rsidR="0040245F">
        <w:t>,</w:t>
      </w:r>
      <w:r w:rsidRPr="00C422FE">
        <w:t xml:space="preserve"> a že jsou dle platných právních předpisů oprávněni uzavřít tuto </w:t>
      </w:r>
      <w:r w:rsidR="00C82238">
        <w:t>S</w:t>
      </w:r>
      <w:r w:rsidRPr="00C422FE">
        <w:t xml:space="preserve">mlouvu. Poskytovatel a </w:t>
      </w:r>
      <w:r w:rsidR="00396DD2">
        <w:t>Objednatel</w:t>
      </w:r>
      <w:r w:rsidRPr="00C422FE">
        <w:t xml:space="preserve"> dále prohlašují, že závazky obsažené v této </w:t>
      </w:r>
      <w:r w:rsidR="00C82238">
        <w:t>S</w:t>
      </w:r>
      <w:r w:rsidRPr="00C422FE">
        <w:t>mlouvě jsou schopni řádně a včas splnit.</w:t>
      </w:r>
    </w:p>
    <w:p w14:paraId="20FCE5C2" w14:textId="098093C7" w:rsidR="000C7D3C" w:rsidRPr="00C422FE" w:rsidRDefault="002A0CC7" w:rsidP="003F33CB">
      <w:pPr>
        <w:numPr>
          <w:ilvl w:val="1"/>
          <w:numId w:val="17"/>
        </w:numPr>
        <w:spacing w:after="120"/>
        <w:ind w:left="425" w:hanging="425"/>
        <w:jc w:val="both"/>
      </w:pPr>
      <w:r w:rsidRPr="00C422FE">
        <w:t>Poskytovatel prohlašuje, že je společnost</w:t>
      </w:r>
      <w:r w:rsidR="000804A9" w:rsidRPr="00C422FE">
        <w:t>í</w:t>
      </w:r>
      <w:r w:rsidRPr="00C422FE">
        <w:t xml:space="preserve"> zaměřen</w:t>
      </w:r>
      <w:r w:rsidR="000804A9" w:rsidRPr="00C422FE">
        <w:t>ou</w:t>
      </w:r>
      <w:r w:rsidRPr="00C422FE">
        <w:t xml:space="preserve"> na tvorbu medicínského software a je </w:t>
      </w:r>
      <w:r w:rsidR="00BE1A19">
        <w:t xml:space="preserve">vlastníkem a vykonavatelem majetkových práv k autorskému dílu </w:t>
      </w:r>
      <w:r w:rsidR="00C82238">
        <w:t>–</w:t>
      </w:r>
      <w:r w:rsidR="00BE1A19">
        <w:t xml:space="preserve"> </w:t>
      </w:r>
      <w:r w:rsidR="00AA4DFB" w:rsidRPr="00C422FE">
        <w:t>počítačový</w:t>
      </w:r>
      <w:r w:rsidR="00BE1A19">
        <w:t>m</w:t>
      </w:r>
      <w:r w:rsidR="00AA4DFB" w:rsidRPr="00C422FE">
        <w:t xml:space="preserve"> software</w:t>
      </w:r>
      <w:r w:rsidRPr="00C422FE">
        <w:t xml:space="preserve"> produktů s názvy PC </w:t>
      </w:r>
      <w:proofErr w:type="gramStart"/>
      <w:r w:rsidRPr="00C422FE">
        <w:t xml:space="preserve">DOKTOR, </w:t>
      </w:r>
      <w:r w:rsidR="00D97520">
        <w:t>, TURBOASISTENT</w:t>
      </w:r>
      <w:proofErr w:type="gramEnd"/>
      <w:r w:rsidRPr="00C422FE">
        <w:t xml:space="preserve"> a MEDICUS </w:t>
      </w:r>
      <w:r w:rsidR="007D3626">
        <w:t>(dále jen „Produkty Poskytovatele“)</w:t>
      </w:r>
      <w:r w:rsidR="00C339CE">
        <w:t>.</w:t>
      </w:r>
    </w:p>
    <w:p w14:paraId="21070BA2" w14:textId="03B7A197" w:rsidR="002A0CC7" w:rsidRDefault="00396DD2" w:rsidP="003F33CB">
      <w:pPr>
        <w:numPr>
          <w:ilvl w:val="1"/>
          <w:numId w:val="17"/>
        </w:numPr>
        <w:spacing w:after="120"/>
        <w:ind w:left="425" w:hanging="425"/>
        <w:jc w:val="both"/>
      </w:pPr>
      <w:r>
        <w:t>Objednatel</w:t>
      </w:r>
      <w:r w:rsidR="002A0CC7" w:rsidRPr="00C422FE">
        <w:t xml:space="preserve"> prohlašuje, že jsou mu </w:t>
      </w:r>
      <w:r w:rsidR="007D3626">
        <w:t>P</w:t>
      </w:r>
      <w:r w:rsidR="002A0CC7" w:rsidRPr="00C422FE">
        <w:t xml:space="preserve">rodukty </w:t>
      </w:r>
      <w:r w:rsidR="008B062E" w:rsidRPr="00C422FE">
        <w:t>P</w:t>
      </w:r>
      <w:r w:rsidR="00E2207C" w:rsidRPr="00C422FE">
        <w:t>oskytovatele</w:t>
      </w:r>
      <w:r w:rsidR="002A0CC7" w:rsidRPr="00C422FE">
        <w:t xml:space="preserve"> známy, že je obeznámen s</w:t>
      </w:r>
      <w:r w:rsidR="00AA4DFB" w:rsidRPr="00C422FE">
        <w:t xml:space="preserve"> jejich účelovým určením</w:t>
      </w:r>
      <w:r w:rsidR="003619CE" w:rsidRPr="00C422FE">
        <w:t>,</w:t>
      </w:r>
      <w:r w:rsidR="00AA4DFB" w:rsidRPr="00C422FE">
        <w:t xml:space="preserve"> </w:t>
      </w:r>
      <w:r w:rsidR="008B062E" w:rsidRPr="00C422FE">
        <w:t>j</w:t>
      </w:r>
      <w:r w:rsidR="00AA4DFB" w:rsidRPr="00C422FE">
        <w:t>a</w:t>
      </w:r>
      <w:r w:rsidR="008B062E" w:rsidRPr="00C422FE">
        <w:t>kož i s</w:t>
      </w:r>
      <w:r w:rsidR="00AA4DFB" w:rsidRPr="00C422FE">
        <w:t> běžně dostupnými informacemi o</w:t>
      </w:r>
      <w:r w:rsidR="002A0CC7" w:rsidRPr="00C422FE">
        <w:t xml:space="preserve"> jejich základní</w:t>
      </w:r>
      <w:r w:rsidR="008B062E" w:rsidRPr="00C422FE">
        <w:t>ch</w:t>
      </w:r>
      <w:r w:rsidR="002A0CC7" w:rsidRPr="00C422FE">
        <w:t xml:space="preserve"> technický</w:t>
      </w:r>
      <w:r w:rsidR="00AA4DFB" w:rsidRPr="00C422FE">
        <w:t>ch</w:t>
      </w:r>
      <w:r w:rsidR="002A0CC7" w:rsidRPr="00C422FE">
        <w:t xml:space="preserve"> parametr</w:t>
      </w:r>
      <w:r w:rsidR="00AA4DFB" w:rsidRPr="00C422FE">
        <w:t>ech</w:t>
      </w:r>
      <w:r w:rsidR="002A0CC7" w:rsidRPr="00C422FE">
        <w:t xml:space="preserve">. </w:t>
      </w:r>
    </w:p>
    <w:p w14:paraId="26561C9F" w14:textId="77777777" w:rsidR="00D97520" w:rsidRDefault="00396DD2" w:rsidP="003F33CB">
      <w:pPr>
        <w:numPr>
          <w:ilvl w:val="1"/>
          <w:numId w:val="17"/>
        </w:numPr>
        <w:spacing w:after="120"/>
        <w:ind w:left="425" w:hanging="425"/>
        <w:jc w:val="both"/>
      </w:pPr>
      <w:r>
        <w:lastRenderedPageBreak/>
        <w:t>Objednatel</w:t>
      </w:r>
      <w:r w:rsidR="00D175FE">
        <w:t xml:space="preserve"> prohlašuje, že disponuje Přehledem hrazených léčivých přípravků a Pozitivním listem Svazu zdravotních pojišťoven České republiky.</w:t>
      </w:r>
    </w:p>
    <w:p w14:paraId="5094C046" w14:textId="35A21FCD" w:rsidR="003E067B" w:rsidRPr="00C422FE" w:rsidRDefault="00942F95" w:rsidP="00942F95">
      <w:pPr>
        <w:numPr>
          <w:ilvl w:val="1"/>
          <w:numId w:val="17"/>
        </w:numPr>
        <w:spacing w:after="120"/>
        <w:ind w:left="425" w:hanging="425"/>
        <w:jc w:val="both"/>
      </w:pPr>
      <w:r>
        <w:t>Předmětem S</w:t>
      </w:r>
      <w:r w:rsidR="003E067B">
        <w:t xml:space="preserve">mlouvy je závazek </w:t>
      </w:r>
      <w:r w:rsidR="00FF3386">
        <w:t>vzájemné spolupráce mezi smluvním</w:t>
      </w:r>
      <w:r w:rsidR="007D3626">
        <w:t>i</w:t>
      </w:r>
      <w:r w:rsidR="00FF3386">
        <w:t xml:space="preserve"> strana</w:t>
      </w:r>
      <w:r w:rsidR="007D3626">
        <w:t>mi</w:t>
      </w:r>
      <w:r w:rsidR="00FF3386">
        <w:t xml:space="preserve"> v rámci pilotního projektu</w:t>
      </w:r>
      <w:r w:rsidR="007D3626">
        <w:t xml:space="preserve"> definovaný v článku 2</w:t>
      </w:r>
      <w:r w:rsidR="003E067B">
        <w:t>.</w:t>
      </w:r>
    </w:p>
    <w:p w14:paraId="75A12654" w14:textId="77777777" w:rsidR="00626828" w:rsidRPr="00C422FE" w:rsidRDefault="00626828" w:rsidP="003F33CB">
      <w:pPr>
        <w:jc w:val="both"/>
      </w:pPr>
    </w:p>
    <w:p w14:paraId="424849BE" w14:textId="27AAB9E4" w:rsidR="003E067B" w:rsidRPr="003E067B" w:rsidRDefault="005D1FB8" w:rsidP="00D04E4C">
      <w:pPr>
        <w:numPr>
          <w:ilvl w:val="0"/>
          <w:numId w:val="17"/>
        </w:numPr>
        <w:spacing w:after="240"/>
        <w:jc w:val="center"/>
        <w:rPr>
          <w:b/>
        </w:rPr>
      </w:pPr>
      <w:r w:rsidRPr="004125B0">
        <w:rPr>
          <w:b/>
        </w:rPr>
        <w:t xml:space="preserve">Předmět </w:t>
      </w:r>
      <w:r w:rsidR="007E080E">
        <w:rPr>
          <w:b/>
        </w:rPr>
        <w:t xml:space="preserve">vzájemné </w:t>
      </w:r>
      <w:r w:rsidR="00FF3386">
        <w:rPr>
          <w:b/>
        </w:rPr>
        <w:t xml:space="preserve">spolupráce </w:t>
      </w:r>
    </w:p>
    <w:p w14:paraId="6A41E725" w14:textId="5BAA1F11" w:rsidR="00FD3986" w:rsidRDefault="00FD3986" w:rsidP="00515E3B">
      <w:pPr>
        <w:pStyle w:val="Zkladntext"/>
        <w:spacing w:after="240"/>
        <w:ind w:left="360"/>
        <w:jc w:val="center"/>
        <w:rPr>
          <w:lang w:val="cs-CZ"/>
        </w:rPr>
      </w:pPr>
      <w:r w:rsidRPr="004125B0">
        <w:t>.</w:t>
      </w:r>
    </w:p>
    <w:p w14:paraId="7D4D7092" w14:textId="4CF32533" w:rsidR="00FD3986" w:rsidRDefault="00FF3386" w:rsidP="003F33CB">
      <w:pPr>
        <w:numPr>
          <w:ilvl w:val="1"/>
          <w:numId w:val="17"/>
        </w:numPr>
        <w:spacing w:after="120"/>
        <w:ind w:left="425" w:hanging="425"/>
        <w:jc w:val="both"/>
      </w:pPr>
      <w:r>
        <w:t xml:space="preserve">Poskytovatel se v rámci vzájemné spolupráce zavazuje provést </w:t>
      </w:r>
      <w:r w:rsidR="00B04BC2">
        <w:t>pilotní implementac</w:t>
      </w:r>
      <w:r w:rsidR="00C339CE">
        <w:t>i</w:t>
      </w:r>
      <w:r w:rsidR="00B04BC2">
        <w:t xml:space="preserve"> funkcionality</w:t>
      </w:r>
      <w:r w:rsidR="00082506">
        <w:t xml:space="preserve"> Racionální preskripce v</w:t>
      </w:r>
      <w:r w:rsidR="007D3626">
        <w:t> </w:t>
      </w:r>
      <w:r w:rsidR="00A87104">
        <w:t>Produktech</w:t>
      </w:r>
      <w:r w:rsidR="007D3626">
        <w:t xml:space="preserve"> Poskytovatele</w:t>
      </w:r>
      <w:r w:rsidR="00082506">
        <w:t xml:space="preserve"> za účelem ověření vlastností</w:t>
      </w:r>
      <w:r w:rsidR="00E84A31">
        <w:t xml:space="preserve"> softwarového</w:t>
      </w:r>
      <w:r w:rsidR="00082506">
        <w:t xml:space="preserve"> řešení blíže popsaného v příloze č. 1 </w:t>
      </w:r>
      <w:r w:rsidR="00C82238">
        <w:t xml:space="preserve">této </w:t>
      </w:r>
      <w:r w:rsidR="00082506">
        <w:t>Smlouvy</w:t>
      </w:r>
      <w:r w:rsidR="00A91885">
        <w:t xml:space="preserve"> (dále je</w:t>
      </w:r>
      <w:r w:rsidR="00C339CE">
        <w:t>n</w:t>
      </w:r>
      <w:r w:rsidR="00A91885">
        <w:t xml:space="preserve"> Funkcionalita)</w:t>
      </w:r>
      <w:r w:rsidR="00082506">
        <w:t>.</w:t>
      </w:r>
    </w:p>
    <w:p w14:paraId="1EE49417" w14:textId="33006FCC" w:rsidR="00082506" w:rsidRDefault="007E080E" w:rsidP="003F33CB">
      <w:pPr>
        <w:numPr>
          <w:ilvl w:val="1"/>
          <w:numId w:val="17"/>
        </w:numPr>
        <w:spacing w:after="120"/>
        <w:ind w:left="425" w:hanging="425"/>
        <w:jc w:val="both"/>
      </w:pPr>
      <w:r>
        <w:t xml:space="preserve">Poskytovatel se zavazuje po nabytí účinnosti této smlouvy k předvedení </w:t>
      </w:r>
      <w:r w:rsidR="00C339CE">
        <w:t>f</w:t>
      </w:r>
      <w:r w:rsidR="00A91885">
        <w:t>unkčnost</w:t>
      </w:r>
      <w:r>
        <w:t>i</w:t>
      </w:r>
      <w:r w:rsidR="00A91885">
        <w:t xml:space="preserve"> </w:t>
      </w:r>
      <w:r w:rsidR="00A26E22">
        <w:t>Funkcionalit</w:t>
      </w:r>
      <w:r w:rsidR="00A91885">
        <w:t>y</w:t>
      </w:r>
      <w:r w:rsidR="00A26E22">
        <w:t xml:space="preserve"> </w:t>
      </w:r>
      <w:r>
        <w:t xml:space="preserve"> </w:t>
      </w:r>
      <w:r w:rsidR="00FF3386">
        <w:t>Objednateli</w:t>
      </w:r>
      <w:r w:rsidR="00A26E22">
        <w:t xml:space="preserve">, </w:t>
      </w:r>
      <w:r w:rsidR="00A91885">
        <w:t>přičemž smluv</w:t>
      </w:r>
      <w:r w:rsidR="00C339CE">
        <w:t>n</w:t>
      </w:r>
      <w:r w:rsidR="00A91885">
        <w:t xml:space="preserve">í </w:t>
      </w:r>
      <w:r w:rsidR="00A26E22">
        <w:t xml:space="preserve">strany </w:t>
      </w:r>
      <w:r w:rsidR="00A91885">
        <w:t xml:space="preserve">o tomto </w:t>
      </w:r>
      <w:r w:rsidR="00A26E22">
        <w:t xml:space="preserve">podepíší protokol o zkoušce Funkcionality. </w:t>
      </w:r>
      <w:r>
        <w:t>Po</w:t>
      </w:r>
      <w:r w:rsidR="00BC3B26">
        <w:t xml:space="preserve">té bude Funkcionalita </w:t>
      </w:r>
      <w:r w:rsidR="00D6412F">
        <w:t xml:space="preserve">spolu s aktualizacemi Produktů Poskytovatele </w:t>
      </w:r>
      <w:r w:rsidR="004558CD">
        <w:t>instalován</w:t>
      </w:r>
      <w:r w:rsidR="00BC3B26">
        <w:t>a</w:t>
      </w:r>
      <w:r w:rsidR="009E4D14">
        <w:t xml:space="preserve"> u O</w:t>
      </w:r>
      <w:r w:rsidR="006D1A68">
        <w:t xml:space="preserve">bjednatelem vybraných </w:t>
      </w:r>
      <w:r w:rsidR="00FB7F23">
        <w:t xml:space="preserve">pilotních </w:t>
      </w:r>
      <w:r w:rsidR="006D1A68">
        <w:t>uži</w:t>
      </w:r>
      <w:r w:rsidR="006265B1">
        <w:t xml:space="preserve">vatelů dle přílohy č. 2 </w:t>
      </w:r>
      <w:r w:rsidR="00C82238">
        <w:t xml:space="preserve">této </w:t>
      </w:r>
      <w:r w:rsidR="006265B1">
        <w:t>Smlouvy a bude aktivován</w:t>
      </w:r>
      <w:r w:rsidR="00BC3B26">
        <w:t>a</w:t>
      </w:r>
      <w:r w:rsidR="006265B1">
        <w:t xml:space="preserve"> p</w:t>
      </w:r>
      <w:r w:rsidR="00BC3B26">
        <w:t>ro</w:t>
      </w:r>
      <w:r w:rsidR="006265B1">
        <w:t xml:space="preserve"> práci </w:t>
      </w:r>
      <w:r w:rsidR="00BC3B26">
        <w:t xml:space="preserve">těchto </w:t>
      </w:r>
      <w:r w:rsidR="006265B1">
        <w:t xml:space="preserve">uživatelů s pojištěnci </w:t>
      </w:r>
      <w:r w:rsidR="0040245F">
        <w:t>Objednatele</w:t>
      </w:r>
      <w:r w:rsidR="006265B1">
        <w:t>.</w:t>
      </w:r>
      <w:r w:rsidR="004558CD">
        <w:t xml:space="preserve"> </w:t>
      </w:r>
      <w:r w:rsidR="00BC3B26">
        <w:t>Instalace Funkcionality je ukončena</w:t>
      </w:r>
      <w:r w:rsidR="006571B5">
        <w:t xml:space="preserve"> okamžikem</w:t>
      </w:r>
      <w:r w:rsidR="004558CD">
        <w:t xml:space="preserve"> instalace</w:t>
      </w:r>
      <w:r w:rsidR="00BC3B26">
        <w:t xml:space="preserve"> Poskytovatelem</w:t>
      </w:r>
      <w:r w:rsidR="004558CD">
        <w:t xml:space="preserve"> u posledního z</w:t>
      </w:r>
      <w:r w:rsidR="00FB7F23">
        <w:t xml:space="preserve"> pilotních </w:t>
      </w:r>
      <w:r w:rsidR="004558CD">
        <w:t>uživatelů</w:t>
      </w:r>
      <w:r w:rsidR="00FB7F23">
        <w:t xml:space="preserve"> uvedených v příloze </w:t>
      </w:r>
      <w:r w:rsidR="00942F95">
        <w:t xml:space="preserve">č. </w:t>
      </w:r>
      <w:r w:rsidR="00FB7F23">
        <w:t xml:space="preserve">2 </w:t>
      </w:r>
      <w:proofErr w:type="gramStart"/>
      <w:r w:rsidR="00FB7F23">
        <w:t>této</w:t>
      </w:r>
      <w:proofErr w:type="gramEnd"/>
      <w:r w:rsidR="00FB7F23">
        <w:t xml:space="preserve"> Smlouvy</w:t>
      </w:r>
      <w:r w:rsidR="004558CD">
        <w:t>.</w:t>
      </w:r>
    </w:p>
    <w:p w14:paraId="4212045B" w14:textId="7856E06C" w:rsidR="00FF2C8C" w:rsidRDefault="00A26E22" w:rsidP="003F33CB">
      <w:pPr>
        <w:numPr>
          <w:ilvl w:val="1"/>
          <w:numId w:val="17"/>
        </w:numPr>
        <w:spacing w:after="120"/>
        <w:ind w:left="425" w:hanging="425"/>
        <w:jc w:val="both"/>
      </w:pPr>
      <w:r>
        <w:t xml:space="preserve">Poskytovatel se tímto </w:t>
      </w:r>
      <w:r w:rsidR="00A91885">
        <w:t xml:space="preserve">zavazuje, že </w:t>
      </w:r>
      <w:r w:rsidR="00D6412F">
        <w:t>poskytne</w:t>
      </w:r>
      <w:r w:rsidR="00A91885">
        <w:t xml:space="preserve"> </w:t>
      </w:r>
      <w:r w:rsidR="00B220B3">
        <w:t>technick</w:t>
      </w:r>
      <w:r w:rsidR="00D6412F">
        <w:t>ou</w:t>
      </w:r>
      <w:r w:rsidR="00B220B3">
        <w:t xml:space="preserve"> podpo</w:t>
      </w:r>
      <w:r w:rsidR="00D6412F">
        <w:t>ru</w:t>
      </w:r>
      <w:r w:rsidR="00B220B3">
        <w:t xml:space="preserve"> Funkcionality </w:t>
      </w:r>
      <w:r w:rsidR="00D6412F">
        <w:t xml:space="preserve"> </w:t>
      </w:r>
      <w:r w:rsidR="00B220B3">
        <w:t xml:space="preserve"> po dobu trvání pilotního provozu</w:t>
      </w:r>
      <w:r w:rsidR="0040245F">
        <w:t xml:space="preserve"> </w:t>
      </w:r>
      <w:r w:rsidR="00A91885">
        <w:t xml:space="preserve">u vybraných uživatelů uvedených v příloze č. 2 </w:t>
      </w:r>
      <w:proofErr w:type="gramStart"/>
      <w:r w:rsidR="00A91885">
        <w:t>této</w:t>
      </w:r>
      <w:proofErr w:type="gramEnd"/>
      <w:r w:rsidR="00A91885">
        <w:t xml:space="preserve"> Smlouvy. </w:t>
      </w:r>
      <w:r w:rsidR="00D6412F">
        <w:t>Strany ujednaly, že m</w:t>
      </w:r>
      <w:r w:rsidR="00665081">
        <w:t>aximální počet vybran</w:t>
      </w:r>
      <w:r w:rsidR="00AE6B58">
        <w:t xml:space="preserve">ých uživatelů nepřesáhne počet </w:t>
      </w:r>
      <w:r w:rsidR="00D97991">
        <w:t>200</w:t>
      </w:r>
      <w:r w:rsidR="00FE55B3">
        <w:t xml:space="preserve">, </w:t>
      </w:r>
      <w:r w:rsidR="00997525">
        <w:t xml:space="preserve">přičemž uživatelé </w:t>
      </w:r>
      <w:r w:rsidR="00942F95">
        <w:t xml:space="preserve">budou vybíráni </w:t>
      </w:r>
      <w:r w:rsidR="00997525">
        <w:t xml:space="preserve">v odbornostech </w:t>
      </w:r>
      <w:r w:rsidR="00FE55B3">
        <w:t xml:space="preserve">praktický lékař, praktický lékař pro děti a dorost, </w:t>
      </w:r>
      <w:r w:rsidR="00997525">
        <w:t>d</w:t>
      </w:r>
      <w:r w:rsidR="00FE55B3">
        <w:t>iabetologie, interna</w:t>
      </w:r>
      <w:r w:rsidR="00997525">
        <w:t xml:space="preserve"> a</w:t>
      </w:r>
      <w:r w:rsidR="00FE55B3">
        <w:t xml:space="preserve"> kardiologie</w:t>
      </w:r>
      <w:r w:rsidR="00665081">
        <w:t>.</w:t>
      </w:r>
    </w:p>
    <w:p w14:paraId="483DF445" w14:textId="29E70DEC" w:rsidR="00835C64" w:rsidRDefault="00835C64" w:rsidP="003F33CB">
      <w:pPr>
        <w:numPr>
          <w:ilvl w:val="1"/>
          <w:numId w:val="17"/>
        </w:numPr>
        <w:spacing w:after="120"/>
        <w:ind w:left="425" w:hanging="425"/>
        <w:jc w:val="both"/>
      </w:pPr>
      <w:r>
        <w:t xml:space="preserve">Pilotní provoz je stanoven na období od </w:t>
      </w:r>
      <w:r w:rsidR="003E0DB7">
        <w:t>1.</w:t>
      </w:r>
      <w:r w:rsidR="003F33CB" w:rsidRPr="003F33CB">
        <w:t xml:space="preserve"> </w:t>
      </w:r>
      <w:r w:rsidR="003F33CB">
        <w:t>1. 2018</w:t>
      </w:r>
      <w:r>
        <w:t xml:space="preserve"> do </w:t>
      </w:r>
      <w:r w:rsidR="00C82238">
        <w:t>30. 6. 2018</w:t>
      </w:r>
      <w:r>
        <w:t>.</w:t>
      </w:r>
      <w:r w:rsidR="00993E02">
        <w:t xml:space="preserve"> S koncem tohoto období bude </w:t>
      </w:r>
      <w:r w:rsidR="004558CD">
        <w:t xml:space="preserve">pilotní </w:t>
      </w:r>
      <w:r w:rsidR="00993E02">
        <w:t xml:space="preserve">provoz </w:t>
      </w:r>
      <w:r w:rsidR="00B220B3">
        <w:t xml:space="preserve">Funkcionality </w:t>
      </w:r>
      <w:r w:rsidR="00587E17">
        <w:t xml:space="preserve">včetně technické podpory </w:t>
      </w:r>
      <w:r w:rsidR="00993E02">
        <w:t>ukončen</w:t>
      </w:r>
      <w:r w:rsidR="0040245F">
        <w:t>.</w:t>
      </w:r>
      <w:r w:rsidR="00993E02">
        <w:t xml:space="preserve"> O ukončení pilotního provozu Poskytovatel informuje kontaktní osobu Objednatele.</w:t>
      </w:r>
    </w:p>
    <w:p w14:paraId="0BD0D369" w14:textId="21F14818" w:rsidR="00EE65BB" w:rsidRDefault="00EE65BB" w:rsidP="003F33CB">
      <w:pPr>
        <w:numPr>
          <w:ilvl w:val="1"/>
          <w:numId w:val="17"/>
        </w:numPr>
        <w:spacing w:after="120"/>
        <w:ind w:left="425" w:hanging="425"/>
        <w:jc w:val="both"/>
      </w:pPr>
      <w:r>
        <w:t xml:space="preserve">Objednatel se zavazuje vyhodnotit pilotní provoz do </w:t>
      </w:r>
      <w:r w:rsidR="00C82238">
        <w:t>31. 8. 2018</w:t>
      </w:r>
      <w:r>
        <w:t xml:space="preserve"> včetně předání písemného vyhodnocení</w:t>
      </w:r>
      <w:r w:rsidR="006A26A5">
        <w:t>.</w:t>
      </w:r>
      <w:r w:rsidR="00D62184">
        <w:t xml:space="preserve"> Vyhodnocení spočívá v porovnání dosažených úspor při preskripci z</w:t>
      </w:r>
      <w:r w:rsidR="004D3B72">
        <w:t xml:space="preserve"> </w:t>
      </w:r>
      <w:r w:rsidR="00D62184">
        <w:t>ATC skupin léčivých přípravk</w:t>
      </w:r>
      <w:r w:rsidR="00D37384">
        <w:t>ů</w:t>
      </w:r>
      <w:r w:rsidR="00D62184">
        <w:t xml:space="preserve"> obsažených na pozitivním listu lékaři dle přílohy č. 2 </w:t>
      </w:r>
      <w:r w:rsidR="004D3B72">
        <w:t xml:space="preserve">v porovnání </w:t>
      </w:r>
      <w:r w:rsidR="00D62184">
        <w:t xml:space="preserve">s preskripcí </w:t>
      </w:r>
      <w:r w:rsidR="00D37384">
        <w:t xml:space="preserve">léčivých přípravků ze srovnatelných ATC skupin </w:t>
      </w:r>
      <w:r w:rsidR="00D62184">
        <w:t>těchto lékařů za období předchozího roku.</w:t>
      </w:r>
    </w:p>
    <w:p w14:paraId="353604B3" w14:textId="5B6022CE" w:rsidR="004D3B72" w:rsidRDefault="004D3B72" w:rsidP="003F33CB">
      <w:pPr>
        <w:numPr>
          <w:ilvl w:val="1"/>
          <w:numId w:val="17"/>
        </w:numPr>
        <w:spacing w:after="120"/>
        <w:ind w:left="425" w:hanging="425"/>
        <w:jc w:val="both"/>
      </w:pPr>
      <w:r>
        <w:t xml:space="preserve">Objednatel se zavazuje zaplatit za plnění Poskytovatele podle tohoto článku odměnu stanovenou v článku 6. </w:t>
      </w:r>
    </w:p>
    <w:p w14:paraId="654B1C8A" w14:textId="77777777" w:rsidR="007965E8" w:rsidRPr="00170CFD" w:rsidRDefault="007965E8" w:rsidP="003F33CB">
      <w:pPr>
        <w:spacing w:after="240"/>
        <w:jc w:val="both"/>
        <w:rPr>
          <w:b/>
        </w:rPr>
      </w:pPr>
    </w:p>
    <w:p w14:paraId="0D92B938" w14:textId="19ABF7D7" w:rsidR="005D1FB8" w:rsidRPr="00C422FE" w:rsidRDefault="00C022D1" w:rsidP="00D04E4C">
      <w:pPr>
        <w:numPr>
          <w:ilvl w:val="0"/>
          <w:numId w:val="17"/>
        </w:numPr>
        <w:spacing w:after="240"/>
        <w:jc w:val="center"/>
        <w:rPr>
          <w:b/>
        </w:rPr>
      </w:pPr>
      <w:r>
        <w:rPr>
          <w:b/>
        </w:rPr>
        <w:t>Další p</w:t>
      </w:r>
      <w:r w:rsidR="005D1FB8" w:rsidRPr="00C422FE">
        <w:rPr>
          <w:b/>
        </w:rPr>
        <w:t xml:space="preserve">ráva a povinnosti </w:t>
      </w:r>
      <w:r w:rsidR="006F5CF4">
        <w:rPr>
          <w:b/>
        </w:rPr>
        <w:t>Smluvní</w:t>
      </w:r>
      <w:r w:rsidR="005D1FB8" w:rsidRPr="00C422FE">
        <w:rPr>
          <w:b/>
        </w:rPr>
        <w:t>ch stran</w:t>
      </w:r>
    </w:p>
    <w:p w14:paraId="50D86013" w14:textId="689B3198" w:rsidR="00E43C7C" w:rsidRDefault="00B220B3" w:rsidP="003F33CB">
      <w:pPr>
        <w:numPr>
          <w:ilvl w:val="1"/>
          <w:numId w:val="17"/>
        </w:numPr>
        <w:spacing w:after="120"/>
        <w:ind w:left="425" w:hanging="425"/>
        <w:jc w:val="both"/>
      </w:pPr>
      <w:r>
        <w:t xml:space="preserve">Vytvoření Funkcionality </w:t>
      </w:r>
      <w:r w:rsidR="00C83190" w:rsidRPr="00D968E2">
        <w:t>podléhá režimu zák. č. 121/2000 Sb.</w:t>
      </w:r>
      <w:r w:rsidR="00942F95">
        <w:t>,</w:t>
      </w:r>
      <w:r w:rsidR="00C83190" w:rsidRPr="00D968E2">
        <w:t xml:space="preserve"> autorský zákon</w:t>
      </w:r>
      <w:r w:rsidR="00520ACC" w:rsidRPr="00D968E2">
        <w:t xml:space="preserve"> v platném znění</w:t>
      </w:r>
      <w:r w:rsidR="007D3626">
        <w:t>,</w:t>
      </w:r>
      <w:r w:rsidR="00C83190" w:rsidRPr="00D968E2">
        <w:t xml:space="preserve"> </w:t>
      </w:r>
      <w:r w:rsidR="00520ACC" w:rsidRPr="00D968E2">
        <w:t xml:space="preserve">Poskytovatel prohlašuje, že je </w:t>
      </w:r>
      <w:r w:rsidR="00FA739D">
        <w:t>vykonavatel</w:t>
      </w:r>
      <w:r w:rsidR="00942F95">
        <w:t>em</w:t>
      </w:r>
      <w:r w:rsidR="00FA739D">
        <w:t xml:space="preserve"> majetkových autorských práv k</w:t>
      </w:r>
      <w:r>
        <w:t> Funkcionalitě</w:t>
      </w:r>
      <w:r w:rsidR="00520ACC" w:rsidRPr="00D968E2">
        <w:t xml:space="preserve">. </w:t>
      </w:r>
      <w:r w:rsidR="00942F95" w:rsidRPr="00D968E2">
        <w:t xml:space="preserve">Poskytovatel prohlašuje, že na </w:t>
      </w:r>
      <w:r>
        <w:t xml:space="preserve">Funkcionalitě </w:t>
      </w:r>
      <w:r w:rsidR="00942F95" w:rsidRPr="00D968E2">
        <w:t>neváznou práva třetích osob</w:t>
      </w:r>
      <w:r w:rsidR="00942F95">
        <w:t xml:space="preserve">. </w:t>
      </w:r>
      <w:r w:rsidR="00520ACC" w:rsidRPr="00D968E2">
        <w:t xml:space="preserve"> </w:t>
      </w:r>
    </w:p>
    <w:p w14:paraId="7FF7C9D3" w14:textId="12B3CBAD" w:rsidR="00712AD4" w:rsidRPr="00BA16D1" w:rsidRDefault="00712AD4" w:rsidP="003F33CB">
      <w:pPr>
        <w:tabs>
          <w:tab w:val="num" w:pos="284"/>
        </w:tabs>
        <w:spacing w:after="240"/>
        <w:ind w:left="360"/>
        <w:jc w:val="both"/>
      </w:pPr>
    </w:p>
    <w:p w14:paraId="7AF98C98" w14:textId="1D605E17" w:rsidR="00EC6AEE" w:rsidRDefault="00EC6AEE" w:rsidP="003F33CB">
      <w:pPr>
        <w:numPr>
          <w:ilvl w:val="1"/>
          <w:numId w:val="17"/>
        </w:numPr>
        <w:spacing w:after="120"/>
        <w:ind w:left="425" w:hanging="425"/>
        <w:jc w:val="both"/>
      </w:pPr>
      <w:r>
        <w:t xml:space="preserve">Poskytovatel se zavazuje </w:t>
      </w:r>
      <w:r w:rsidR="00B220B3">
        <w:t xml:space="preserve">aktivovat Funkcionalitu </w:t>
      </w:r>
      <w:r>
        <w:t xml:space="preserve">u vybraných uživatelů </w:t>
      </w:r>
      <w:r w:rsidR="00AE6B58">
        <w:t>před začátkem pilotního provozu, případně v průběhu pilotního provozu</w:t>
      </w:r>
      <w:r w:rsidR="00942F95">
        <w:t>,</w:t>
      </w:r>
      <w:r w:rsidR="00AE6B58">
        <w:t xml:space="preserve"> a průběžně </w:t>
      </w:r>
      <w:r w:rsidR="00712AD4">
        <w:t xml:space="preserve">Objednatele </w:t>
      </w:r>
      <w:r w:rsidR="00AE6B58">
        <w:t xml:space="preserve">informovat o </w:t>
      </w:r>
      <w:r w:rsidR="007D3626">
        <w:t xml:space="preserve">případných </w:t>
      </w:r>
      <w:r w:rsidR="004D3B72">
        <w:t xml:space="preserve">dalších </w:t>
      </w:r>
      <w:r w:rsidR="00AE6B58">
        <w:t>funkcionalitách racionální preskripce.</w:t>
      </w:r>
      <w:r w:rsidR="004D3B72">
        <w:t xml:space="preserve"> </w:t>
      </w:r>
    </w:p>
    <w:p w14:paraId="52939B1A" w14:textId="77777777" w:rsidR="00170CFD" w:rsidRDefault="00170CFD" w:rsidP="003F33CB">
      <w:pPr>
        <w:numPr>
          <w:ilvl w:val="1"/>
          <w:numId w:val="17"/>
        </w:numPr>
        <w:spacing w:after="120"/>
        <w:ind w:left="425" w:hanging="425"/>
        <w:jc w:val="both"/>
      </w:pPr>
      <w:r>
        <w:lastRenderedPageBreak/>
        <w:t>Objednatel se zavazuje</w:t>
      </w:r>
      <w:r w:rsidR="00E84A31">
        <w:t xml:space="preserve"> bezodkladně</w:t>
      </w:r>
      <w:r>
        <w:t xml:space="preserve"> dodat Poskytovateli </w:t>
      </w:r>
      <w:r w:rsidR="00EC6AEE">
        <w:t xml:space="preserve">všechny aktuální verze </w:t>
      </w:r>
      <w:r>
        <w:t>Pozitivní</w:t>
      </w:r>
      <w:r w:rsidR="00EC6AEE">
        <w:t>ho</w:t>
      </w:r>
      <w:r>
        <w:t xml:space="preserve"> list</w:t>
      </w:r>
      <w:r w:rsidR="00EC6AEE">
        <w:t>u</w:t>
      </w:r>
      <w:r>
        <w:t xml:space="preserve"> Svazu zdravotních pojišťoven České republiky</w:t>
      </w:r>
      <w:r w:rsidR="00EC6AEE">
        <w:t xml:space="preserve"> platné v průběhu pilotního provozu, a to </w:t>
      </w:r>
      <w:r>
        <w:t xml:space="preserve">ve formátu popsaném v příloze č. 3 </w:t>
      </w:r>
      <w:proofErr w:type="gramStart"/>
      <w:r w:rsidR="009856B5">
        <w:t>této</w:t>
      </w:r>
      <w:proofErr w:type="gramEnd"/>
      <w:r w:rsidR="009856B5">
        <w:t xml:space="preserve"> </w:t>
      </w:r>
      <w:r w:rsidR="00EC6AEE">
        <w:t>Smlouvy.</w:t>
      </w:r>
    </w:p>
    <w:p w14:paraId="03B22644" w14:textId="70219746" w:rsidR="00EC6AEE" w:rsidRDefault="00170CFD" w:rsidP="003F33CB">
      <w:pPr>
        <w:numPr>
          <w:ilvl w:val="1"/>
          <w:numId w:val="17"/>
        </w:numPr>
        <w:spacing w:after="120"/>
        <w:ind w:left="425" w:hanging="425"/>
        <w:jc w:val="both"/>
      </w:pPr>
      <w:r>
        <w:t xml:space="preserve">Objednatel se zavazuje předat Poskytovateli </w:t>
      </w:r>
      <w:r w:rsidR="0073593E">
        <w:t xml:space="preserve">nezbytné </w:t>
      </w:r>
      <w:r w:rsidR="00AD3968">
        <w:t xml:space="preserve">grafické podklady </w:t>
      </w:r>
      <w:r w:rsidR="0073593E">
        <w:t xml:space="preserve">pro účely plnění této </w:t>
      </w:r>
      <w:r w:rsidR="00942F95">
        <w:t>S</w:t>
      </w:r>
      <w:r w:rsidR="0073593E">
        <w:t xml:space="preserve">mlouvy </w:t>
      </w:r>
      <w:r w:rsidR="00AD3968">
        <w:t>– zejména logotyp Objednatele.</w:t>
      </w:r>
    </w:p>
    <w:p w14:paraId="53B53A5C" w14:textId="7A145CF2" w:rsidR="00C022D1" w:rsidRPr="00D968E2" w:rsidRDefault="00C022D1" w:rsidP="003F33CB">
      <w:pPr>
        <w:numPr>
          <w:ilvl w:val="1"/>
          <w:numId w:val="17"/>
        </w:numPr>
        <w:spacing w:after="120"/>
        <w:ind w:left="425" w:hanging="425"/>
        <w:jc w:val="both"/>
      </w:pPr>
      <w:r>
        <w:t xml:space="preserve">Poskytovatel se zavazuje poskytnout nejpozději při instalaci Funkcionality u vybraných uživatelů k Funkcionalitě bezplatnou licenci k užívání všem </w:t>
      </w:r>
      <w:r w:rsidR="0040245F">
        <w:t xml:space="preserve">pilotním </w:t>
      </w:r>
      <w:r>
        <w:t xml:space="preserve">uživatelům uvedeným v příloze č. 2 </w:t>
      </w:r>
      <w:proofErr w:type="gramStart"/>
      <w:r>
        <w:t>této</w:t>
      </w:r>
      <w:proofErr w:type="gramEnd"/>
      <w:r>
        <w:t xml:space="preserve"> Smlouvy. </w:t>
      </w:r>
    </w:p>
    <w:p w14:paraId="6472AECE" w14:textId="77777777" w:rsidR="007965E8" w:rsidRDefault="00DD5BA0" w:rsidP="003F33CB">
      <w:pPr>
        <w:spacing w:after="240"/>
        <w:ind w:left="360"/>
        <w:jc w:val="both"/>
        <w:rPr>
          <w:b/>
        </w:rPr>
      </w:pPr>
      <w:r>
        <w:rPr>
          <w:b/>
        </w:rPr>
        <w:t xml:space="preserve"> </w:t>
      </w:r>
    </w:p>
    <w:p w14:paraId="1EA90634" w14:textId="77777777" w:rsidR="008849B1" w:rsidRPr="00C422FE" w:rsidRDefault="00F5516F" w:rsidP="00515E3B">
      <w:pPr>
        <w:numPr>
          <w:ilvl w:val="0"/>
          <w:numId w:val="17"/>
        </w:numPr>
        <w:spacing w:after="240"/>
        <w:jc w:val="center"/>
        <w:rPr>
          <w:b/>
        </w:rPr>
      </w:pPr>
      <w:r>
        <w:rPr>
          <w:b/>
        </w:rPr>
        <w:t>Odpovědnost</w:t>
      </w:r>
    </w:p>
    <w:p w14:paraId="555FCBE9" w14:textId="150658B9" w:rsidR="00F5516F" w:rsidRDefault="00F5516F" w:rsidP="00D04E4C">
      <w:pPr>
        <w:numPr>
          <w:ilvl w:val="1"/>
          <w:numId w:val="17"/>
        </w:numPr>
        <w:spacing w:after="120"/>
        <w:ind w:left="425" w:hanging="425"/>
        <w:jc w:val="both"/>
      </w:pPr>
      <w:r>
        <w:t xml:space="preserve">Objednatel je odpovědný za </w:t>
      </w:r>
      <w:r w:rsidR="00837B30">
        <w:t>správnost</w:t>
      </w:r>
      <w:r>
        <w:t xml:space="preserve"> Pozitivní</w:t>
      </w:r>
      <w:r w:rsidR="00A37975">
        <w:t>ho</w:t>
      </w:r>
      <w:r>
        <w:t xml:space="preserve"> list</w:t>
      </w:r>
      <w:r w:rsidR="00A37975">
        <w:t>u</w:t>
      </w:r>
      <w:r>
        <w:t xml:space="preserve"> Svazu zdravotních pojiš</w:t>
      </w:r>
      <w:r w:rsidR="00A37975">
        <w:t>ťoven</w:t>
      </w:r>
      <w:r w:rsidR="00942F95">
        <w:t xml:space="preserve"> České republiky</w:t>
      </w:r>
      <w:r w:rsidR="00A37975">
        <w:t>.</w:t>
      </w:r>
      <w:r w:rsidR="00FE55B3">
        <w:t xml:space="preserve"> Pozitivní list </w:t>
      </w:r>
      <w:r w:rsidR="00942F95">
        <w:t xml:space="preserve">Svazu zdravotních pojišťoven České republiky </w:t>
      </w:r>
      <w:r w:rsidR="00FE55B3">
        <w:t>je dvakrát ročně aktualizován, aktualizovanou verzi Objednatel neprodleně poskytne Poskytovateli, který je povinen od jejího doručení j</w:t>
      </w:r>
      <w:r w:rsidR="00942F95">
        <w:t>i</w:t>
      </w:r>
      <w:r w:rsidR="00FE55B3">
        <w:t xml:space="preserve"> využít pro Dílo.</w:t>
      </w:r>
      <w:r w:rsidR="00A37975">
        <w:t xml:space="preserve"> Poskytovatel je odpovědný za poskytnutí všech informací o </w:t>
      </w:r>
      <w:r w:rsidR="007D3626">
        <w:t>Funkcionalitě</w:t>
      </w:r>
      <w:r w:rsidR="00A37975">
        <w:t>, které jsou k plnění této odpovědnosti nezbytné.</w:t>
      </w:r>
    </w:p>
    <w:p w14:paraId="4A226CA6" w14:textId="6E5E870D" w:rsidR="001A37D3" w:rsidRDefault="00F70E7F" w:rsidP="000B0909">
      <w:pPr>
        <w:numPr>
          <w:ilvl w:val="1"/>
          <w:numId w:val="17"/>
        </w:numPr>
        <w:spacing w:after="120"/>
        <w:ind w:left="425" w:hanging="425"/>
        <w:jc w:val="both"/>
      </w:pPr>
      <w:r>
        <w:t>Smluvní strany jsou</w:t>
      </w:r>
      <w:r w:rsidR="001A37D3">
        <w:t xml:space="preserve"> při plnění </w:t>
      </w:r>
      <w:r w:rsidR="009856B5">
        <w:t xml:space="preserve">této </w:t>
      </w:r>
      <w:r w:rsidR="001A37D3">
        <w:t>Smlouvy</w:t>
      </w:r>
      <w:r>
        <w:t xml:space="preserve"> odpovědné za škody </w:t>
      </w:r>
      <w:r w:rsidR="007776D4">
        <w:t xml:space="preserve">a újmy </w:t>
      </w:r>
      <w:r>
        <w:t>způsobené druhé straně, ať úmyslně nebo hrubou nedbalostí</w:t>
      </w:r>
      <w:r w:rsidR="001A37D3">
        <w:t xml:space="preserve">. Tato odpovědnost je omezena do výše vyplacené odměny v rámci této Smlouvy. </w:t>
      </w:r>
    </w:p>
    <w:p w14:paraId="3F9397A4" w14:textId="6F0FB75B" w:rsidR="00D44094" w:rsidRDefault="00D44094" w:rsidP="00997525">
      <w:pPr>
        <w:numPr>
          <w:ilvl w:val="1"/>
          <w:numId w:val="17"/>
        </w:numPr>
        <w:spacing w:after="120"/>
        <w:ind w:left="425" w:hanging="425"/>
        <w:jc w:val="both"/>
      </w:pPr>
      <w:r>
        <w:t>Žádná ze Smluvních stran</w:t>
      </w:r>
      <w:r w:rsidR="00857E4B">
        <w:t xml:space="preserve"> není odpovědná druhé </w:t>
      </w:r>
      <w:r w:rsidR="00BC73C0">
        <w:t xml:space="preserve">Smluvní </w:t>
      </w:r>
      <w:r w:rsidR="00857E4B">
        <w:t xml:space="preserve">straně za </w:t>
      </w:r>
      <w:r w:rsidR="002810AF">
        <w:t>ne</w:t>
      </w:r>
      <w:r w:rsidR="00857E4B">
        <w:t xml:space="preserve">plnění </w:t>
      </w:r>
      <w:r w:rsidR="00BC73C0">
        <w:t xml:space="preserve">povinností </w:t>
      </w:r>
      <w:r w:rsidR="002810AF" w:rsidRPr="002810AF">
        <w:t xml:space="preserve">dle </w:t>
      </w:r>
      <w:r w:rsidR="002810AF">
        <w:t>této S</w:t>
      </w:r>
      <w:r w:rsidR="002810AF" w:rsidRPr="002810AF">
        <w:t>mlouvy v případech, kdy plnění její</w:t>
      </w:r>
      <w:r w:rsidR="00BC73C0">
        <w:t>ch smluvních povinností</w:t>
      </w:r>
      <w:r w:rsidR="002810AF" w:rsidRPr="002810AF">
        <w:t xml:space="preserve"> bylo zmařeno zásahem vyšší m</w:t>
      </w:r>
      <w:r w:rsidR="00942F95">
        <w:t>oci, pokud tento zásah dotčen</w:t>
      </w:r>
      <w:r w:rsidR="00BC73C0">
        <w:t>á</w:t>
      </w:r>
      <w:r w:rsidR="00942F95">
        <w:t xml:space="preserve"> S</w:t>
      </w:r>
      <w:r w:rsidR="002810AF" w:rsidRPr="002810AF">
        <w:t>mluvní strana nemohla předvídat a tomuto zásahu zabránit s vynaložením odborné péče. Za události vyšší moci se považuj</w:t>
      </w:r>
      <w:r w:rsidR="00BC73C0">
        <w:t>e</w:t>
      </w:r>
      <w:r w:rsidR="002810AF" w:rsidRPr="002810AF">
        <w:t xml:space="preserve"> např. </w:t>
      </w:r>
      <w:r w:rsidR="00FB6B76">
        <w:t>přetrvávání</w:t>
      </w:r>
      <w:r w:rsidR="00857E4B">
        <w:t xml:space="preserve"> takových okolností, jako je válka, nepřátelské akce, revoluce, občanské nepokoje, stávky, epidemie, nehody, oheň, záplavy nebo obecně zásahů vyšší moci. S</w:t>
      </w:r>
      <w:r w:rsidR="009856B5">
        <w:t>mluvní s</w:t>
      </w:r>
      <w:r w:rsidR="00857E4B">
        <w:t xml:space="preserve">trana postižená takovou okolností toto bezodkladně ohlásí písemně druhé </w:t>
      </w:r>
      <w:r w:rsidR="00942F95">
        <w:t>S</w:t>
      </w:r>
      <w:r w:rsidR="009856B5">
        <w:t xml:space="preserve">mluvní </w:t>
      </w:r>
      <w:r w:rsidR="00857E4B">
        <w:t>straně, pokud takové postižení znamená zpoždění nebo přerušení v</w:t>
      </w:r>
      <w:r w:rsidR="00A12A04">
        <w:t> </w:t>
      </w:r>
      <w:r w:rsidR="00857E4B">
        <w:t xml:space="preserve">plnění této Smlouvy. </w:t>
      </w:r>
    </w:p>
    <w:p w14:paraId="1C2D3E74" w14:textId="77777777" w:rsidR="00642109" w:rsidRDefault="00642109" w:rsidP="003F33CB">
      <w:pPr>
        <w:spacing w:after="120"/>
        <w:ind w:left="425"/>
        <w:jc w:val="both"/>
      </w:pPr>
    </w:p>
    <w:p w14:paraId="0EC1B3BF" w14:textId="59F3883C" w:rsidR="00F70E7F" w:rsidRPr="00C422FE" w:rsidRDefault="00F70E7F" w:rsidP="00515E3B">
      <w:pPr>
        <w:numPr>
          <w:ilvl w:val="0"/>
          <w:numId w:val="17"/>
        </w:numPr>
        <w:spacing w:after="240"/>
        <w:jc w:val="center"/>
        <w:rPr>
          <w:b/>
        </w:rPr>
      </w:pPr>
      <w:r>
        <w:rPr>
          <w:b/>
        </w:rPr>
        <w:t xml:space="preserve">Doba trvání </w:t>
      </w:r>
      <w:r w:rsidR="00A12A04">
        <w:rPr>
          <w:b/>
        </w:rPr>
        <w:t>S</w:t>
      </w:r>
      <w:r>
        <w:rPr>
          <w:b/>
        </w:rPr>
        <w:t xml:space="preserve">mlouvy, </w:t>
      </w:r>
      <w:r w:rsidR="003E0DB7">
        <w:rPr>
          <w:b/>
        </w:rPr>
        <w:t>u</w:t>
      </w:r>
      <w:r>
        <w:rPr>
          <w:b/>
        </w:rPr>
        <w:t xml:space="preserve">končení </w:t>
      </w:r>
      <w:r w:rsidR="00A12A04">
        <w:rPr>
          <w:b/>
        </w:rPr>
        <w:t>S</w:t>
      </w:r>
      <w:r>
        <w:rPr>
          <w:b/>
        </w:rPr>
        <w:t>mlouvy</w:t>
      </w:r>
    </w:p>
    <w:p w14:paraId="3819646E" w14:textId="64A45393" w:rsidR="00F70E7F" w:rsidRDefault="00A12A04" w:rsidP="003F33CB">
      <w:pPr>
        <w:numPr>
          <w:ilvl w:val="1"/>
          <w:numId w:val="17"/>
        </w:numPr>
        <w:spacing w:after="120"/>
        <w:ind w:left="425" w:hanging="425"/>
        <w:jc w:val="both"/>
      </w:pPr>
      <w:r>
        <w:t xml:space="preserve">Tato </w:t>
      </w:r>
      <w:r w:rsidR="00F70E7F">
        <w:t>Smlouva se uzavírá</w:t>
      </w:r>
      <w:r w:rsidR="00FB6B76">
        <w:t xml:space="preserve"> na dobu</w:t>
      </w:r>
      <w:r w:rsidR="00F70E7F">
        <w:t xml:space="preserve"> do </w:t>
      </w:r>
      <w:r>
        <w:t>31. 8. 2018</w:t>
      </w:r>
      <w:r w:rsidR="007776D4">
        <w:t>.</w:t>
      </w:r>
    </w:p>
    <w:p w14:paraId="412E92B9" w14:textId="77777777" w:rsidR="00F70E7F" w:rsidRDefault="00A12A04" w:rsidP="00D04E4C">
      <w:pPr>
        <w:numPr>
          <w:ilvl w:val="1"/>
          <w:numId w:val="17"/>
        </w:numPr>
        <w:spacing w:after="120"/>
        <w:ind w:left="425" w:hanging="425"/>
        <w:jc w:val="both"/>
      </w:pPr>
      <w:r>
        <w:t xml:space="preserve">Tato </w:t>
      </w:r>
      <w:r w:rsidR="00F70E7F">
        <w:t>Smlouva může být ukončena:</w:t>
      </w:r>
    </w:p>
    <w:p w14:paraId="32BF96FA" w14:textId="77777777" w:rsidR="00F70E7F" w:rsidRDefault="00F70E7F" w:rsidP="00515E3B">
      <w:pPr>
        <w:numPr>
          <w:ilvl w:val="2"/>
          <w:numId w:val="17"/>
        </w:numPr>
        <w:spacing w:after="120"/>
        <w:ind w:left="567" w:hanging="283"/>
        <w:jc w:val="both"/>
      </w:pPr>
      <w:r>
        <w:t>písemnou dohodou obou stran,</w:t>
      </w:r>
    </w:p>
    <w:p w14:paraId="7B0FD181" w14:textId="2EAE40DD" w:rsidR="00F70E7F" w:rsidRDefault="00F70E7F" w:rsidP="000B0909">
      <w:pPr>
        <w:numPr>
          <w:ilvl w:val="2"/>
          <w:numId w:val="17"/>
        </w:numPr>
        <w:spacing w:after="120"/>
        <w:ind w:left="567" w:hanging="283"/>
        <w:jc w:val="both"/>
      </w:pPr>
      <w:r>
        <w:t xml:space="preserve">okamžitým odstoupením od </w:t>
      </w:r>
      <w:r w:rsidR="00BC73C0">
        <w:t xml:space="preserve">Smlouvy </w:t>
      </w:r>
      <w:r>
        <w:t>v</w:t>
      </w:r>
      <w:r w:rsidR="00A12A04">
        <w:t> </w:t>
      </w:r>
      <w:r>
        <w:t>případě:</w:t>
      </w:r>
    </w:p>
    <w:p w14:paraId="7C5B4C68" w14:textId="77777777" w:rsidR="00F70E7F" w:rsidRDefault="00F70E7F" w:rsidP="00997525">
      <w:pPr>
        <w:numPr>
          <w:ilvl w:val="2"/>
          <w:numId w:val="18"/>
        </w:numPr>
        <w:spacing w:after="120"/>
        <w:jc w:val="both"/>
      </w:pPr>
      <w:r>
        <w:t xml:space="preserve">takových zákonných změn, které vylučují další pokračování </w:t>
      </w:r>
      <w:r w:rsidR="00A12A04">
        <w:t xml:space="preserve">této </w:t>
      </w:r>
      <w:r>
        <w:t>Smlouvy,</w:t>
      </w:r>
    </w:p>
    <w:p w14:paraId="71E1FDD7" w14:textId="3603E00F" w:rsidR="00857E4B" w:rsidRDefault="00AE6B58" w:rsidP="00942F95">
      <w:pPr>
        <w:numPr>
          <w:ilvl w:val="2"/>
          <w:numId w:val="18"/>
        </w:numPr>
        <w:spacing w:after="120"/>
        <w:jc w:val="both"/>
      </w:pPr>
      <w:r>
        <w:t xml:space="preserve">nastalých okolností dle čl. </w:t>
      </w:r>
      <w:proofErr w:type="gramStart"/>
      <w:r w:rsidR="00940DF8">
        <w:t>4.</w:t>
      </w:r>
      <w:r w:rsidR="00BC73C0">
        <w:t>4</w:t>
      </w:r>
      <w:r w:rsidR="00940DF8">
        <w:t>.</w:t>
      </w:r>
      <w:r w:rsidR="00BC73C0">
        <w:t xml:space="preserve"> </w:t>
      </w:r>
      <w:r w:rsidR="00A12A04">
        <w:t>této</w:t>
      </w:r>
      <w:proofErr w:type="gramEnd"/>
      <w:r w:rsidR="00A12A04">
        <w:t xml:space="preserve"> </w:t>
      </w:r>
      <w:r w:rsidR="00857E4B">
        <w:t xml:space="preserve">Smlouvy, pokud tyto okolnosti představují zpoždění v plnění </w:t>
      </w:r>
      <w:r w:rsidR="00A12A04">
        <w:t xml:space="preserve">této </w:t>
      </w:r>
      <w:r w:rsidR="00857E4B">
        <w:t>Smlouvy delší než čtyři týdny.</w:t>
      </w:r>
    </w:p>
    <w:p w14:paraId="05D411A7" w14:textId="123C22FD" w:rsidR="00F70E7F" w:rsidRDefault="00F70E7F" w:rsidP="00942F95">
      <w:pPr>
        <w:spacing w:after="120"/>
        <w:ind w:left="720"/>
        <w:jc w:val="both"/>
      </w:pPr>
      <w:r>
        <w:t>V případ</w:t>
      </w:r>
      <w:r w:rsidR="00BC73C0">
        <w:t>ech uvedených v čl. 5.2.2.</w:t>
      </w:r>
      <w:r>
        <w:t xml:space="preserve"> bude tato Smlouva ukončena ke dni doručení písemného vyrozumění o odstoupení od </w:t>
      </w:r>
      <w:r w:rsidR="00A12A04">
        <w:t xml:space="preserve">této </w:t>
      </w:r>
      <w:r>
        <w:t>Smlouvy druhé Smluvní straně.</w:t>
      </w:r>
    </w:p>
    <w:p w14:paraId="33B5E08D" w14:textId="14480916" w:rsidR="00BC329B" w:rsidRDefault="00BC329B" w:rsidP="00942F95">
      <w:pPr>
        <w:spacing w:after="120"/>
        <w:ind w:left="720"/>
        <w:jc w:val="both"/>
      </w:pPr>
    </w:p>
    <w:p w14:paraId="2A914119" w14:textId="77777777" w:rsidR="00965E32" w:rsidRDefault="00965E32" w:rsidP="00942F95">
      <w:pPr>
        <w:spacing w:after="120"/>
        <w:ind w:left="720"/>
        <w:jc w:val="both"/>
      </w:pPr>
    </w:p>
    <w:p w14:paraId="6374537E" w14:textId="745A410A" w:rsidR="008849B1" w:rsidRPr="00C422FE" w:rsidRDefault="004D3B72" w:rsidP="003F33CB">
      <w:pPr>
        <w:numPr>
          <w:ilvl w:val="0"/>
          <w:numId w:val="17"/>
        </w:numPr>
        <w:spacing w:after="240"/>
        <w:jc w:val="center"/>
        <w:rPr>
          <w:b/>
        </w:rPr>
      </w:pPr>
      <w:r>
        <w:rPr>
          <w:b/>
        </w:rPr>
        <w:lastRenderedPageBreak/>
        <w:t xml:space="preserve">Odměna za plnění Poskytovatele </w:t>
      </w:r>
      <w:r w:rsidR="008849B1" w:rsidRPr="00C422FE">
        <w:rPr>
          <w:b/>
        </w:rPr>
        <w:t xml:space="preserve"> a platební podmínky</w:t>
      </w:r>
    </w:p>
    <w:p w14:paraId="00B3F38D" w14:textId="074809B9" w:rsidR="004B0356" w:rsidRPr="00D05C4A" w:rsidRDefault="00927BC2" w:rsidP="00515E3B">
      <w:pPr>
        <w:numPr>
          <w:ilvl w:val="1"/>
          <w:numId w:val="17"/>
        </w:numPr>
        <w:spacing w:after="120"/>
        <w:ind w:left="425" w:hanging="425"/>
        <w:jc w:val="both"/>
      </w:pPr>
      <w:r>
        <w:t xml:space="preserve">Poskytovateli náleží </w:t>
      </w:r>
      <w:r w:rsidR="00BC73C0">
        <w:t xml:space="preserve">fixní </w:t>
      </w:r>
      <w:r>
        <w:t xml:space="preserve">odměna </w:t>
      </w:r>
      <w:r w:rsidR="004B0356" w:rsidRPr="001C57BD">
        <w:t>za</w:t>
      </w:r>
      <w:r w:rsidR="004327C0" w:rsidRPr="001C57BD">
        <w:t xml:space="preserve"> </w:t>
      </w:r>
      <w:r w:rsidR="00264ABA">
        <w:t xml:space="preserve">plnění </w:t>
      </w:r>
      <w:r w:rsidR="00813DFF">
        <w:t>podle čl. 2</w:t>
      </w:r>
      <w:r>
        <w:t xml:space="preserve"> ve výši</w:t>
      </w:r>
      <w:r w:rsidR="00C422FE" w:rsidRPr="001C57BD">
        <w:t xml:space="preserve"> </w:t>
      </w:r>
      <w:r w:rsidR="00AD22F5">
        <w:t>480</w:t>
      </w:r>
      <w:r w:rsidR="002A0FB4">
        <w:t>.000</w:t>
      </w:r>
      <w:r w:rsidR="00893EB2" w:rsidRPr="00BC329B">
        <w:t>,-</w:t>
      </w:r>
      <w:r w:rsidR="004F0989" w:rsidRPr="001C57BD">
        <w:t xml:space="preserve"> </w:t>
      </w:r>
      <w:r w:rsidR="004F0989" w:rsidRPr="00BC329B">
        <w:t>Kč</w:t>
      </w:r>
      <w:r w:rsidR="00AA4DA2" w:rsidRPr="001C57BD">
        <w:t xml:space="preserve"> </w:t>
      </w:r>
      <w:r w:rsidR="00755F05" w:rsidRPr="001C57BD">
        <w:t xml:space="preserve">(slovy </w:t>
      </w:r>
      <w:proofErr w:type="spellStart"/>
      <w:r w:rsidR="00AD22F5">
        <w:t>čtyřistaosmdesát</w:t>
      </w:r>
      <w:r w:rsidR="00755F05" w:rsidRPr="001C57BD">
        <w:t>tisíc</w:t>
      </w:r>
      <w:proofErr w:type="spellEnd"/>
      <w:r w:rsidR="00755F05" w:rsidRPr="001C57BD">
        <w:t xml:space="preserve"> korun českých) </w:t>
      </w:r>
      <w:r w:rsidR="00CD7C6F" w:rsidRPr="001C57BD">
        <w:t xml:space="preserve">bez </w:t>
      </w:r>
      <w:r w:rsidR="004327C0" w:rsidRPr="001C57BD">
        <w:t>DPH</w:t>
      </w:r>
      <w:r w:rsidR="00796AEB">
        <w:t xml:space="preserve">, která pokrývá náklady na implementaci </w:t>
      </w:r>
      <w:r w:rsidR="00B049DB">
        <w:t>Funkcionality</w:t>
      </w:r>
      <w:r w:rsidR="00D05C4A" w:rsidRPr="001C57BD">
        <w:t>.</w:t>
      </w:r>
      <w:r w:rsidR="00D04E4C">
        <w:t xml:space="preserve"> </w:t>
      </w:r>
      <w:r w:rsidR="00BC73C0">
        <w:t>Poskytovateli dále náleží</w:t>
      </w:r>
      <w:r w:rsidR="00D05C4A">
        <w:t xml:space="preserve"> </w:t>
      </w:r>
      <w:r w:rsidR="00BC73C0">
        <w:t xml:space="preserve">cílová odměna ve výši </w:t>
      </w:r>
      <w:r w:rsidR="00D05C4A" w:rsidRPr="00D05C4A">
        <w:t xml:space="preserve">1/3 z celkové Objednatelem vyčíslené úspory dosažené </w:t>
      </w:r>
      <w:r w:rsidR="00BC73C0">
        <w:t>dle</w:t>
      </w:r>
      <w:r w:rsidR="00D05C4A" w:rsidRPr="00D05C4A">
        <w:t xml:space="preserve"> vyhodnocení </w:t>
      </w:r>
      <w:r w:rsidR="00BC73C0">
        <w:t xml:space="preserve">pilotního provozu </w:t>
      </w:r>
      <w:r w:rsidR="00D05C4A" w:rsidRPr="00D05C4A">
        <w:t>podle čl. 2.5</w:t>
      </w:r>
      <w:r w:rsidR="00D05C4A">
        <w:t>.</w:t>
      </w:r>
      <w:r w:rsidR="00D04E4C">
        <w:t xml:space="preserve"> </w:t>
      </w:r>
      <w:r w:rsidR="00384FCC">
        <w:t>Smlouvy.</w:t>
      </w:r>
    </w:p>
    <w:p w14:paraId="1293157C" w14:textId="70BAF914" w:rsidR="006406A9" w:rsidRPr="00BC329B" w:rsidRDefault="00E365BA" w:rsidP="00515E3B">
      <w:pPr>
        <w:numPr>
          <w:ilvl w:val="1"/>
          <w:numId w:val="17"/>
        </w:numPr>
        <w:spacing w:after="120"/>
        <w:ind w:left="425" w:hanging="425"/>
        <w:jc w:val="both"/>
      </w:pPr>
      <w:r w:rsidRPr="007B2CED">
        <w:t xml:space="preserve">Dohodnutá </w:t>
      </w:r>
      <w:r w:rsidR="00BB2E0F">
        <w:t>odměna</w:t>
      </w:r>
      <w:r w:rsidR="00AA4DA2" w:rsidRPr="007B2CED">
        <w:t xml:space="preserve"> </w:t>
      </w:r>
      <w:r w:rsidR="00384FCC">
        <w:t xml:space="preserve">je tvořena součtem fixní a cílové odměny </w:t>
      </w:r>
      <w:r w:rsidRPr="007B2CED">
        <w:t xml:space="preserve">dle čl. </w:t>
      </w:r>
      <w:r w:rsidR="00940DF8">
        <w:t>6.</w:t>
      </w:r>
      <w:r w:rsidRPr="007B2CED">
        <w:t xml:space="preserve"> 1</w:t>
      </w:r>
      <w:r w:rsidR="00940DF8">
        <w:t>.</w:t>
      </w:r>
      <w:r w:rsidR="009B3EFA">
        <w:t>,</w:t>
      </w:r>
      <w:r w:rsidRPr="007B2CED">
        <w:t xml:space="preserve"> této </w:t>
      </w:r>
      <w:r w:rsidR="00384FCC">
        <w:t>S</w:t>
      </w:r>
      <w:r w:rsidRPr="007B2CED">
        <w:t xml:space="preserve">mlouvy </w:t>
      </w:r>
      <w:r w:rsidR="00384FCC">
        <w:t xml:space="preserve">a </w:t>
      </w:r>
      <w:r w:rsidRPr="007B2CED">
        <w:t xml:space="preserve">je dohodnuta jako nejvýše přípustná. </w:t>
      </w:r>
      <w:r w:rsidR="007B2CED" w:rsidRPr="007B2CED">
        <w:t xml:space="preserve">Dohodnutá cena zahrnuje veškeré náklady </w:t>
      </w:r>
      <w:r w:rsidR="002F3E52">
        <w:t>P</w:t>
      </w:r>
      <w:r w:rsidR="007B2CED" w:rsidRPr="007B2CED">
        <w:t xml:space="preserve">oskytovatele spojené s úplnou a kvalitní realizací </w:t>
      </w:r>
      <w:r w:rsidR="00B06138">
        <w:t>Funkcionality</w:t>
      </w:r>
      <w:r w:rsidR="00590E2E">
        <w:t xml:space="preserve"> včetně nákladů na dopravu</w:t>
      </w:r>
      <w:r w:rsidR="00B06138">
        <w:t xml:space="preserve"> a nákladů na technickou podporu poskytnutou vybraným uživatelům uvedeným v příloze č. 2 </w:t>
      </w:r>
      <w:proofErr w:type="gramStart"/>
      <w:r w:rsidR="00B06138">
        <w:t>této</w:t>
      </w:r>
      <w:proofErr w:type="gramEnd"/>
      <w:r w:rsidR="00B06138">
        <w:t xml:space="preserve"> Smlouvy.</w:t>
      </w:r>
      <w:r w:rsidR="00940DF8">
        <w:t>.</w:t>
      </w:r>
    </w:p>
    <w:p w14:paraId="2FABDE70" w14:textId="1CBC9204" w:rsidR="008849B1" w:rsidRPr="00993096" w:rsidRDefault="00384FCC" w:rsidP="000B0909">
      <w:pPr>
        <w:numPr>
          <w:ilvl w:val="1"/>
          <w:numId w:val="17"/>
        </w:numPr>
        <w:spacing w:after="120"/>
        <w:ind w:left="425" w:hanging="425"/>
        <w:jc w:val="both"/>
      </w:pPr>
      <w:r>
        <w:t>Dohodnutá cena</w:t>
      </w:r>
      <w:r w:rsidR="0004420E" w:rsidRPr="00C422FE">
        <w:t xml:space="preserve"> </w:t>
      </w:r>
      <w:r w:rsidR="006406A9" w:rsidRPr="00C422FE">
        <w:t xml:space="preserve">dle </w:t>
      </w:r>
      <w:r w:rsidR="00993096">
        <w:t xml:space="preserve">čl. </w:t>
      </w:r>
      <w:proofErr w:type="gramStart"/>
      <w:r w:rsidR="006B081B">
        <w:t>6</w:t>
      </w:r>
      <w:r>
        <w:t>.</w:t>
      </w:r>
      <w:r w:rsidR="006B081B">
        <w:t>1</w:t>
      </w:r>
      <w:r>
        <w:t>.</w:t>
      </w:r>
      <w:r w:rsidR="00993096">
        <w:t xml:space="preserve"> této</w:t>
      </w:r>
      <w:proofErr w:type="gramEnd"/>
      <w:r w:rsidR="00993096">
        <w:t xml:space="preserve"> </w:t>
      </w:r>
      <w:r w:rsidR="00DD0E30">
        <w:t>S</w:t>
      </w:r>
      <w:r w:rsidR="00993096">
        <w:t>mlouvy</w:t>
      </w:r>
      <w:r w:rsidR="006406A9" w:rsidRPr="00C422FE">
        <w:t xml:space="preserve"> </w:t>
      </w:r>
      <w:r w:rsidR="004B0356" w:rsidRPr="00C422FE">
        <w:t xml:space="preserve">se </w:t>
      </w:r>
      <w:r w:rsidR="0004420E" w:rsidRPr="00C422FE">
        <w:t>navyšuj</w:t>
      </w:r>
      <w:r>
        <w:t>e</w:t>
      </w:r>
      <w:r w:rsidR="0004420E" w:rsidRPr="00C422FE">
        <w:t xml:space="preserve"> o </w:t>
      </w:r>
      <w:r w:rsidR="004B0356" w:rsidRPr="00C422FE">
        <w:t>daň z přidané hodnoty v</w:t>
      </w:r>
      <w:r w:rsidR="005F218D" w:rsidRPr="00C422FE">
        <w:t> zákonem stanovené výši.</w:t>
      </w:r>
    </w:p>
    <w:p w14:paraId="4934D96A" w14:textId="0A5EA010" w:rsidR="00993E02" w:rsidRDefault="006415D2" w:rsidP="003F33CB">
      <w:pPr>
        <w:numPr>
          <w:ilvl w:val="1"/>
          <w:numId w:val="17"/>
        </w:numPr>
        <w:spacing w:after="120"/>
        <w:ind w:left="425" w:hanging="425"/>
        <w:jc w:val="both"/>
      </w:pPr>
      <w:r>
        <w:t xml:space="preserve">Nárok Poskytovatele na úhradu </w:t>
      </w:r>
      <w:r w:rsidR="00384FCC">
        <w:t>fixní odměny</w:t>
      </w:r>
      <w:r>
        <w:t xml:space="preserve"> vzniká </w:t>
      </w:r>
      <w:r w:rsidR="00035295">
        <w:t>v</w:t>
      </w:r>
      <w:r w:rsidR="00993096">
        <w:t>e výši</w:t>
      </w:r>
      <w:r w:rsidR="00993E02">
        <w:t>:</w:t>
      </w:r>
    </w:p>
    <w:p w14:paraId="0B859B8A" w14:textId="0E4B16D5" w:rsidR="00993096" w:rsidRDefault="00AD22F5" w:rsidP="00D04E4C">
      <w:pPr>
        <w:numPr>
          <w:ilvl w:val="3"/>
          <w:numId w:val="22"/>
        </w:numPr>
        <w:spacing w:after="120"/>
        <w:jc w:val="both"/>
      </w:pPr>
      <w:r>
        <w:t>50</w:t>
      </w:r>
      <w:r w:rsidR="00A61AF9">
        <w:t xml:space="preserve"> </w:t>
      </w:r>
      <w:r w:rsidR="00993E02">
        <w:t>% z</w:t>
      </w:r>
      <w:r w:rsidR="00D05C4A">
        <w:t> </w:t>
      </w:r>
      <w:r w:rsidR="00384FCC">
        <w:t>fixní odměny</w:t>
      </w:r>
      <w:r w:rsidR="00993E02">
        <w:t xml:space="preserve"> při zahájení pilotního provozu</w:t>
      </w:r>
      <w:r w:rsidR="00384FCC">
        <w:t>,</w:t>
      </w:r>
    </w:p>
    <w:p w14:paraId="1FACC36B" w14:textId="2E5F3455" w:rsidR="00A61AF9" w:rsidRDefault="00AD22F5" w:rsidP="00515E3B">
      <w:pPr>
        <w:numPr>
          <w:ilvl w:val="3"/>
          <w:numId w:val="22"/>
        </w:numPr>
        <w:spacing w:after="120"/>
        <w:jc w:val="both"/>
      </w:pPr>
      <w:r>
        <w:t>50</w:t>
      </w:r>
      <w:r w:rsidR="00A61AF9">
        <w:t xml:space="preserve"> % z </w:t>
      </w:r>
      <w:r w:rsidR="00384FCC">
        <w:t>fixní odměny</w:t>
      </w:r>
      <w:r w:rsidR="00D05C4A" w:rsidRPr="00D05C4A">
        <w:t xml:space="preserve"> </w:t>
      </w:r>
      <w:r w:rsidR="00A61AF9">
        <w:t>k</w:t>
      </w:r>
      <w:r w:rsidR="00830A2E">
        <w:t> </w:t>
      </w:r>
      <w:r w:rsidR="008F0C10">
        <w:t>3. 4. 2018</w:t>
      </w:r>
      <w:r w:rsidR="00384FCC">
        <w:t>,</w:t>
      </w:r>
    </w:p>
    <w:p w14:paraId="41D1A1E2" w14:textId="469E98D7" w:rsidR="00993E02" w:rsidRDefault="00384FCC" w:rsidP="003F33CB">
      <w:pPr>
        <w:spacing w:after="120"/>
        <w:ind w:left="425"/>
        <w:jc w:val="both"/>
      </w:pPr>
      <w:r>
        <w:t xml:space="preserve">Nárok Poskytovatele na úhradu cílové odměny vzniká </w:t>
      </w:r>
      <w:r w:rsidR="00D05C4A">
        <w:t xml:space="preserve">do 30 dnů od vyhodnocení </w:t>
      </w:r>
      <w:r>
        <w:t xml:space="preserve">pilotního provozu </w:t>
      </w:r>
      <w:r w:rsidRPr="00D05C4A">
        <w:t>podle čl. 2.5</w:t>
      </w:r>
      <w:r>
        <w:t>. Smlouvy.</w:t>
      </w:r>
    </w:p>
    <w:p w14:paraId="223C35EB" w14:textId="77777777" w:rsidR="005F218D" w:rsidRPr="00BC329B" w:rsidRDefault="00CA32AE" w:rsidP="000B0909">
      <w:pPr>
        <w:numPr>
          <w:ilvl w:val="1"/>
          <w:numId w:val="17"/>
        </w:numPr>
        <w:spacing w:after="120"/>
        <w:ind w:left="425" w:hanging="425"/>
        <w:jc w:val="both"/>
      </w:pPr>
      <w:r w:rsidRPr="00C422FE">
        <w:t>Faktur</w:t>
      </w:r>
      <w:r w:rsidR="00035295">
        <w:t>y</w:t>
      </w:r>
      <w:r w:rsidRPr="00C422FE">
        <w:t xml:space="preserve"> bud</w:t>
      </w:r>
      <w:r w:rsidR="00035295">
        <w:t>ou</w:t>
      </w:r>
      <w:r w:rsidRPr="00C422FE">
        <w:t xml:space="preserve"> vystaven</w:t>
      </w:r>
      <w:r w:rsidR="00035295">
        <w:t>y</w:t>
      </w:r>
      <w:r w:rsidR="00A61AF9">
        <w:t xml:space="preserve"> se splatností 30</w:t>
      </w:r>
      <w:r w:rsidRPr="00C422FE">
        <w:t xml:space="preserve"> dní.</w:t>
      </w:r>
      <w:r w:rsidR="008849B1" w:rsidRPr="00BC329B">
        <w:t xml:space="preserve"> </w:t>
      </w:r>
      <w:r w:rsidR="006406A9" w:rsidRPr="00BC329B">
        <w:t xml:space="preserve">Za úhradu </w:t>
      </w:r>
      <w:r w:rsidR="00035295" w:rsidRPr="00BC329B">
        <w:t>fakturované</w:t>
      </w:r>
      <w:r w:rsidR="006406A9" w:rsidRPr="00BC329B">
        <w:t xml:space="preserve"> částky se </w:t>
      </w:r>
      <w:r w:rsidR="00E365BA" w:rsidRPr="00BC329B">
        <w:t xml:space="preserve">považuje její odepsání z účtu </w:t>
      </w:r>
      <w:r w:rsidR="00396DD2" w:rsidRPr="00BC329B">
        <w:t>Objednatel</w:t>
      </w:r>
      <w:r w:rsidR="00E365BA" w:rsidRPr="00BC329B">
        <w:t>e</w:t>
      </w:r>
      <w:r w:rsidR="006406A9" w:rsidRPr="00BC329B">
        <w:t>.</w:t>
      </w:r>
      <w:r w:rsidR="00AA4DA2" w:rsidRPr="00BC329B">
        <w:t xml:space="preserve"> </w:t>
      </w:r>
    </w:p>
    <w:p w14:paraId="7AED318A" w14:textId="77777777" w:rsidR="006406A9" w:rsidRPr="00035295" w:rsidRDefault="006406A9" w:rsidP="000B0909">
      <w:pPr>
        <w:numPr>
          <w:ilvl w:val="1"/>
          <w:numId w:val="17"/>
        </w:numPr>
        <w:spacing w:after="120"/>
        <w:ind w:left="425" w:hanging="425"/>
        <w:jc w:val="both"/>
      </w:pPr>
      <w:r w:rsidRPr="00C422FE">
        <w:t>Faktur</w:t>
      </w:r>
      <w:r w:rsidR="00035295">
        <w:t>y</w:t>
      </w:r>
      <w:r w:rsidRPr="00C422FE">
        <w:t xml:space="preserve"> musí mít náležitosti daňového dokladu ve smyslu zákona č. 234/2004 Sb., o dani z přidané hodnoty. V případě, že faktura nebude obsahovat zákonné náležitosti nebo náležitosti dohodnuté podle této smlouvy, nebo pokud v ní budou uvedeny chybné údaje, je </w:t>
      </w:r>
      <w:r w:rsidR="00396DD2">
        <w:t>Objednatel</w:t>
      </w:r>
      <w:r w:rsidRPr="00C422FE">
        <w:t xml:space="preserve"> oprávněn Poskytovateli tuto </w:t>
      </w:r>
      <w:r w:rsidR="00035295">
        <w:t xml:space="preserve">fakturu </w:t>
      </w:r>
      <w:r w:rsidRPr="00C422FE">
        <w:t xml:space="preserve">vrátit neproplacenou. V takovém případě je Poskytovatel povinen fakturu vyhotovit znovu a zaslat zpět </w:t>
      </w:r>
      <w:r w:rsidR="00396DD2">
        <w:t>Objednatel</w:t>
      </w:r>
      <w:r w:rsidR="00E365BA" w:rsidRPr="00C422FE">
        <w:t>i</w:t>
      </w:r>
      <w:r w:rsidR="00AA4DA2" w:rsidRPr="00C422FE">
        <w:t xml:space="preserve"> </w:t>
      </w:r>
      <w:r w:rsidRPr="00C422FE">
        <w:t>s novou lhůtou</w:t>
      </w:r>
      <w:r w:rsidR="00E365BA" w:rsidRPr="00C422FE">
        <w:t xml:space="preserve"> splatnosti. Po tuto dobu není </w:t>
      </w:r>
      <w:r w:rsidR="00396DD2">
        <w:t>Objednatel</w:t>
      </w:r>
      <w:r w:rsidRPr="00C422FE">
        <w:t xml:space="preserve"> v prodlení s placením faktury.</w:t>
      </w:r>
    </w:p>
    <w:p w14:paraId="24399F18" w14:textId="77777777" w:rsidR="00E437CC" w:rsidRDefault="00E437CC" w:rsidP="003F33CB">
      <w:pPr>
        <w:jc w:val="both"/>
      </w:pPr>
    </w:p>
    <w:p w14:paraId="51992E10" w14:textId="77777777" w:rsidR="007965E8" w:rsidRPr="00C422FE" w:rsidRDefault="007965E8" w:rsidP="003F33CB">
      <w:pPr>
        <w:jc w:val="both"/>
      </w:pPr>
    </w:p>
    <w:p w14:paraId="7C890D8D" w14:textId="77777777" w:rsidR="008849B1" w:rsidRPr="00736C9E" w:rsidRDefault="000D1A8F" w:rsidP="00515E3B">
      <w:pPr>
        <w:numPr>
          <w:ilvl w:val="0"/>
          <w:numId w:val="17"/>
        </w:numPr>
        <w:spacing w:after="240"/>
        <w:jc w:val="center"/>
        <w:rPr>
          <w:b/>
        </w:rPr>
      </w:pPr>
      <w:r w:rsidRPr="00736C9E">
        <w:rPr>
          <w:b/>
        </w:rPr>
        <w:t>Ochrana informací</w:t>
      </w:r>
    </w:p>
    <w:p w14:paraId="30D9D016" w14:textId="4FF25CDD" w:rsidR="008F58AA" w:rsidRPr="00736C9E" w:rsidRDefault="008F58AA" w:rsidP="003F33CB">
      <w:pPr>
        <w:pStyle w:val="Barevnseznamzvraznn11"/>
        <w:numPr>
          <w:ilvl w:val="1"/>
          <w:numId w:val="17"/>
        </w:numPr>
        <w:spacing w:after="240"/>
        <w:jc w:val="both"/>
      </w:pPr>
      <w:r w:rsidRPr="00736C9E">
        <w:t>Smluvní strany se zavazují, že neprozradí ani nezpřístupní třetí osobě jakékoliv informace, které ve smyslu § 504 občanského zákoníku označí v souvislosti s touto smlouvu za obchodní tajemství nebo které jsou v souladu se zákonem č. 101/2000 Sb., o ochraně osobních údajů, považovány na osobní nebo citlivé údaje.</w:t>
      </w:r>
    </w:p>
    <w:p w14:paraId="2F10AB31" w14:textId="28124B89" w:rsidR="008F58AA" w:rsidRPr="00736C9E" w:rsidRDefault="008F58AA" w:rsidP="003F33CB">
      <w:pPr>
        <w:pStyle w:val="Barevnseznamzvraznn11"/>
        <w:numPr>
          <w:ilvl w:val="1"/>
          <w:numId w:val="17"/>
        </w:numPr>
        <w:spacing w:after="240"/>
        <w:jc w:val="both"/>
      </w:pPr>
      <w:r w:rsidRPr="00736C9E">
        <w:t xml:space="preserve">Smluvní strany se zavazují zachovávat mlčenlivost o všech skutečnostech obchodní, výrobní či technické povahy, o kterých se dozvěděly při realizaci této smlouvy nebo v souvislosti s ní, jakož i o všech údajích a informacích z této smlouvy vyplývajících. Smluvní strany se dohodly, že cena </w:t>
      </w:r>
      <w:r w:rsidR="00FE1A7A">
        <w:t>Funkcionality</w:t>
      </w:r>
      <w:r w:rsidRPr="00736C9E">
        <w:t xml:space="preserve"> a všechny informace týkající se v produktu obsažené, jsou považovány za důvěrné</w:t>
      </w:r>
      <w:r w:rsidR="006415D2">
        <w:t xml:space="preserve">, stejně tak jako i všechny neveřejné informace sdělené mezi stranami v souvislosti, byť i nepřímé, s plněním této Smlouvy, </w:t>
      </w:r>
      <w:r w:rsidR="00C45CB1">
        <w:t>a to s odkazem na</w:t>
      </w:r>
      <w:r w:rsidRPr="00736C9E">
        <w:t xml:space="preserve"> § 504 občanského zákoníku</w:t>
      </w:r>
      <w:r w:rsidR="00384FCC">
        <w:t>,</w:t>
      </w:r>
      <w:r w:rsidRPr="00736C9E">
        <w:t xml:space="preserve"> a jako takové jsou veřejně nepřístupné. Smluvní strany se zavazují zajistit a dodržovat důvěrnost těchto informací. Tato povinnost platí i po ukončení platnosti smlouvy.</w:t>
      </w:r>
    </w:p>
    <w:p w14:paraId="2D84506B" w14:textId="51074F60" w:rsidR="008F58AA" w:rsidRPr="00736C9E" w:rsidRDefault="008F58AA" w:rsidP="003F33CB">
      <w:pPr>
        <w:pStyle w:val="Barevnseznamzvraznn11"/>
        <w:numPr>
          <w:ilvl w:val="1"/>
          <w:numId w:val="17"/>
        </w:numPr>
        <w:spacing w:after="60"/>
        <w:jc w:val="both"/>
      </w:pPr>
      <w:r w:rsidRPr="00736C9E">
        <w:t>S</w:t>
      </w:r>
      <w:r w:rsidR="00944888">
        <w:t>mluvní s</w:t>
      </w:r>
      <w:r w:rsidRPr="00736C9E">
        <w:t xml:space="preserve">trany mohou sdělit důvěrné informace v minimálním rozsahu: </w:t>
      </w:r>
    </w:p>
    <w:p w14:paraId="480DD5A3" w14:textId="57C98060" w:rsidR="008F58AA" w:rsidRPr="00736C9E" w:rsidRDefault="008F58AA" w:rsidP="003F33CB">
      <w:pPr>
        <w:pStyle w:val="Barevnseznamzvraznn11"/>
        <w:numPr>
          <w:ilvl w:val="2"/>
          <w:numId w:val="17"/>
        </w:numPr>
        <w:spacing w:after="60"/>
        <w:jc w:val="both"/>
      </w:pPr>
      <w:proofErr w:type="gramStart"/>
      <w:r w:rsidRPr="00736C9E">
        <w:lastRenderedPageBreak/>
        <w:t>vyžadovaném</w:t>
      </w:r>
      <w:proofErr w:type="gramEnd"/>
      <w:r w:rsidRPr="00736C9E">
        <w:t xml:space="preserve"> jakýmkoli nařízením jakéhokoli příslušného soudu</w:t>
      </w:r>
      <w:r w:rsidR="00384FCC">
        <w:t>,</w:t>
      </w:r>
    </w:p>
    <w:p w14:paraId="55C9B3F7" w14:textId="77777777" w:rsidR="008F58AA" w:rsidRPr="00736C9E" w:rsidRDefault="008F58AA" w:rsidP="003F33CB">
      <w:pPr>
        <w:pStyle w:val="Barevnseznamzvraznn11"/>
        <w:numPr>
          <w:ilvl w:val="2"/>
          <w:numId w:val="17"/>
        </w:numPr>
        <w:spacing w:after="120"/>
        <w:jc w:val="both"/>
      </w:pPr>
      <w:r w:rsidRPr="00736C9E">
        <w:t>právními předpisy.</w:t>
      </w:r>
    </w:p>
    <w:p w14:paraId="3609FE32" w14:textId="7283E27B" w:rsidR="008F58AA" w:rsidRPr="00736C9E" w:rsidRDefault="00264ABA" w:rsidP="003F33CB">
      <w:pPr>
        <w:pStyle w:val="Barevnseznamzvraznn11"/>
        <w:spacing w:after="240"/>
        <w:ind w:left="792"/>
        <w:jc w:val="both"/>
      </w:pPr>
      <w:r>
        <w:t xml:space="preserve">O </w:t>
      </w:r>
      <w:r w:rsidR="008F58AA" w:rsidRPr="00736C9E">
        <w:t>takovém sdělení jsou S</w:t>
      </w:r>
      <w:r w:rsidR="00944888">
        <w:t>mluvní s</w:t>
      </w:r>
      <w:r w:rsidR="008F58AA" w:rsidRPr="00736C9E">
        <w:t>trany povinn</w:t>
      </w:r>
      <w:r w:rsidR="00384FCC">
        <w:t>y</w:t>
      </w:r>
      <w:r w:rsidR="008F58AA" w:rsidRPr="00736C9E">
        <w:t xml:space="preserve"> se vzájemně bez prodlení informovat.</w:t>
      </w:r>
    </w:p>
    <w:p w14:paraId="4658441D" w14:textId="77777777" w:rsidR="00AE6B58" w:rsidRDefault="00AE6B58" w:rsidP="003F33CB">
      <w:pPr>
        <w:spacing w:after="120"/>
        <w:jc w:val="both"/>
      </w:pPr>
    </w:p>
    <w:p w14:paraId="4339E7CC" w14:textId="77777777" w:rsidR="00AE6B58" w:rsidRDefault="00AE6B58" w:rsidP="003F33CB">
      <w:pPr>
        <w:spacing w:after="120"/>
        <w:ind w:left="425"/>
        <w:jc w:val="both"/>
      </w:pPr>
    </w:p>
    <w:p w14:paraId="1F7E6018" w14:textId="77777777" w:rsidR="00D44094" w:rsidRDefault="00D44094" w:rsidP="00515E3B">
      <w:pPr>
        <w:numPr>
          <w:ilvl w:val="0"/>
          <w:numId w:val="17"/>
        </w:numPr>
        <w:spacing w:after="240"/>
        <w:jc w:val="center"/>
        <w:rPr>
          <w:b/>
        </w:rPr>
      </w:pPr>
      <w:r>
        <w:rPr>
          <w:b/>
        </w:rPr>
        <w:t>Publicita</w:t>
      </w:r>
    </w:p>
    <w:p w14:paraId="4E392A2C" w14:textId="77777777" w:rsidR="00D44094" w:rsidRDefault="00D44094" w:rsidP="003F33CB">
      <w:pPr>
        <w:numPr>
          <w:ilvl w:val="1"/>
          <w:numId w:val="17"/>
        </w:numPr>
        <w:spacing w:after="120"/>
        <w:ind w:left="425" w:hanging="425"/>
        <w:jc w:val="both"/>
      </w:pPr>
      <w:r>
        <w:t>Smluvní strany se dohodly, že publikování informací, tiskových zpráv a další komunikace o předmětu této Smlouvy bude založená na přechozím společném konsensu.</w:t>
      </w:r>
    </w:p>
    <w:p w14:paraId="0213AF55" w14:textId="48CD9494" w:rsidR="00D44094" w:rsidRDefault="00D44094" w:rsidP="003F33CB">
      <w:pPr>
        <w:numPr>
          <w:ilvl w:val="1"/>
          <w:numId w:val="17"/>
        </w:numPr>
        <w:spacing w:after="120"/>
        <w:ind w:left="425" w:hanging="425"/>
        <w:jc w:val="both"/>
      </w:pPr>
      <w:r>
        <w:t>Objednatel předává</w:t>
      </w:r>
      <w:r w:rsidR="00264ABA">
        <w:t xml:space="preserve"> při podpisu této Smlouvy</w:t>
      </w:r>
      <w:r>
        <w:t xml:space="preserve"> Poskytovateli práva k užití logotypů, ochranných známek, obchodních jmen atd. potřebných k propagaci ve jménu Objednatele</w:t>
      </w:r>
      <w:r w:rsidR="00264ABA">
        <w:t>, a to výhradně za účelem plnění podle této Smlouvy.</w:t>
      </w:r>
    </w:p>
    <w:p w14:paraId="4839FF15" w14:textId="77777777" w:rsidR="00D44094" w:rsidRPr="002B7BCC" w:rsidRDefault="00D44094" w:rsidP="003F33CB">
      <w:pPr>
        <w:numPr>
          <w:ilvl w:val="1"/>
          <w:numId w:val="17"/>
        </w:numPr>
        <w:spacing w:after="120"/>
        <w:ind w:left="425" w:hanging="425"/>
        <w:jc w:val="both"/>
      </w:pPr>
      <w:r>
        <w:t xml:space="preserve">Poskytovatel předává </w:t>
      </w:r>
      <w:r w:rsidR="00264ABA" w:rsidRPr="00264ABA">
        <w:t xml:space="preserve">při podpisu této Smlouvy </w:t>
      </w:r>
      <w:r>
        <w:t>Objednateli práva k užití logotypů, ochranných známek, obchodních jmen atd. potřebných k propagaci ve jménu Poskytovatele</w:t>
      </w:r>
      <w:r w:rsidR="00264ABA" w:rsidRPr="00264ABA">
        <w:t>, a to výhradně za účelem plnění podle této Smlouvy</w:t>
      </w:r>
      <w:r>
        <w:t>.</w:t>
      </w:r>
    </w:p>
    <w:p w14:paraId="73FBB31A" w14:textId="77777777" w:rsidR="007965E8" w:rsidRPr="007965E8" w:rsidRDefault="007965E8" w:rsidP="003F33CB">
      <w:pPr>
        <w:jc w:val="both"/>
      </w:pPr>
    </w:p>
    <w:p w14:paraId="1A12E190" w14:textId="77777777" w:rsidR="000D1A8F" w:rsidRPr="00C422FE" w:rsidRDefault="000D1A8F" w:rsidP="00515E3B">
      <w:pPr>
        <w:numPr>
          <w:ilvl w:val="0"/>
          <w:numId w:val="17"/>
        </w:numPr>
        <w:spacing w:after="240"/>
        <w:jc w:val="center"/>
        <w:rPr>
          <w:b/>
        </w:rPr>
      </w:pPr>
      <w:r w:rsidRPr="00C422FE">
        <w:rPr>
          <w:b/>
        </w:rPr>
        <w:t>Ostatní ujednání</w:t>
      </w:r>
    </w:p>
    <w:p w14:paraId="61640131" w14:textId="1F31A9DB" w:rsidR="002B7BCC" w:rsidRPr="00AB1C41" w:rsidRDefault="003207CE" w:rsidP="003F33CB">
      <w:pPr>
        <w:pStyle w:val="Stednmka1zvraznn21"/>
        <w:numPr>
          <w:ilvl w:val="0"/>
          <w:numId w:val="11"/>
        </w:numPr>
        <w:spacing w:after="240"/>
        <w:ind w:left="340"/>
        <w:jc w:val="both"/>
      </w:pPr>
      <w:r w:rsidRPr="005331CF">
        <w:t xml:space="preserve">Hlášení požadavků na </w:t>
      </w:r>
      <w:r w:rsidR="00264ABA">
        <w:t>t</w:t>
      </w:r>
      <w:r w:rsidRPr="005331CF">
        <w:t xml:space="preserve">echnickou podporu </w:t>
      </w:r>
      <w:r w:rsidRPr="0094204E">
        <w:t xml:space="preserve">podle čl. </w:t>
      </w:r>
      <w:proofErr w:type="gramStart"/>
      <w:r w:rsidRPr="0094204E">
        <w:t>2</w:t>
      </w:r>
      <w:r w:rsidR="00264ABA">
        <w:t>.3.</w:t>
      </w:r>
      <w:r w:rsidRPr="0094204E">
        <w:t xml:space="preserve"> této</w:t>
      </w:r>
      <w:proofErr w:type="gramEnd"/>
      <w:r w:rsidRPr="0094204E">
        <w:t xml:space="preserve"> </w:t>
      </w:r>
      <w:r w:rsidR="009856B5">
        <w:t>S</w:t>
      </w:r>
      <w:r w:rsidRPr="0094204E">
        <w:t xml:space="preserve">mlouvy </w:t>
      </w:r>
      <w:r w:rsidRPr="005331CF">
        <w:t>se provádí telefonicky nebo pomocí e-mailu na kontaktní osobu Poskytovatele</w:t>
      </w:r>
      <w:r w:rsidR="00264ABA">
        <w:t>,</w:t>
      </w:r>
      <w:r w:rsidRPr="005331CF">
        <w:t xml:space="preserve"> a to v pracovní dny v obvyklou pracovní dobu, tedy mezi 8:</w:t>
      </w:r>
      <w:r>
        <w:t>30</w:t>
      </w:r>
      <w:r w:rsidRPr="005331CF">
        <w:t xml:space="preserve"> a </w:t>
      </w:r>
      <w:r>
        <w:t>17</w:t>
      </w:r>
      <w:r w:rsidRPr="005331CF">
        <w:t>:</w:t>
      </w:r>
      <w:r>
        <w:t>0</w:t>
      </w:r>
      <w:r w:rsidRPr="005331CF">
        <w:t xml:space="preserve">0. </w:t>
      </w:r>
      <w:r w:rsidR="000B5885" w:rsidRPr="00AB1C41">
        <w:t xml:space="preserve">Poskytovatel </w:t>
      </w:r>
      <w:r w:rsidR="0043142E" w:rsidRPr="00AB1C41">
        <w:t>se zavazuje</w:t>
      </w:r>
      <w:r w:rsidR="000B5885" w:rsidRPr="00AB1C41">
        <w:t xml:space="preserve"> přijetí </w:t>
      </w:r>
      <w:r w:rsidR="0094204E" w:rsidRPr="00AB1C41">
        <w:t xml:space="preserve">všech </w:t>
      </w:r>
      <w:r w:rsidR="000B5885" w:rsidRPr="00AB1C41">
        <w:t xml:space="preserve">hlášení </w:t>
      </w:r>
      <w:r w:rsidR="0043142E" w:rsidRPr="00AB1C41">
        <w:t xml:space="preserve">dle čl. </w:t>
      </w:r>
      <w:proofErr w:type="gramStart"/>
      <w:r w:rsidR="0096607E">
        <w:t>9</w:t>
      </w:r>
      <w:r w:rsidR="00384FCC">
        <w:t>.1.</w:t>
      </w:r>
      <w:r w:rsidR="0043142E" w:rsidRPr="00AB1C41">
        <w:t xml:space="preserve"> této</w:t>
      </w:r>
      <w:proofErr w:type="gramEnd"/>
      <w:r w:rsidR="0043142E" w:rsidRPr="00AB1C41">
        <w:t xml:space="preserve"> </w:t>
      </w:r>
      <w:r w:rsidR="009856B5">
        <w:t>S</w:t>
      </w:r>
      <w:r w:rsidR="0043142E" w:rsidRPr="00AB1C41">
        <w:t xml:space="preserve">mlouvy </w:t>
      </w:r>
      <w:r w:rsidR="000B5885" w:rsidRPr="00AB1C41">
        <w:t>p</w:t>
      </w:r>
      <w:r w:rsidR="0094204E" w:rsidRPr="00AB1C41">
        <w:t xml:space="preserve">otvrdit </w:t>
      </w:r>
      <w:r w:rsidR="000A7B02" w:rsidRPr="00AB1C41">
        <w:t>bez zbytečného odkladu</w:t>
      </w:r>
      <w:r w:rsidR="000B5885" w:rsidRPr="00AB1C41">
        <w:t xml:space="preserve"> e-mailem na adresu kontaktní osoby </w:t>
      </w:r>
      <w:r w:rsidR="00396DD2">
        <w:t>Objednatel</w:t>
      </w:r>
      <w:r w:rsidR="000B5885" w:rsidRPr="00AB1C41">
        <w:t>e</w:t>
      </w:r>
      <w:r w:rsidR="00264ABA">
        <w:t>,</w:t>
      </w:r>
      <w:r w:rsidR="000A7B02" w:rsidRPr="00AB1C41">
        <w:t xml:space="preserve"> a to včetně odhadu termínu vyřešení</w:t>
      </w:r>
      <w:r w:rsidR="000B5885" w:rsidRPr="00AB1C41">
        <w:t>.</w:t>
      </w:r>
      <w:r w:rsidR="0043142E" w:rsidRPr="00AB1C41">
        <w:t xml:space="preserve"> Poskytovatel </w:t>
      </w:r>
      <w:r w:rsidR="002D3EF2" w:rsidRPr="00AB1C41">
        <w:t xml:space="preserve">se </w:t>
      </w:r>
      <w:r w:rsidR="0043142E" w:rsidRPr="00AB1C41">
        <w:t xml:space="preserve">rovněž </w:t>
      </w:r>
      <w:r w:rsidR="002D3EF2" w:rsidRPr="00AB1C41">
        <w:t>zavazuje</w:t>
      </w:r>
      <w:r w:rsidR="0043142E" w:rsidRPr="00AB1C41">
        <w:t xml:space="preserve"> informovat Objednatele stejným způsobem a bez zbytečného odkladu o vyřešení přijatých hlášení.</w:t>
      </w:r>
    </w:p>
    <w:p w14:paraId="548E9143" w14:textId="3ABEEB4C" w:rsidR="008D0FF5" w:rsidRDefault="008D0FF5" w:rsidP="003F33CB">
      <w:pPr>
        <w:pStyle w:val="Stednmka1zvraznn21"/>
        <w:numPr>
          <w:ilvl w:val="0"/>
          <w:numId w:val="11"/>
        </w:numPr>
        <w:spacing w:after="240"/>
        <w:jc w:val="both"/>
      </w:pPr>
      <w:r>
        <w:t>Oprávněnou</w:t>
      </w:r>
      <w:r w:rsidRPr="00C422FE">
        <w:t xml:space="preserve"> osobou za </w:t>
      </w:r>
      <w:r>
        <w:t>P</w:t>
      </w:r>
      <w:r w:rsidRPr="00C422FE">
        <w:t xml:space="preserve">oskytovatele je </w:t>
      </w:r>
      <w:r>
        <w:t xml:space="preserve">Bc. Vladimír Přikryl, tel.: </w:t>
      </w:r>
      <w:proofErr w:type="spellStart"/>
      <w:r w:rsidR="008F423C">
        <w:t>xxxxxxxxxxxxx</w:t>
      </w:r>
      <w:proofErr w:type="spellEnd"/>
      <w:r w:rsidRPr="001E55EC">
        <w:t>,</w:t>
      </w:r>
      <w:r>
        <w:t xml:space="preserve"> </w:t>
      </w:r>
      <w:r w:rsidR="00515E3B">
        <w:br/>
      </w:r>
      <w:r>
        <w:t xml:space="preserve">e-mail: </w:t>
      </w:r>
      <w:proofErr w:type="spellStart"/>
      <w:r w:rsidR="008F423C">
        <w:t>xxxxxxxxxxxxxxxxxxxxx</w:t>
      </w:r>
      <w:proofErr w:type="spellEnd"/>
      <w:r w:rsidR="008F423C">
        <w:t>.</w:t>
      </w:r>
    </w:p>
    <w:p w14:paraId="7C6796B8" w14:textId="079FE107" w:rsidR="00D6459E" w:rsidRDefault="008D0FF5" w:rsidP="003F33CB">
      <w:pPr>
        <w:pStyle w:val="Stednmka1zvraznn21"/>
        <w:numPr>
          <w:ilvl w:val="0"/>
          <w:numId w:val="11"/>
        </w:numPr>
        <w:spacing w:after="240"/>
        <w:jc w:val="both"/>
      </w:pPr>
      <w:r>
        <w:t>Kontaktní</w:t>
      </w:r>
      <w:r w:rsidR="00D6459E" w:rsidRPr="00C422FE">
        <w:t xml:space="preserve"> osobou za </w:t>
      </w:r>
      <w:r w:rsidR="00D6459E">
        <w:t>P</w:t>
      </w:r>
      <w:r w:rsidR="00D6459E" w:rsidRPr="00C422FE">
        <w:t xml:space="preserve">oskytovatele je </w:t>
      </w:r>
      <w:r w:rsidR="0096607E">
        <w:t>Jiří Leník</w:t>
      </w:r>
      <w:r w:rsidR="000B5885">
        <w:t>,</w:t>
      </w:r>
      <w:r w:rsidR="001E55EC">
        <w:t xml:space="preserve"> tel.: </w:t>
      </w:r>
      <w:proofErr w:type="spellStart"/>
      <w:r w:rsidR="008F423C">
        <w:t>xxxxxxxxxxxxx</w:t>
      </w:r>
      <w:proofErr w:type="spellEnd"/>
      <w:r w:rsidR="001E55EC" w:rsidRPr="001E55EC">
        <w:t>,</w:t>
      </w:r>
      <w:r w:rsidR="001E55EC">
        <w:t xml:space="preserve"> e-</w:t>
      </w:r>
      <w:r>
        <w:t>m</w:t>
      </w:r>
      <w:r w:rsidR="001E55EC">
        <w:t>ail:</w:t>
      </w:r>
      <w:r>
        <w:t xml:space="preserve"> </w:t>
      </w:r>
      <w:proofErr w:type="spellStart"/>
      <w:r w:rsidR="008F423C">
        <w:t>xxxxxxxxxxxxxxxxxxxx</w:t>
      </w:r>
      <w:proofErr w:type="spellEnd"/>
      <w:r w:rsidR="008F423C">
        <w:t>.</w:t>
      </w:r>
      <w:r w:rsidR="00D6459E" w:rsidRPr="00C24AE8">
        <w:t xml:space="preserve"> </w:t>
      </w:r>
    </w:p>
    <w:p w14:paraId="2D0E19D0" w14:textId="007A0D85" w:rsidR="0096607E" w:rsidRDefault="00564EC1" w:rsidP="003F33CB">
      <w:pPr>
        <w:pStyle w:val="Stednmka1zvraznn21"/>
        <w:numPr>
          <w:ilvl w:val="0"/>
          <w:numId w:val="11"/>
        </w:numPr>
        <w:spacing w:after="240"/>
        <w:jc w:val="both"/>
      </w:pPr>
      <w:r>
        <w:t>O</w:t>
      </w:r>
      <w:r w:rsidR="00B660BF" w:rsidRPr="00C422FE">
        <w:t xml:space="preserve">právněnou osobou za </w:t>
      </w:r>
      <w:r w:rsidR="00396DD2">
        <w:t>Objednatel</w:t>
      </w:r>
      <w:r w:rsidR="00D6459E">
        <w:t>e</w:t>
      </w:r>
      <w:r w:rsidR="00B660BF" w:rsidRPr="00C422FE">
        <w:t xml:space="preserve"> je</w:t>
      </w:r>
      <w:r w:rsidR="0096607E">
        <w:t xml:space="preserve"> </w:t>
      </w:r>
      <w:r w:rsidR="00DB5EA6">
        <w:t xml:space="preserve">Ing. Radovan Kouřil, generální ředitel </w:t>
      </w:r>
      <w:r w:rsidR="0096607E">
        <w:t xml:space="preserve">tel.: </w:t>
      </w:r>
      <w:proofErr w:type="spellStart"/>
      <w:r w:rsidR="008F423C">
        <w:t>xxxxxxxxxxxxx</w:t>
      </w:r>
      <w:proofErr w:type="spellEnd"/>
      <w:r w:rsidR="0096607E">
        <w:t xml:space="preserve">, </w:t>
      </w:r>
      <w:r w:rsidR="0096607E" w:rsidRPr="00C422FE">
        <w:t>e-mail</w:t>
      </w:r>
      <w:r w:rsidR="0096607E">
        <w:t>:</w:t>
      </w:r>
      <w:r w:rsidR="00DB5EA6">
        <w:rPr>
          <w:color w:val="1F497D"/>
        </w:rPr>
        <w:t xml:space="preserve"> </w:t>
      </w:r>
      <w:proofErr w:type="spellStart"/>
      <w:r w:rsidR="008F423C" w:rsidRPr="008F423C">
        <w:t>xxxxxxxxxxxxxxxxxx</w:t>
      </w:r>
      <w:proofErr w:type="spellEnd"/>
      <w:r w:rsidR="008F423C">
        <w:t>.</w:t>
      </w:r>
    </w:p>
    <w:p w14:paraId="11011BE7" w14:textId="69B6DC52" w:rsidR="002422C1" w:rsidRDefault="00564EC1" w:rsidP="003F33CB">
      <w:pPr>
        <w:pStyle w:val="Stednmka1zvraznn21"/>
        <w:numPr>
          <w:ilvl w:val="0"/>
          <w:numId w:val="11"/>
        </w:numPr>
        <w:spacing w:after="240"/>
        <w:jc w:val="both"/>
      </w:pPr>
      <w:r w:rsidRPr="00C422FE">
        <w:t>Kontaktní osob</w:t>
      </w:r>
      <w:r w:rsidR="007A4C6C">
        <w:t>ou</w:t>
      </w:r>
      <w:r w:rsidRPr="00C422FE">
        <w:t xml:space="preserve"> za </w:t>
      </w:r>
      <w:r w:rsidR="00396DD2">
        <w:t>Objednatel</w:t>
      </w:r>
      <w:r>
        <w:t>e</w:t>
      </w:r>
      <w:r w:rsidRPr="00C422FE">
        <w:t xml:space="preserve"> </w:t>
      </w:r>
      <w:r w:rsidR="007A4C6C">
        <w:t>je</w:t>
      </w:r>
      <w:r w:rsidR="0096607E">
        <w:t xml:space="preserve"> </w:t>
      </w:r>
      <w:r w:rsidR="00DB5EA6" w:rsidRPr="00942F95">
        <w:t>Mgr. Radka Brichcínová,</w:t>
      </w:r>
      <w:r w:rsidR="00DB5EA6">
        <w:t xml:space="preserve"> </w:t>
      </w:r>
      <w:r w:rsidR="0096607E">
        <w:t>tel.:</w:t>
      </w:r>
      <w:r w:rsidR="00DB5EA6">
        <w:t xml:space="preserve"> </w:t>
      </w:r>
      <w:proofErr w:type="spellStart"/>
      <w:r w:rsidR="008F423C">
        <w:t>xxxxxxxxxxxxxxxx</w:t>
      </w:r>
      <w:proofErr w:type="spellEnd"/>
      <w:r w:rsidR="0096607E">
        <w:t xml:space="preserve">, </w:t>
      </w:r>
      <w:r w:rsidR="00515E3B">
        <w:br/>
      </w:r>
      <w:r w:rsidR="00E168C5">
        <w:t>e-mail:</w:t>
      </w:r>
      <w:r w:rsidR="0096607E">
        <w:t xml:space="preserve"> </w:t>
      </w:r>
      <w:proofErr w:type="spellStart"/>
      <w:r w:rsidR="008F423C">
        <w:t>xxxxxxxxxxxxxxxxxx</w:t>
      </w:r>
      <w:proofErr w:type="spellEnd"/>
    </w:p>
    <w:p w14:paraId="72983080" w14:textId="286BA1B8" w:rsidR="009A49D1" w:rsidRDefault="00CA11C3" w:rsidP="003F33CB">
      <w:pPr>
        <w:pStyle w:val="Stednmka1zvraznn21"/>
        <w:numPr>
          <w:ilvl w:val="0"/>
          <w:numId w:val="11"/>
        </w:numPr>
        <w:spacing w:after="240"/>
        <w:jc w:val="both"/>
      </w:pPr>
      <w:r w:rsidRPr="005331CF">
        <w:t>Smluvní strany mohou rozšířit či změnit osoby, uvedené v</w:t>
      </w:r>
      <w:r w:rsidR="00564EC1">
        <w:t xml:space="preserve"> čl. </w:t>
      </w:r>
      <w:proofErr w:type="gramStart"/>
      <w:r w:rsidR="0096607E">
        <w:t>9</w:t>
      </w:r>
      <w:r w:rsidR="00384FCC">
        <w:t>.3. až</w:t>
      </w:r>
      <w:proofErr w:type="gramEnd"/>
      <w:r w:rsidR="00384FCC">
        <w:t xml:space="preserve"> 9.5.</w:t>
      </w:r>
      <w:r w:rsidR="00564EC1">
        <w:t xml:space="preserve"> této </w:t>
      </w:r>
      <w:r w:rsidR="009856B5">
        <w:t>S</w:t>
      </w:r>
      <w:r w:rsidR="00564EC1">
        <w:t>mlouvy</w:t>
      </w:r>
      <w:r w:rsidR="00384FCC">
        <w:t>,</w:t>
      </w:r>
      <w:r w:rsidR="00564EC1">
        <w:t xml:space="preserve"> a to písemně či e-mailem na adresu oprávněné osoby druhé Smluvní strany</w:t>
      </w:r>
      <w:r w:rsidRPr="005331CF">
        <w:t>.</w:t>
      </w:r>
      <w:r w:rsidR="0096607E">
        <w:t xml:space="preserve"> </w:t>
      </w:r>
    </w:p>
    <w:p w14:paraId="5389988F" w14:textId="77777777" w:rsidR="007965E8" w:rsidRPr="00C422FE" w:rsidRDefault="007965E8" w:rsidP="003F33CB">
      <w:pPr>
        <w:ind w:left="426" w:hanging="426"/>
        <w:jc w:val="both"/>
        <w:rPr>
          <w:rFonts w:eastAsia="AT*Palm Springs"/>
        </w:rPr>
      </w:pPr>
    </w:p>
    <w:p w14:paraId="60AE7BBE" w14:textId="77777777" w:rsidR="00B660BF" w:rsidRPr="00C422FE" w:rsidRDefault="00B660BF" w:rsidP="00515E3B">
      <w:pPr>
        <w:numPr>
          <w:ilvl w:val="0"/>
          <w:numId w:val="17"/>
        </w:numPr>
        <w:spacing w:after="240"/>
        <w:jc w:val="center"/>
        <w:rPr>
          <w:b/>
        </w:rPr>
      </w:pPr>
      <w:r w:rsidRPr="00C422FE">
        <w:rPr>
          <w:b/>
        </w:rPr>
        <w:t>Závěrečná ustanovení</w:t>
      </w:r>
    </w:p>
    <w:p w14:paraId="20CE010A" w14:textId="48962342" w:rsidR="00755F05" w:rsidRPr="00C422FE" w:rsidRDefault="00755F05" w:rsidP="003F33CB">
      <w:pPr>
        <w:pStyle w:val="Stednmka1zvraznn21"/>
        <w:numPr>
          <w:ilvl w:val="0"/>
          <w:numId w:val="12"/>
        </w:numPr>
        <w:spacing w:after="240"/>
        <w:jc w:val="both"/>
      </w:pPr>
      <w:r w:rsidRPr="00C422FE">
        <w:t xml:space="preserve">Tato </w:t>
      </w:r>
      <w:r w:rsidR="00A1258F">
        <w:t>S</w:t>
      </w:r>
      <w:r w:rsidRPr="00C422FE">
        <w:t xml:space="preserve">mlouva nabývá platnosti dnem podpisu poslední ze </w:t>
      </w:r>
      <w:r w:rsidR="006F5CF4">
        <w:t>Smluvní</w:t>
      </w:r>
      <w:r w:rsidRPr="00C422FE">
        <w:t>ch stran</w:t>
      </w:r>
      <w:r w:rsidR="00C45CB1">
        <w:t xml:space="preserve"> a účinnosti </w:t>
      </w:r>
      <w:r w:rsidR="00384FCC">
        <w:t>u</w:t>
      </w:r>
      <w:r w:rsidR="00C45CB1">
        <w:t>veřejněním v </w:t>
      </w:r>
      <w:r w:rsidR="00384FCC">
        <w:t>r</w:t>
      </w:r>
      <w:r w:rsidR="00C45CB1">
        <w:t>egistru smluv.</w:t>
      </w:r>
    </w:p>
    <w:p w14:paraId="1A0AAE62" w14:textId="42D36C59" w:rsidR="008849B1" w:rsidRPr="00C422FE" w:rsidRDefault="00740213" w:rsidP="003F33CB">
      <w:pPr>
        <w:pStyle w:val="Stednmka1zvraznn21"/>
        <w:numPr>
          <w:ilvl w:val="0"/>
          <w:numId w:val="12"/>
        </w:numPr>
        <w:spacing w:after="240"/>
        <w:jc w:val="both"/>
      </w:pPr>
      <w:r w:rsidRPr="00C422FE">
        <w:lastRenderedPageBreak/>
        <w:t>T</w:t>
      </w:r>
      <w:r w:rsidR="008849B1" w:rsidRPr="00C422FE">
        <w:t xml:space="preserve">uto </w:t>
      </w:r>
      <w:r w:rsidR="00A1258F">
        <w:t>S</w:t>
      </w:r>
      <w:r w:rsidR="008849B1" w:rsidRPr="00C422FE">
        <w:t>mlouvu lze rozšiřovat a měnit pouze písemnými dodatky</w:t>
      </w:r>
      <w:r w:rsidR="00F82D08">
        <w:t>, podepsanými osobami oprávně</w:t>
      </w:r>
      <w:r w:rsidR="00942F95">
        <w:t>nými jednat za S</w:t>
      </w:r>
      <w:r w:rsidR="00F82D08">
        <w:t>mluvní strany</w:t>
      </w:r>
      <w:r w:rsidR="008849B1" w:rsidRPr="00C422FE">
        <w:t>.</w:t>
      </w:r>
    </w:p>
    <w:p w14:paraId="26D09F99" w14:textId="43F07636" w:rsidR="00626828" w:rsidRDefault="002057D4" w:rsidP="003F33CB">
      <w:pPr>
        <w:pStyle w:val="Stednmka1zvraznn21"/>
        <w:numPr>
          <w:ilvl w:val="0"/>
          <w:numId w:val="12"/>
        </w:numPr>
        <w:jc w:val="both"/>
      </w:pPr>
      <w:r w:rsidRPr="00C422FE">
        <w:t>Nedílnou s</w:t>
      </w:r>
      <w:r w:rsidR="002422C1" w:rsidRPr="00C422FE">
        <w:t>ou</w:t>
      </w:r>
      <w:r w:rsidRPr="00C422FE">
        <w:t xml:space="preserve">částí této </w:t>
      </w:r>
      <w:r w:rsidR="009856B5">
        <w:t>S</w:t>
      </w:r>
      <w:r w:rsidRPr="00C422FE">
        <w:t>mlouvy jsou</w:t>
      </w:r>
      <w:r w:rsidR="00626828">
        <w:t xml:space="preserve"> přílohy:</w:t>
      </w:r>
    </w:p>
    <w:p w14:paraId="2C877AB0" w14:textId="77777777" w:rsidR="00626828" w:rsidRDefault="002057D4" w:rsidP="003F33CB">
      <w:pPr>
        <w:pStyle w:val="Stednmka1zvraznn21"/>
        <w:numPr>
          <w:ilvl w:val="0"/>
          <w:numId w:val="14"/>
        </w:numPr>
        <w:ind w:left="2127" w:hanging="1767"/>
        <w:jc w:val="both"/>
      </w:pPr>
      <w:r w:rsidRPr="00C422FE">
        <w:t>Příloh</w:t>
      </w:r>
      <w:r w:rsidR="0096607E">
        <w:t>a</w:t>
      </w:r>
      <w:r w:rsidRPr="00C422FE">
        <w:t xml:space="preserve"> č. 1 </w:t>
      </w:r>
      <w:r w:rsidR="00626828">
        <w:t>–</w:t>
      </w:r>
      <w:r w:rsidR="00B907E9" w:rsidRPr="00C422FE">
        <w:t xml:space="preserve"> </w:t>
      </w:r>
      <w:r w:rsidRPr="00C422FE">
        <w:t>Spec</w:t>
      </w:r>
      <w:r w:rsidR="002F1AEC">
        <w:t>ifikace řešení</w:t>
      </w:r>
    </w:p>
    <w:p w14:paraId="647A7E10" w14:textId="77777777" w:rsidR="002057D4" w:rsidRDefault="0096607E" w:rsidP="003F33CB">
      <w:pPr>
        <w:pStyle w:val="Stednmka1zvraznn21"/>
        <w:numPr>
          <w:ilvl w:val="0"/>
          <w:numId w:val="14"/>
        </w:numPr>
        <w:ind w:left="2126" w:hanging="1769"/>
        <w:jc w:val="both"/>
      </w:pPr>
      <w:r>
        <w:t>Příloha č. 2 – Seznam pilotních uživatelů</w:t>
      </w:r>
    </w:p>
    <w:p w14:paraId="4A431AA2" w14:textId="77777777" w:rsidR="0096607E" w:rsidRPr="00C422FE" w:rsidRDefault="0096607E" w:rsidP="003F33CB">
      <w:pPr>
        <w:pStyle w:val="Stednmka1zvraznn21"/>
        <w:numPr>
          <w:ilvl w:val="0"/>
          <w:numId w:val="14"/>
        </w:numPr>
        <w:spacing w:after="240"/>
        <w:ind w:left="2126" w:hanging="1769"/>
        <w:jc w:val="both"/>
      </w:pPr>
      <w:r>
        <w:t>Příloha č. 3 – Formát pozitivního listu</w:t>
      </w:r>
    </w:p>
    <w:p w14:paraId="0B618522" w14:textId="7AF3D453" w:rsidR="008849B1" w:rsidRPr="00C422FE" w:rsidRDefault="008849B1" w:rsidP="00384FCC">
      <w:pPr>
        <w:numPr>
          <w:ilvl w:val="0"/>
          <w:numId w:val="12"/>
        </w:numPr>
        <w:spacing w:after="240"/>
        <w:jc w:val="both"/>
      </w:pPr>
      <w:r w:rsidRPr="00C422FE">
        <w:t xml:space="preserve">Práva a povinnosti z této </w:t>
      </w:r>
      <w:r w:rsidR="00944888">
        <w:t>S</w:t>
      </w:r>
      <w:r w:rsidRPr="00C422FE">
        <w:t>mlouvy lze převádět na třetí stranu jen</w:t>
      </w:r>
      <w:r w:rsidR="00FB7F23">
        <w:t xml:space="preserve"> </w:t>
      </w:r>
      <w:r w:rsidRPr="00C422FE">
        <w:t>s</w:t>
      </w:r>
      <w:r w:rsidR="00C507DD" w:rsidRPr="00C422FE">
        <w:t xml:space="preserve"> </w:t>
      </w:r>
      <w:r w:rsidR="00384FCC">
        <w:t xml:space="preserve">předchozím </w:t>
      </w:r>
      <w:r w:rsidR="00C507DD" w:rsidRPr="00C422FE">
        <w:t>písemným</w:t>
      </w:r>
      <w:r w:rsidRPr="00C422FE">
        <w:t xml:space="preserve"> souhlasem druhé </w:t>
      </w:r>
      <w:r w:rsidR="006F5CF4">
        <w:t>Smluvní</w:t>
      </w:r>
      <w:r w:rsidRPr="00C422FE">
        <w:t xml:space="preserve"> strany.</w:t>
      </w:r>
    </w:p>
    <w:p w14:paraId="373D1962" w14:textId="772564C4" w:rsidR="00736C9E" w:rsidRPr="00C422FE" w:rsidRDefault="00E365BA" w:rsidP="003F33CB">
      <w:pPr>
        <w:pStyle w:val="Stednmka1zvraznn21"/>
        <w:numPr>
          <w:ilvl w:val="0"/>
          <w:numId w:val="12"/>
        </w:numPr>
        <w:spacing w:after="240"/>
        <w:jc w:val="both"/>
      </w:pPr>
      <w:r w:rsidRPr="00C422FE">
        <w:t xml:space="preserve">Právní vztahy touto </w:t>
      </w:r>
      <w:r w:rsidR="00944888">
        <w:t>S</w:t>
      </w:r>
      <w:r w:rsidRPr="00C422FE">
        <w:t xml:space="preserve">mlouvou neupravené se řídí </w:t>
      </w:r>
      <w:r w:rsidR="008F58AA">
        <w:t>občanským zákoníkem</w:t>
      </w:r>
      <w:r w:rsidRPr="00C422FE">
        <w:t xml:space="preserve"> v platném znění.</w:t>
      </w:r>
    </w:p>
    <w:p w14:paraId="3E0388A3" w14:textId="7097B3B4" w:rsidR="008849B1" w:rsidRPr="00C422FE" w:rsidRDefault="008849B1" w:rsidP="003F33CB">
      <w:pPr>
        <w:pStyle w:val="Stednmka1zvraznn21"/>
        <w:numPr>
          <w:ilvl w:val="0"/>
          <w:numId w:val="12"/>
        </w:numPr>
        <w:spacing w:after="240"/>
        <w:jc w:val="both"/>
      </w:pPr>
      <w:r w:rsidRPr="00C422FE">
        <w:t xml:space="preserve">Tato </w:t>
      </w:r>
      <w:r w:rsidR="00944888">
        <w:t>S</w:t>
      </w:r>
      <w:r w:rsidRPr="00C422FE">
        <w:t>mlouva se vyhotovuje ve dvou exemplářích</w:t>
      </w:r>
      <w:r w:rsidR="00BD6676" w:rsidRPr="00C422FE">
        <w:t>,</w:t>
      </w:r>
      <w:r w:rsidRPr="00C422FE">
        <w:t xml:space="preserve"> z nichž každá ze </w:t>
      </w:r>
      <w:r w:rsidR="006F5CF4">
        <w:t>Smluvní</w:t>
      </w:r>
      <w:r w:rsidRPr="00C422FE">
        <w:t>ch stran obdrží jedno vyhotovení</w:t>
      </w:r>
      <w:r w:rsidR="004647D4" w:rsidRPr="00C422FE">
        <w:t>.</w:t>
      </w:r>
      <w:r w:rsidRPr="00C422FE">
        <w:t xml:space="preserve"> </w:t>
      </w:r>
    </w:p>
    <w:p w14:paraId="4BD34F93" w14:textId="77777777" w:rsidR="00736C9E" w:rsidRDefault="00736C9E" w:rsidP="006722A3"/>
    <w:p w14:paraId="04A091D9" w14:textId="77777777" w:rsidR="00736C9E" w:rsidRDefault="00736C9E" w:rsidP="006722A3"/>
    <w:p w14:paraId="1F07E456" w14:textId="77777777" w:rsidR="000A375D" w:rsidRPr="00C422FE" w:rsidRDefault="000A375D" w:rsidP="006722A3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6"/>
        <w:gridCol w:w="4636"/>
      </w:tblGrid>
      <w:tr w:rsidR="000A375D" w:rsidRPr="000A375D" w14:paraId="25B75B82" w14:textId="77777777" w:rsidTr="000A375D">
        <w:tc>
          <w:tcPr>
            <w:tcW w:w="4636" w:type="dxa"/>
          </w:tcPr>
          <w:p w14:paraId="0CCF7B0E" w14:textId="541DB542" w:rsidR="000A375D" w:rsidRPr="000A375D" w:rsidRDefault="00B612BB" w:rsidP="00AA7B02">
            <w:pPr>
              <w:pStyle w:val="SBSnormln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 Praze dne </w:t>
            </w:r>
            <w:r w:rsidR="00AA7B02">
              <w:rPr>
                <w:rFonts w:ascii="Times New Roman" w:hAnsi="Times New Roman"/>
                <w:sz w:val="24"/>
              </w:rPr>
              <w:t>4. 1. 2018</w:t>
            </w:r>
          </w:p>
        </w:tc>
        <w:tc>
          <w:tcPr>
            <w:tcW w:w="4636" w:type="dxa"/>
          </w:tcPr>
          <w:p w14:paraId="0EB08A53" w14:textId="5BFE8BEA" w:rsidR="000A375D" w:rsidRPr="000A375D" w:rsidRDefault="00B612BB" w:rsidP="00AA7B02">
            <w:pPr>
              <w:pStyle w:val="SBSnormln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 </w:t>
            </w:r>
            <w:r w:rsidR="007E5720">
              <w:rPr>
                <w:rFonts w:ascii="Times New Roman" w:hAnsi="Times New Roman"/>
                <w:sz w:val="24"/>
              </w:rPr>
              <w:t>Praze</w:t>
            </w:r>
            <w:r w:rsidR="008F58A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dne </w:t>
            </w:r>
            <w:r w:rsidR="00AA7B02">
              <w:rPr>
                <w:rFonts w:ascii="Times New Roman" w:hAnsi="Times New Roman"/>
                <w:sz w:val="24"/>
              </w:rPr>
              <w:t>4. 1. 2018</w:t>
            </w:r>
          </w:p>
        </w:tc>
      </w:tr>
      <w:tr w:rsidR="000A375D" w:rsidRPr="000A375D" w14:paraId="261D3A0D" w14:textId="77777777" w:rsidTr="000A375D">
        <w:trPr>
          <w:trHeight w:val="483"/>
        </w:trPr>
        <w:tc>
          <w:tcPr>
            <w:tcW w:w="4636" w:type="dxa"/>
          </w:tcPr>
          <w:p w14:paraId="063E5D67" w14:textId="77777777" w:rsidR="000A375D" w:rsidRDefault="000A375D" w:rsidP="00335C26">
            <w:pPr>
              <w:pStyle w:val="SBSnormln"/>
              <w:snapToGrid w:val="0"/>
              <w:spacing w:before="0"/>
              <w:rPr>
                <w:rFonts w:ascii="Times New Roman" w:hAnsi="Times New Roman"/>
                <w:sz w:val="24"/>
              </w:rPr>
            </w:pPr>
          </w:p>
          <w:p w14:paraId="2191DD5C" w14:textId="77777777" w:rsidR="00690494" w:rsidRPr="000A375D" w:rsidRDefault="00690494" w:rsidP="00335C26">
            <w:pPr>
              <w:pStyle w:val="SBSnormln"/>
              <w:snapToGrid w:val="0"/>
              <w:spacing w:before="0"/>
              <w:rPr>
                <w:rFonts w:ascii="Times New Roman" w:hAnsi="Times New Roman"/>
                <w:sz w:val="24"/>
              </w:rPr>
            </w:pPr>
          </w:p>
          <w:p w14:paraId="73E5DAF3" w14:textId="77777777" w:rsidR="000A375D" w:rsidRPr="000A375D" w:rsidRDefault="000A375D" w:rsidP="00335C26">
            <w:pPr>
              <w:pStyle w:val="SBSnormln"/>
              <w:spacing w:before="0"/>
              <w:rPr>
                <w:rFonts w:ascii="Times New Roman" w:hAnsi="Times New Roman"/>
                <w:sz w:val="24"/>
              </w:rPr>
            </w:pPr>
            <w:r w:rsidRPr="000A375D">
              <w:rPr>
                <w:rFonts w:ascii="Times New Roman" w:hAnsi="Times New Roman"/>
                <w:sz w:val="24"/>
              </w:rPr>
              <w:t xml:space="preserve">Za </w:t>
            </w:r>
            <w:r>
              <w:rPr>
                <w:rFonts w:ascii="Times New Roman" w:hAnsi="Times New Roman"/>
                <w:sz w:val="24"/>
              </w:rPr>
              <w:t>Poskytovatele</w:t>
            </w:r>
            <w:r w:rsidRPr="000A375D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4636" w:type="dxa"/>
          </w:tcPr>
          <w:p w14:paraId="540D95E3" w14:textId="77777777" w:rsidR="000A375D" w:rsidRDefault="000A375D" w:rsidP="00335C26">
            <w:pPr>
              <w:pStyle w:val="SBSnormln"/>
              <w:snapToGrid w:val="0"/>
              <w:spacing w:before="0"/>
              <w:rPr>
                <w:rFonts w:ascii="Times New Roman" w:hAnsi="Times New Roman"/>
                <w:sz w:val="24"/>
                <w:lang w:val="de-DE"/>
              </w:rPr>
            </w:pPr>
          </w:p>
          <w:p w14:paraId="283BF7D0" w14:textId="77777777" w:rsidR="00690494" w:rsidRPr="000A375D" w:rsidRDefault="00690494" w:rsidP="00335C26">
            <w:pPr>
              <w:pStyle w:val="SBSnormln"/>
              <w:snapToGrid w:val="0"/>
              <w:spacing w:before="0"/>
              <w:rPr>
                <w:rFonts w:ascii="Times New Roman" w:hAnsi="Times New Roman"/>
                <w:sz w:val="24"/>
                <w:lang w:val="de-DE"/>
              </w:rPr>
            </w:pPr>
          </w:p>
          <w:p w14:paraId="1F9EB1F1" w14:textId="77777777" w:rsidR="000A375D" w:rsidRPr="000A375D" w:rsidRDefault="000A375D" w:rsidP="00335C26">
            <w:pPr>
              <w:pStyle w:val="SBSnormln"/>
              <w:spacing w:before="0"/>
              <w:rPr>
                <w:rFonts w:ascii="Times New Roman" w:hAnsi="Times New Roman"/>
                <w:sz w:val="24"/>
              </w:rPr>
            </w:pPr>
            <w:r w:rsidRPr="000A375D">
              <w:rPr>
                <w:rFonts w:ascii="Times New Roman" w:hAnsi="Times New Roman"/>
                <w:sz w:val="24"/>
              </w:rPr>
              <w:t xml:space="preserve">Za </w:t>
            </w:r>
            <w:r w:rsidR="00396DD2">
              <w:rPr>
                <w:rFonts w:ascii="Times New Roman" w:hAnsi="Times New Roman"/>
                <w:sz w:val="24"/>
              </w:rPr>
              <w:t>Objednatel</w:t>
            </w:r>
            <w:r w:rsidRPr="000A375D">
              <w:rPr>
                <w:rFonts w:ascii="Times New Roman" w:hAnsi="Times New Roman"/>
                <w:sz w:val="24"/>
              </w:rPr>
              <w:t>e:</w:t>
            </w:r>
          </w:p>
        </w:tc>
      </w:tr>
      <w:tr w:rsidR="00FA33F3" w:rsidRPr="000A375D" w14:paraId="22C5F2A0" w14:textId="77777777" w:rsidTr="000A375D">
        <w:trPr>
          <w:trHeight w:val="668"/>
        </w:trPr>
        <w:tc>
          <w:tcPr>
            <w:tcW w:w="4636" w:type="dxa"/>
          </w:tcPr>
          <w:p w14:paraId="4A48D3D9" w14:textId="77777777" w:rsidR="00FA33F3" w:rsidRPr="000A375D" w:rsidRDefault="00FA33F3" w:rsidP="003F33CB">
            <w:pPr>
              <w:pStyle w:val="SBSnormln"/>
              <w:snapToGrid w:val="0"/>
              <w:spacing w:before="0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66F3FE7A" w14:textId="77777777" w:rsidR="00FA33F3" w:rsidRDefault="00FA33F3" w:rsidP="00FA33F3">
            <w:pPr>
              <w:pStyle w:val="SBSnormln"/>
              <w:spacing w:before="0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7D85A47E" w14:textId="77777777" w:rsidR="00AE6B58" w:rsidRDefault="00AE6B58" w:rsidP="003F33CB">
            <w:pPr>
              <w:pStyle w:val="SBSnormln"/>
              <w:spacing w:before="0"/>
              <w:rPr>
                <w:rFonts w:ascii="Times New Roman" w:hAnsi="Times New Roman"/>
                <w:sz w:val="24"/>
                <w:szCs w:val="18"/>
              </w:rPr>
            </w:pPr>
          </w:p>
          <w:p w14:paraId="0B0460B3" w14:textId="77777777" w:rsidR="00AE6B58" w:rsidRDefault="00AE6B58" w:rsidP="00FA33F3">
            <w:pPr>
              <w:pStyle w:val="SBSnormln"/>
              <w:spacing w:before="0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41FE6E4C" w14:textId="77777777" w:rsidR="00AE6B58" w:rsidRPr="000A375D" w:rsidRDefault="00AE6B58" w:rsidP="00FA33F3">
            <w:pPr>
              <w:pStyle w:val="SBSnormln"/>
              <w:spacing w:before="0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58DA2716" w14:textId="77777777" w:rsidR="00FA33F3" w:rsidRPr="000A375D" w:rsidRDefault="00FA33F3" w:rsidP="00FA33F3">
            <w:pPr>
              <w:pStyle w:val="SBSnormln"/>
              <w:spacing w:before="0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441A49CA" w14:textId="77777777" w:rsidR="00FA33F3" w:rsidRPr="000A375D" w:rsidRDefault="00FA33F3" w:rsidP="00FA33F3">
            <w:pPr>
              <w:pStyle w:val="SBSnormln"/>
              <w:spacing w:befor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……………………………..…………………</w:t>
            </w:r>
          </w:p>
        </w:tc>
        <w:tc>
          <w:tcPr>
            <w:tcW w:w="4636" w:type="dxa"/>
          </w:tcPr>
          <w:p w14:paraId="3F8D9935" w14:textId="77777777" w:rsidR="00FA33F3" w:rsidRPr="000A375D" w:rsidRDefault="00FA33F3" w:rsidP="00FA33F3">
            <w:pPr>
              <w:pStyle w:val="SBSnormln"/>
              <w:snapToGrid w:val="0"/>
              <w:spacing w:before="0"/>
              <w:jc w:val="center"/>
              <w:rPr>
                <w:rFonts w:ascii="Times New Roman" w:hAnsi="Times New Roman"/>
                <w:sz w:val="24"/>
                <w:szCs w:val="18"/>
                <w:lang w:val="de-DE"/>
              </w:rPr>
            </w:pPr>
          </w:p>
          <w:p w14:paraId="363B6364" w14:textId="77777777" w:rsidR="00FA33F3" w:rsidRDefault="00FA33F3" w:rsidP="00FA33F3">
            <w:pPr>
              <w:pStyle w:val="SBSnormln"/>
              <w:spacing w:before="0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2D4EA4FE" w14:textId="77777777" w:rsidR="00AE6B58" w:rsidRDefault="00AE6B58" w:rsidP="00FA33F3">
            <w:pPr>
              <w:pStyle w:val="SBSnormln"/>
              <w:spacing w:before="0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3D1C6E87" w14:textId="77777777" w:rsidR="00AE6B58" w:rsidRDefault="00AE6B58" w:rsidP="00FA33F3">
            <w:pPr>
              <w:pStyle w:val="SBSnormln"/>
              <w:spacing w:before="0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06C90B1C" w14:textId="77777777" w:rsidR="00AE6B58" w:rsidRPr="000A375D" w:rsidRDefault="00AE6B58" w:rsidP="00FA33F3">
            <w:pPr>
              <w:pStyle w:val="SBSnormln"/>
              <w:spacing w:before="0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69BBF162" w14:textId="77777777" w:rsidR="00FA33F3" w:rsidRPr="000A375D" w:rsidRDefault="00FA33F3" w:rsidP="00FA33F3">
            <w:pPr>
              <w:pStyle w:val="SBSnormln"/>
              <w:spacing w:before="0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6A282FFD" w14:textId="77777777" w:rsidR="00FA33F3" w:rsidRPr="000A375D" w:rsidRDefault="00FA33F3" w:rsidP="00FA33F3">
            <w:pPr>
              <w:pStyle w:val="SBSnormln"/>
              <w:spacing w:befor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……………………………..…………………</w:t>
            </w:r>
          </w:p>
        </w:tc>
      </w:tr>
      <w:tr w:rsidR="00FA33F3" w:rsidRPr="000A375D" w14:paraId="3B883A9B" w14:textId="77777777" w:rsidTr="000A375D">
        <w:tc>
          <w:tcPr>
            <w:tcW w:w="4636" w:type="dxa"/>
          </w:tcPr>
          <w:p w14:paraId="1EF9A551" w14:textId="77777777" w:rsidR="00FA33F3" w:rsidRDefault="00FA33F3" w:rsidP="00FA33F3">
            <w:pPr>
              <w:pStyle w:val="SBSnormln"/>
              <w:snapToGrid w:val="0"/>
              <w:spacing w:befor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Bc. Vladimír Přikryl</w:t>
            </w:r>
          </w:p>
          <w:p w14:paraId="6A47C8F3" w14:textId="77777777" w:rsidR="00FA33F3" w:rsidRPr="000A375D" w:rsidRDefault="00AE6B58" w:rsidP="00FA33F3">
            <w:pPr>
              <w:pStyle w:val="SBSnormln"/>
              <w:snapToGrid w:val="0"/>
              <w:spacing w:before="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</w:t>
            </w:r>
            <w:r w:rsidR="00FA33F3" w:rsidRPr="000A375D">
              <w:rPr>
                <w:rFonts w:ascii="Times New Roman" w:hAnsi="Times New Roman"/>
                <w:sz w:val="24"/>
              </w:rPr>
              <w:t>ednatel</w:t>
            </w:r>
          </w:p>
        </w:tc>
        <w:tc>
          <w:tcPr>
            <w:tcW w:w="4636" w:type="dxa"/>
          </w:tcPr>
          <w:p w14:paraId="5EF4F8C7" w14:textId="77777777" w:rsidR="00FA33F3" w:rsidRDefault="00FA33F3" w:rsidP="00FA33F3">
            <w:pPr>
              <w:pStyle w:val="SBSnormln"/>
              <w:snapToGrid w:val="0"/>
              <w:spacing w:before="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Ing. </w:t>
            </w:r>
            <w:r w:rsidR="008D0FF5">
              <w:rPr>
                <w:rFonts w:ascii="Times New Roman" w:hAnsi="Times New Roman"/>
                <w:sz w:val="24"/>
              </w:rPr>
              <w:t>Radovan Kouřil</w:t>
            </w:r>
          </w:p>
          <w:p w14:paraId="76F8D6B6" w14:textId="77777777" w:rsidR="00FA33F3" w:rsidRDefault="008D0FF5" w:rsidP="00FA33F3">
            <w:pPr>
              <w:pStyle w:val="SBSnormln"/>
              <w:snapToGrid w:val="0"/>
              <w:spacing w:before="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generální </w:t>
            </w:r>
            <w:r w:rsidR="00AE6B58">
              <w:rPr>
                <w:rFonts w:ascii="Times New Roman" w:hAnsi="Times New Roman"/>
                <w:sz w:val="24"/>
              </w:rPr>
              <w:t>ř</w:t>
            </w:r>
            <w:r w:rsidR="00FA33F3">
              <w:rPr>
                <w:rFonts w:ascii="Times New Roman" w:hAnsi="Times New Roman"/>
                <w:sz w:val="24"/>
              </w:rPr>
              <w:t>editel</w:t>
            </w:r>
          </w:p>
          <w:p w14:paraId="4351FDF3" w14:textId="77777777" w:rsidR="00FA33F3" w:rsidRPr="000A375D" w:rsidRDefault="008D0FF5" w:rsidP="00FA33F3">
            <w:pPr>
              <w:pStyle w:val="SBSnormln"/>
              <w:snapToGrid w:val="0"/>
              <w:spacing w:before="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Oborová zdravotní pojišťovna </w:t>
            </w:r>
            <w:r w:rsidRPr="008D0FF5">
              <w:rPr>
                <w:rFonts w:ascii="Times New Roman" w:hAnsi="Times New Roman"/>
                <w:sz w:val="24"/>
              </w:rPr>
              <w:t>zaměstnanců bank, pojišťoven a stavebnictví</w:t>
            </w:r>
          </w:p>
        </w:tc>
      </w:tr>
      <w:tr w:rsidR="00FA33F3" w:rsidRPr="000A375D" w14:paraId="4C77F1C2" w14:textId="77777777" w:rsidTr="000A375D">
        <w:tc>
          <w:tcPr>
            <w:tcW w:w="4636" w:type="dxa"/>
          </w:tcPr>
          <w:p w14:paraId="743D124A" w14:textId="77777777" w:rsidR="00FA33F3" w:rsidRPr="000A375D" w:rsidRDefault="00FA33F3" w:rsidP="00FA33F3">
            <w:pPr>
              <w:pStyle w:val="SBSnormln"/>
              <w:snapToGrid w:val="0"/>
              <w:spacing w:befor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</w:tcPr>
          <w:p w14:paraId="65F393BF" w14:textId="77777777" w:rsidR="00FA33F3" w:rsidRPr="000A375D" w:rsidRDefault="00FA33F3" w:rsidP="00FA33F3">
            <w:pPr>
              <w:pStyle w:val="SBSnormln"/>
              <w:snapToGrid w:val="0"/>
              <w:spacing w:befor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A33F3" w:rsidRPr="000A375D" w14:paraId="7FE64ACE" w14:textId="77777777" w:rsidTr="00017721">
        <w:trPr>
          <w:gridAfter w:val="1"/>
          <w:wAfter w:w="4636" w:type="dxa"/>
          <w:trHeight w:val="668"/>
        </w:trPr>
        <w:tc>
          <w:tcPr>
            <w:tcW w:w="4636" w:type="dxa"/>
          </w:tcPr>
          <w:p w14:paraId="3082847B" w14:textId="77777777" w:rsidR="00FA33F3" w:rsidRPr="000A375D" w:rsidRDefault="00FA33F3" w:rsidP="00FA33F3">
            <w:pPr>
              <w:pStyle w:val="SBSnormln"/>
              <w:snapToGrid w:val="0"/>
              <w:spacing w:before="0"/>
              <w:rPr>
                <w:rFonts w:ascii="Times New Roman" w:hAnsi="Times New Roman"/>
                <w:sz w:val="24"/>
                <w:szCs w:val="18"/>
              </w:rPr>
            </w:pPr>
          </w:p>
          <w:p w14:paraId="1A2136D5" w14:textId="77777777" w:rsidR="00FA33F3" w:rsidRPr="000A375D" w:rsidRDefault="00FA33F3" w:rsidP="00017721">
            <w:pPr>
              <w:pStyle w:val="SBSnormln"/>
              <w:spacing w:before="0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07413C2F" w14:textId="77777777" w:rsidR="00FA33F3" w:rsidRPr="000A375D" w:rsidRDefault="00FA33F3" w:rsidP="00017721">
            <w:pPr>
              <w:pStyle w:val="SBSnormln"/>
              <w:spacing w:before="0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6CAE9064" w14:textId="77777777" w:rsidR="00FA33F3" w:rsidRPr="000A375D" w:rsidRDefault="00FA33F3" w:rsidP="00017721">
            <w:pPr>
              <w:pStyle w:val="SBSnormln"/>
              <w:spacing w:befor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……………………………..…………………</w:t>
            </w:r>
          </w:p>
        </w:tc>
      </w:tr>
      <w:tr w:rsidR="00FA33F3" w:rsidRPr="000A375D" w14:paraId="69B6A576" w14:textId="77777777" w:rsidTr="00017721">
        <w:trPr>
          <w:gridAfter w:val="1"/>
          <w:wAfter w:w="4636" w:type="dxa"/>
        </w:trPr>
        <w:tc>
          <w:tcPr>
            <w:tcW w:w="4636" w:type="dxa"/>
          </w:tcPr>
          <w:p w14:paraId="214B883F" w14:textId="5538AB6F" w:rsidR="00FA33F3" w:rsidRPr="000A375D" w:rsidRDefault="005F715A" w:rsidP="00017721">
            <w:pPr>
              <w:pStyle w:val="SBSnormln"/>
              <w:snapToGrid w:val="0"/>
              <w:spacing w:before="0" w:after="120"/>
              <w:jc w:val="center"/>
              <w:rPr>
                <w:rFonts w:ascii="Times New Roman" w:hAnsi="Times New Roman"/>
                <w:sz w:val="24"/>
              </w:rPr>
            </w:pPr>
            <w:r w:rsidRPr="005F715A">
              <w:rPr>
                <w:rFonts w:ascii="Times New Roman" w:hAnsi="Times New Roman"/>
                <w:sz w:val="24"/>
              </w:rPr>
              <w:t xml:space="preserve">Dan Navrátil </w:t>
            </w:r>
            <w:proofErr w:type="spellStart"/>
            <w:r w:rsidRPr="005F715A">
              <w:rPr>
                <w:rFonts w:ascii="Times New Roman" w:hAnsi="Times New Roman"/>
                <w:sz w:val="24"/>
              </w:rPr>
              <w:t>MSc</w:t>
            </w:r>
            <w:proofErr w:type="spellEnd"/>
            <w:r w:rsidRPr="005F715A">
              <w:rPr>
                <w:rFonts w:ascii="Times New Roman" w:hAnsi="Times New Roman"/>
                <w:sz w:val="24"/>
              </w:rPr>
              <w:t xml:space="preserve">., </w:t>
            </w:r>
            <w:proofErr w:type="spellStart"/>
            <w:r w:rsidRPr="005F715A">
              <w:rPr>
                <w:rFonts w:ascii="Times New Roman" w:hAnsi="Times New Roman"/>
                <w:sz w:val="24"/>
              </w:rPr>
              <w:t>MBA.</w:t>
            </w:r>
            <w:r w:rsidR="00AE6B58">
              <w:rPr>
                <w:rFonts w:ascii="Times New Roman" w:hAnsi="Times New Roman"/>
                <w:sz w:val="24"/>
              </w:rPr>
              <w:t>j</w:t>
            </w:r>
            <w:r w:rsidR="00FA33F3" w:rsidRPr="000A375D">
              <w:rPr>
                <w:rFonts w:ascii="Times New Roman" w:hAnsi="Times New Roman"/>
                <w:sz w:val="24"/>
              </w:rPr>
              <w:t>ednatel</w:t>
            </w:r>
            <w:proofErr w:type="spellEnd"/>
          </w:p>
        </w:tc>
      </w:tr>
      <w:tr w:rsidR="00FA33F3" w:rsidRPr="000A375D" w14:paraId="7450FC43" w14:textId="77777777" w:rsidTr="00017721">
        <w:trPr>
          <w:gridAfter w:val="1"/>
          <w:wAfter w:w="4636" w:type="dxa"/>
        </w:trPr>
        <w:tc>
          <w:tcPr>
            <w:tcW w:w="4636" w:type="dxa"/>
          </w:tcPr>
          <w:p w14:paraId="1EF69223" w14:textId="77777777" w:rsidR="00FA33F3" w:rsidRPr="000A375D" w:rsidRDefault="00FA33F3" w:rsidP="00017721">
            <w:pPr>
              <w:pStyle w:val="SBSnormln"/>
              <w:snapToGrid w:val="0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0A375D">
              <w:rPr>
                <w:rFonts w:ascii="Times New Roman" w:hAnsi="Times New Roman"/>
                <w:sz w:val="24"/>
              </w:rPr>
              <w:t>CompuGroup</w:t>
            </w:r>
            <w:proofErr w:type="spellEnd"/>
            <w:r w:rsidRPr="000A375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A375D">
              <w:rPr>
                <w:rFonts w:ascii="Times New Roman" w:hAnsi="Times New Roman"/>
                <w:sz w:val="24"/>
              </w:rPr>
              <w:t>Medical</w:t>
            </w:r>
            <w:proofErr w:type="spellEnd"/>
            <w:r w:rsidRPr="000A375D">
              <w:rPr>
                <w:rFonts w:ascii="Times New Roman" w:hAnsi="Times New Roman"/>
                <w:sz w:val="24"/>
              </w:rPr>
              <w:t xml:space="preserve"> Česká republika s.r.o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14:paraId="61EA9557" w14:textId="77777777" w:rsidR="002F1AEC" w:rsidRDefault="002F1AEC" w:rsidP="00E168C5"/>
    <w:p w14:paraId="7F70264F" w14:textId="77777777" w:rsidR="002F1A0E" w:rsidRDefault="002F1AEC" w:rsidP="00032EB3">
      <w:pPr>
        <w:pStyle w:val="Nadpis1"/>
      </w:pPr>
      <w:r>
        <w:br w:type="page"/>
      </w:r>
      <w:r>
        <w:lastRenderedPageBreak/>
        <w:t xml:space="preserve">Příloha č. 1 </w:t>
      </w:r>
    </w:p>
    <w:p w14:paraId="0C7AA0A2" w14:textId="77777777" w:rsidR="002F1AEC" w:rsidRDefault="002F1AEC" w:rsidP="00E168C5"/>
    <w:p w14:paraId="57712B1C" w14:textId="77777777" w:rsidR="00B67BB8" w:rsidRDefault="00B67BB8" w:rsidP="00B67BB8">
      <w:pPr>
        <w:pStyle w:val="Nadpis1"/>
      </w:pPr>
      <w:r>
        <w:t>Specifikace řešení</w:t>
      </w:r>
    </w:p>
    <w:p w14:paraId="2B8FBD38" w14:textId="77777777" w:rsidR="00B67BB8" w:rsidRDefault="00B67BB8" w:rsidP="00B67BB8">
      <w:pPr>
        <w:rPr>
          <w:lang w:eastAsia="x-none"/>
        </w:rPr>
      </w:pPr>
      <w:r>
        <w:rPr>
          <w:lang w:eastAsia="x-none"/>
        </w:rPr>
        <w:t>Součásti a charakteristika funkcionalit použitých pro implementaci Díla.</w:t>
      </w:r>
    </w:p>
    <w:p w14:paraId="445AE456" w14:textId="7C310690" w:rsidR="00B67BB8" w:rsidRDefault="00B67BB8" w:rsidP="00B67BB8">
      <w:pPr>
        <w:rPr>
          <w:i/>
          <w:lang w:eastAsia="x-none"/>
        </w:rPr>
      </w:pPr>
      <w:r>
        <w:rPr>
          <w:i/>
          <w:lang w:eastAsia="x-none"/>
        </w:rPr>
        <w:t>Náhledy odpovídají ambulantnímu informačnímu systému PC DOKTOR. Vzhled se v různých produktech může lišit dle uživatelských zvyklostí</w:t>
      </w:r>
      <w:r w:rsidR="00D37384">
        <w:rPr>
          <w:i/>
          <w:lang w:eastAsia="x-none"/>
        </w:rPr>
        <w:t>, nicméně obsah informací je shodný</w:t>
      </w:r>
      <w:r>
        <w:rPr>
          <w:i/>
          <w:lang w:eastAsia="x-none"/>
        </w:rPr>
        <w:t>.</w:t>
      </w:r>
    </w:p>
    <w:p w14:paraId="6DF68CA8" w14:textId="77777777" w:rsidR="00B67BB8" w:rsidRDefault="00B67BB8" w:rsidP="00B67BB8">
      <w:pPr>
        <w:rPr>
          <w:i/>
          <w:lang w:eastAsia="x-none"/>
        </w:rPr>
      </w:pPr>
    </w:p>
    <w:p w14:paraId="267F0BEF" w14:textId="77777777" w:rsidR="00B67BB8" w:rsidRDefault="00B67BB8" w:rsidP="00B67BB8">
      <w:pPr>
        <w:numPr>
          <w:ilvl w:val="0"/>
          <w:numId w:val="24"/>
        </w:numPr>
        <w:spacing w:after="120"/>
        <w:rPr>
          <w:lang w:eastAsia="x-none"/>
        </w:rPr>
      </w:pPr>
      <w:r w:rsidRPr="00DD38CE">
        <w:rPr>
          <w:lang w:eastAsia="x-none"/>
        </w:rPr>
        <w:t>Akt</w:t>
      </w:r>
      <w:r>
        <w:rPr>
          <w:lang w:eastAsia="x-none"/>
        </w:rPr>
        <w:t>ualizace číselníku</w:t>
      </w:r>
    </w:p>
    <w:p w14:paraId="72F98FE3" w14:textId="1982650A" w:rsidR="00B67BB8" w:rsidRDefault="00B67BB8" w:rsidP="00B67BB8">
      <w:pPr>
        <w:spacing w:after="120"/>
        <w:ind w:left="720"/>
        <w:rPr>
          <w:lang w:eastAsia="x-none"/>
        </w:rPr>
      </w:pPr>
      <w:r>
        <w:rPr>
          <w:lang w:eastAsia="x-none"/>
        </w:rPr>
        <w:t>Číselník bude aktualizován (pokud bude existovat novější verze) v rámci pravidelných měsíčních aktualizací ambulantních programů. Tyto aktualizace jsou zpravidla vydávány 15. dne v měsíci a nabízeny uživatelům k instalaci. (Pro další rozvoj po pilotním projektu předpokládáme odlišný kanál pro automatickou distribuci</w:t>
      </w:r>
      <w:r w:rsidR="00384FCC">
        <w:rPr>
          <w:lang w:eastAsia="x-none"/>
        </w:rPr>
        <w:t>.</w:t>
      </w:r>
      <w:r>
        <w:rPr>
          <w:lang w:eastAsia="x-none"/>
        </w:rPr>
        <w:t>)</w:t>
      </w:r>
    </w:p>
    <w:p w14:paraId="6B11DCEA" w14:textId="77777777" w:rsidR="00B67BB8" w:rsidRDefault="00B67BB8" w:rsidP="00B67BB8">
      <w:pPr>
        <w:numPr>
          <w:ilvl w:val="0"/>
          <w:numId w:val="24"/>
        </w:numPr>
        <w:spacing w:after="120"/>
        <w:rPr>
          <w:lang w:eastAsia="x-none"/>
        </w:rPr>
      </w:pPr>
      <w:r>
        <w:rPr>
          <w:lang w:eastAsia="x-none"/>
        </w:rPr>
        <w:t>Aktivace</w:t>
      </w:r>
    </w:p>
    <w:p w14:paraId="2754FB1D" w14:textId="77777777" w:rsidR="00B67BB8" w:rsidRDefault="00B67BB8" w:rsidP="00B67BB8">
      <w:pPr>
        <w:spacing w:after="120"/>
        <w:ind w:left="720"/>
        <w:rPr>
          <w:lang w:eastAsia="x-none"/>
        </w:rPr>
      </w:pPr>
      <w:r>
        <w:rPr>
          <w:lang w:eastAsia="x-none"/>
        </w:rPr>
        <w:t>Funkcionalita (dle dalšího popisu) bude aktivována vybraným uživatelům vždy, když budou pracovat s pacientem, u kterého je veden</w:t>
      </w:r>
      <w:r w:rsidR="00BF27F5">
        <w:rPr>
          <w:lang w:eastAsia="x-none"/>
        </w:rPr>
        <w:t xml:space="preserve">o zdravotní </w:t>
      </w:r>
      <w:proofErr w:type="gramStart"/>
      <w:r w:rsidR="00BF27F5">
        <w:rPr>
          <w:lang w:eastAsia="x-none"/>
        </w:rPr>
        <w:t>pojištění u poj</w:t>
      </w:r>
      <w:proofErr w:type="gramEnd"/>
      <w:r w:rsidR="00BF27F5">
        <w:rPr>
          <w:lang w:eastAsia="x-none"/>
        </w:rPr>
        <w:t>. 207</w:t>
      </w:r>
    </w:p>
    <w:p w14:paraId="023255FD" w14:textId="77777777" w:rsidR="00B67BB8" w:rsidRDefault="00B67BB8" w:rsidP="00B67BB8">
      <w:pPr>
        <w:numPr>
          <w:ilvl w:val="0"/>
          <w:numId w:val="24"/>
        </w:numPr>
        <w:spacing w:after="120"/>
        <w:rPr>
          <w:lang w:eastAsia="x-none"/>
        </w:rPr>
      </w:pPr>
      <w:r>
        <w:rPr>
          <w:lang w:eastAsia="x-none"/>
        </w:rPr>
        <w:t>Zobrazení číselníku</w:t>
      </w:r>
    </w:p>
    <w:p w14:paraId="60198534" w14:textId="760C4ADE" w:rsidR="00B67BB8" w:rsidRDefault="007467F5" w:rsidP="00B67BB8">
      <w:pPr>
        <w:spacing w:after="120"/>
        <w:ind w:left="720"/>
        <w:rPr>
          <w:lang w:eastAsia="x-none"/>
        </w:rPr>
      </w:pPr>
      <w:r>
        <w:rPr>
          <w:lang w:eastAsia="x-none"/>
        </w:rPr>
        <w:t>Léčivé přípravky z</w:t>
      </w:r>
      <w:r w:rsidR="00B67BB8">
        <w:rPr>
          <w:lang w:eastAsia="x-none"/>
        </w:rPr>
        <w:t xml:space="preserve"> pozitivního listu budou označeny ikonou </w:t>
      </w:r>
      <w:r w:rsidR="008D0FF5">
        <w:rPr>
          <w:lang w:eastAsia="x-none"/>
        </w:rPr>
        <w:t>OZP</w:t>
      </w:r>
      <w:r w:rsidR="00B67BB8">
        <w:rPr>
          <w:lang w:eastAsia="x-none"/>
        </w:rPr>
        <w:t xml:space="preserve">. </w:t>
      </w:r>
      <w:r>
        <w:rPr>
          <w:lang w:eastAsia="x-none"/>
        </w:rPr>
        <w:t>U léčivého přípravku</w:t>
      </w:r>
      <w:r w:rsidR="00B67BB8">
        <w:rPr>
          <w:lang w:eastAsia="x-none"/>
        </w:rPr>
        <w:t xml:space="preserve"> ze skupiny racionální preskripce bude uživateli zobrazen seznam </w:t>
      </w:r>
      <w:r>
        <w:rPr>
          <w:lang w:eastAsia="x-none"/>
        </w:rPr>
        <w:t xml:space="preserve">léčivých přípravků </w:t>
      </w:r>
      <w:r w:rsidR="00B67BB8">
        <w:rPr>
          <w:lang w:eastAsia="x-none"/>
        </w:rPr>
        <w:t>v dané skupině (ve spodní části okna), seřazený dle ekvivalentu úhrady od nejnižší.</w:t>
      </w:r>
    </w:p>
    <w:p w14:paraId="4E1801DF" w14:textId="76B97B27" w:rsidR="00B67BB8" w:rsidRDefault="003F33CB" w:rsidP="00B67BB8">
      <w:pPr>
        <w:ind w:left="720"/>
        <w:rPr>
          <w:lang w:eastAsia="x-none"/>
        </w:rPr>
      </w:pPr>
      <w:r w:rsidRPr="00BF27F5">
        <w:rPr>
          <w:noProof/>
        </w:rPr>
        <w:drawing>
          <wp:inline distT="0" distB="0" distL="0" distR="0" wp14:anchorId="766B0F06" wp14:editId="651521AB">
            <wp:extent cx="5638800" cy="3590925"/>
            <wp:effectExtent l="0" t="0" r="0" b="0"/>
            <wp:docPr id="1" name="obrázek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C9AA9" w14:textId="77777777" w:rsidR="00B67BB8" w:rsidRDefault="00B67BB8" w:rsidP="00B67BB8">
      <w:pPr>
        <w:numPr>
          <w:ilvl w:val="0"/>
          <w:numId w:val="24"/>
        </w:numPr>
        <w:spacing w:after="120"/>
        <w:rPr>
          <w:lang w:eastAsia="x-none"/>
        </w:rPr>
      </w:pPr>
      <w:r>
        <w:rPr>
          <w:lang w:eastAsia="x-none"/>
        </w:rPr>
        <w:t>Banner</w:t>
      </w:r>
    </w:p>
    <w:p w14:paraId="20960649" w14:textId="2F99A29A" w:rsidR="00B67BB8" w:rsidRDefault="00B67BB8" w:rsidP="00B67BB8">
      <w:pPr>
        <w:spacing w:after="120"/>
        <w:ind w:left="720"/>
        <w:rPr>
          <w:lang w:eastAsia="x-none"/>
        </w:rPr>
      </w:pPr>
      <w:r>
        <w:rPr>
          <w:lang w:eastAsia="x-none"/>
        </w:rPr>
        <w:t xml:space="preserve">Součástí funkcionality je banner s informací o Racionální preskripci, vč. přiloženého letáku. Podobu banneru a přiloženého letáku je možné po dohodě </w:t>
      </w:r>
      <w:r w:rsidR="003F33CB">
        <w:rPr>
          <w:lang w:eastAsia="x-none"/>
        </w:rPr>
        <w:t xml:space="preserve">Smluvních stran </w:t>
      </w:r>
      <w:r>
        <w:rPr>
          <w:lang w:eastAsia="x-none"/>
        </w:rPr>
        <w:t>měnit.</w:t>
      </w:r>
    </w:p>
    <w:p w14:paraId="367BDD89" w14:textId="02284466" w:rsidR="00B67BB8" w:rsidRDefault="003F33CB" w:rsidP="00B67BB8">
      <w:pPr>
        <w:ind w:left="720"/>
        <w:rPr>
          <w:lang w:eastAsia="x-none"/>
        </w:rPr>
      </w:pPr>
      <w:r>
        <w:rPr>
          <w:noProof/>
        </w:rPr>
        <w:lastRenderedPageBreak/>
        <w:drawing>
          <wp:inline distT="0" distB="0" distL="0" distR="0" wp14:anchorId="042C545E" wp14:editId="5C033580">
            <wp:extent cx="4524375" cy="5838825"/>
            <wp:effectExtent l="0" t="0" r="0" b="0"/>
            <wp:docPr id="2" name="obrázek 2" descr="Docpo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port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EA164" w14:textId="77777777" w:rsidR="00B67BB8" w:rsidRDefault="00B67BB8" w:rsidP="00B67BB8">
      <w:pPr>
        <w:ind w:left="720"/>
        <w:rPr>
          <w:lang w:eastAsia="x-none"/>
        </w:rPr>
      </w:pPr>
    </w:p>
    <w:p w14:paraId="05B26441" w14:textId="4823CDF3" w:rsidR="00B67BB8" w:rsidRDefault="003F33CB" w:rsidP="00B67BB8">
      <w:pPr>
        <w:ind w:left="720"/>
        <w:rPr>
          <w:lang w:eastAsia="x-none"/>
        </w:rPr>
      </w:pPr>
      <w:r>
        <w:rPr>
          <w:noProof/>
        </w:rPr>
        <w:drawing>
          <wp:inline distT="0" distB="0" distL="0" distR="0" wp14:anchorId="33AD3EF0" wp14:editId="32E2F6D3">
            <wp:extent cx="5753100" cy="371475"/>
            <wp:effectExtent l="0" t="0" r="0" b="0"/>
            <wp:docPr id="3" name="obrázek 3" descr="banner_cisel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ner_ciselni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CCCCF" w14:textId="77777777" w:rsidR="00B67BB8" w:rsidRDefault="00B67BB8" w:rsidP="00B67BB8">
      <w:pPr>
        <w:numPr>
          <w:ilvl w:val="0"/>
          <w:numId w:val="24"/>
        </w:numPr>
        <w:spacing w:after="120"/>
        <w:rPr>
          <w:lang w:eastAsia="x-none"/>
        </w:rPr>
      </w:pPr>
      <w:r>
        <w:rPr>
          <w:lang w:eastAsia="x-none"/>
        </w:rPr>
        <w:t>Upozornění na předpis mimo PL</w:t>
      </w:r>
    </w:p>
    <w:p w14:paraId="1109E7B6" w14:textId="344ED862" w:rsidR="00B67BB8" w:rsidRDefault="00B67BB8" w:rsidP="00B67BB8">
      <w:pPr>
        <w:spacing w:after="120"/>
        <w:ind w:left="720"/>
        <w:rPr>
          <w:lang w:eastAsia="x-none"/>
        </w:rPr>
      </w:pPr>
      <w:r>
        <w:rPr>
          <w:lang w:eastAsia="x-none"/>
        </w:rPr>
        <w:t xml:space="preserve">Pokud uživatel předepíše </w:t>
      </w:r>
      <w:r w:rsidR="00944888">
        <w:rPr>
          <w:lang w:eastAsia="x-none"/>
        </w:rPr>
        <w:t xml:space="preserve">léčivý přípravek </w:t>
      </w:r>
      <w:r>
        <w:rPr>
          <w:lang w:eastAsia="x-none"/>
        </w:rPr>
        <w:t xml:space="preserve">mimo </w:t>
      </w:r>
      <w:r w:rsidR="003F33CB">
        <w:rPr>
          <w:lang w:eastAsia="x-none"/>
        </w:rPr>
        <w:t xml:space="preserve">pozitivní list </w:t>
      </w:r>
      <w:r>
        <w:rPr>
          <w:lang w:eastAsia="x-none"/>
        </w:rPr>
        <w:t>(</w:t>
      </w:r>
      <w:r w:rsidR="00944888">
        <w:rPr>
          <w:lang w:eastAsia="x-none"/>
        </w:rPr>
        <w:t>léčivý přípravek</w:t>
      </w:r>
      <w:r>
        <w:rPr>
          <w:lang w:eastAsia="x-none"/>
        </w:rPr>
        <w:t xml:space="preserve">, který má ve skupině variantu na </w:t>
      </w:r>
      <w:r w:rsidR="003F33CB">
        <w:rPr>
          <w:lang w:eastAsia="x-none"/>
        </w:rPr>
        <w:t>pozitivním listu</w:t>
      </w:r>
      <w:r>
        <w:rPr>
          <w:lang w:eastAsia="x-none"/>
        </w:rPr>
        <w:t>)</w:t>
      </w:r>
      <w:r w:rsidR="003F33CB">
        <w:rPr>
          <w:lang w:eastAsia="x-none"/>
        </w:rPr>
        <w:t>,</w:t>
      </w:r>
      <w:r>
        <w:rPr>
          <w:lang w:eastAsia="x-none"/>
        </w:rPr>
        <w:t xml:space="preserve"> bude mu zobrazeno upozornění:</w:t>
      </w:r>
    </w:p>
    <w:p w14:paraId="440AE1AC" w14:textId="5C73450E" w:rsidR="00B67BB8" w:rsidRDefault="003F33CB" w:rsidP="00B67BB8">
      <w:pPr>
        <w:spacing w:after="120"/>
        <w:ind w:left="720"/>
        <w:rPr>
          <w:lang w:eastAsia="x-none"/>
        </w:rPr>
      </w:pPr>
      <w:r>
        <w:rPr>
          <w:noProof/>
        </w:rPr>
        <w:lastRenderedPageBreak/>
        <w:drawing>
          <wp:inline distT="0" distB="0" distL="0" distR="0" wp14:anchorId="18545E26" wp14:editId="00BC8CD4">
            <wp:extent cx="5400675" cy="2867025"/>
            <wp:effectExtent l="0" t="0" r="0" b="0"/>
            <wp:docPr id="4" name="obrázek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051EF" w14:textId="77777777" w:rsidR="00B67BB8" w:rsidRDefault="00B67BB8" w:rsidP="00B67BB8">
      <w:pPr>
        <w:spacing w:after="120"/>
        <w:ind w:left="720"/>
        <w:rPr>
          <w:lang w:eastAsia="x-none"/>
        </w:rPr>
      </w:pPr>
      <w:r>
        <w:rPr>
          <w:lang w:eastAsia="x-none"/>
        </w:rPr>
        <w:t>Uživatel může příští zobrazení upozornění potlačit volbou Příště nezobrazovat. Tento příznak bude vymazán s příští aktualizací programu.</w:t>
      </w:r>
    </w:p>
    <w:p w14:paraId="05D41E7C" w14:textId="77777777" w:rsidR="00B67BB8" w:rsidRPr="00DD38CE" w:rsidRDefault="00B67BB8" w:rsidP="00B67BB8">
      <w:pPr>
        <w:numPr>
          <w:ilvl w:val="0"/>
          <w:numId w:val="24"/>
        </w:numPr>
        <w:spacing w:after="120"/>
        <w:rPr>
          <w:lang w:eastAsia="x-none"/>
        </w:rPr>
      </w:pPr>
      <w:r>
        <w:rPr>
          <w:lang w:eastAsia="x-none"/>
        </w:rPr>
        <w:t>Výzva „NEZAMĚŇOVAT“</w:t>
      </w:r>
    </w:p>
    <w:p w14:paraId="35A23AD0" w14:textId="4B0DD3D5" w:rsidR="00B67BB8" w:rsidRDefault="003F33CB" w:rsidP="00B67BB8">
      <w:pPr>
        <w:pStyle w:val="Nadpis1"/>
        <w:spacing w:after="120"/>
        <w:ind w:firstLine="709"/>
      </w:pPr>
      <w:r>
        <w:rPr>
          <w:noProof/>
          <w:lang w:val="cs-CZ" w:eastAsia="cs-CZ"/>
        </w:rPr>
        <w:drawing>
          <wp:inline distT="0" distB="0" distL="0" distR="0" wp14:anchorId="77AC8CED" wp14:editId="3649DF71">
            <wp:extent cx="5000625" cy="1943100"/>
            <wp:effectExtent l="0" t="0" r="0" b="0"/>
            <wp:docPr id="5" name="obrázek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70725" w14:textId="7A77F659" w:rsidR="00B67BB8" w:rsidRPr="00D3568F" w:rsidRDefault="00B67BB8" w:rsidP="00B67BB8">
      <w:pPr>
        <w:spacing w:after="120"/>
        <w:rPr>
          <w:lang w:eastAsia="x-none"/>
        </w:rPr>
      </w:pPr>
      <w:r>
        <w:rPr>
          <w:lang w:eastAsia="x-none"/>
        </w:rPr>
        <w:t xml:space="preserve">Pokud uživatel předepisuje </w:t>
      </w:r>
      <w:r w:rsidR="00944888">
        <w:rPr>
          <w:lang w:eastAsia="x-none"/>
        </w:rPr>
        <w:t xml:space="preserve">léčivý přípravek </w:t>
      </w:r>
      <w:r>
        <w:rPr>
          <w:lang w:eastAsia="x-none"/>
        </w:rPr>
        <w:t xml:space="preserve">z pozitivního listu, je upozorněn na vhodnost přidat „NEZAMĚŇOVAT“ na recept. K vybranému </w:t>
      </w:r>
      <w:r w:rsidR="00944888">
        <w:rPr>
          <w:lang w:eastAsia="x-none"/>
        </w:rPr>
        <w:t xml:space="preserve">léčivému přípravku </w:t>
      </w:r>
      <w:r>
        <w:rPr>
          <w:lang w:eastAsia="x-none"/>
        </w:rPr>
        <w:t>je tento příznak uložen i na příště.</w:t>
      </w:r>
    </w:p>
    <w:p w14:paraId="2799D828" w14:textId="77777777" w:rsidR="00032EB3" w:rsidRDefault="00B67BB8" w:rsidP="00B67BB8">
      <w:pPr>
        <w:pStyle w:val="Nadpis1"/>
      </w:pPr>
      <w:r>
        <w:br w:type="page"/>
      </w:r>
    </w:p>
    <w:p w14:paraId="54063578" w14:textId="28F17750" w:rsidR="002F1AEC" w:rsidRDefault="00032EB3" w:rsidP="00EA1C4C">
      <w:pPr>
        <w:pStyle w:val="Nadpis1"/>
        <w:rPr>
          <w:color w:val="FF0000"/>
          <w:lang w:val="cs-CZ"/>
        </w:rPr>
      </w:pPr>
      <w:r>
        <w:rPr>
          <w:lang w:val="cs-CZ"/>
        </w:rPr>
        <w:lastRenderedPageBreak/>
        <w:t>Příloha č. 2</w:t>
      </w:r>
      <w:r w:rsidR="00AE6B58">
        <w:rPr>
          <w:lang w:val="cs-CZ"/>
        </w:rPr>
        <w:t xml:space="preserve"> </w:t>
      </w:r>
    </w:p>
    <w:p w14:paraId="6212DEEB" w14:textId="77777777" w:rsidR="00D139C5" w:rsidRDefault="00D139C5" w:rsidP="00D139C5">
      <w:pPr>
        <w:pStyle w:val="Nadpis1"/>
      </w:pPr>
      <w:r>
        <w:t>Seznam pilotních uživatelů</w:t>
      </w:r>
    </w:p>
    <w:p w14:paraId="08FEC3A7" w14:textId="2D3D1D5C" w:rsidR="00D139C5" w:rsidRDefault="00D139C5" w:rsidP="00D139C5">
      <w:pPr>
        <w:jc w:val="center"/>
        <w:rPr>
          <w:rFonts w:ascii="Calibri" w:hAnsi="Calibri"/>
          <w:b/>
          <w:bCs/>
          <w:color w:val="000000"/>
          <w:sz w:val="18"/>
          <w:szCs w:val="22"/>
        </w:rPr>
      </w:pPr>
    </w:p>
    <w:p w14:paraId="1C9C13E9" w14:textId="77777777" w:rsidR="00D139C5" w:rsidRDefault="00D139C5" w:rsidP="00D139C5">
      <w:pPr>
        <w:jc w:val="center"/>
        <w:rPr>
          <w:rFonts w:ascii="Calibri" w:hAnsi="Calibri"/>
          <w:b/>
          <w:bCs/>
          <w:color w:val="000000"/>
          <w:sz w:val="18"/>
          <w:szCs w:val="22"/>
        </w:rPr>
        <w:sectPr w:rsidR="00D139C5" w:rsidSect="00C5313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4531" w:type="dxa"/>
        <w:tblLook w:val="04A0" w:firstRow="1" w:lastRow="0" w:firstColumn="1" w:lastColumn="0" w:noHBand="0" w:noVBand="1"/>
      </w:tblPr>
      <w:tblGrid>
        <w:gridCol w:w="1033"/>
        <w:gridCol w:w="1033"/>
        <w:gridCol w:w="2465"/>
      </w:tblGrid>
      <w:tr w:rsidR="00D139C5" w:rsidRPr="00D03E12" w14:paraId="520A4309" w14:textId="77777777" w:rsidTr="00AA7B02">
        <w:trPr>
          <w:trHeight w:val="300"/>
        </w:trPr>
        <w:tc>
          <w:tcPr>
            <w:tcW w:w="1033" w:type="dxa"/>
            <w:noWrap/>
          </w:tcPr>
          <w:p w14:paraId="30A48ED2" w14:textId="77777777" w:rsidR="00D139C5" w:rsidRPr="00D03E12" w:rsidRDefault="00D139C5" w:rsidP="00AA7B02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r w:rsidRPr="00D03E12">
              <w:rPr>
                <w:rFonts w:ascii="Calibri" w:hAnsi="Calibri"/>
                <w:b/>
                <w:bCs/>
                <w:color w:val="000000"/>
                <w:sz w:val="14"/>
                <w:szCs w:val="22"/>
              </w:rPr>
              <w:t>IČO</w:t>
            </w:r>
          </w:p>
        </w:tc>
        <w:tc>
          <w:tcPr>
            <w:tcW w:w="1033" w:type="dxa"/>
            <w:noWrap/>
          </w:tcPr>
          <w:p w14:paraId="3407EE20" w14:textId="77777777" w:rsidR="00D139C5" w:rsidRPr="00D03E12" w:rsidRDefault="00D139C5" w:rsidP="00AA7B02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r w:rsidRPr="00D03E12">
              <w:rPr>
                <w:rFonts w:ascii="Calibri" w:hAnsi="Calibri"/>
                <w:b/>
                <w:bCs/>
                <w:color w:val="000000"/>
                <w:sz w:val="14"/>
                <w:szCs w:val="22"/>
              </w:rPr>
              <w:t>IČZ</w:t>
            </w:r>
          </w:p>
        </w:tc>
        <w:tc>
          <w:tcPr>
            <w:tcW w:w="2465" w:type="dxa"/>
            <w:noWrap/>
          </w:tcPr>
          <w:p w14:paraId="2F470151" w14:textId="77777777" w:rsidR="00D139C5" w:rsidRPr="00D03E12" w:rsidRDefault="00D139C5" w:rsidP="00AA7B02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r w:rsidRPr="00D03E12">
              <w:rPr>
                <w:rFonts w:ascii="Calibri" w:hAnsi="Calibri"/>
                <w:b/>
                <w:bCs/>
                <w:color w:val="000000"/>
                <w:sz w:val="14"/>
                <w:szCs w:val="22"/>
              </w:rPr>
              <w:t>Název</w:t>
            </w:r>
          </w:p>
        </w:tc>
      </w:tr>
      <w:tr w:rsidR="008F423C" w:rsidRPr="00D03E12" w14:paraId="08D76FB3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6EBA9C77" w14:textId="5409AEA0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0811662A" w14:textId="619550F6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1E890026" w14:textId="42B0FFD0" w:rsidR="008F423C" w:rsidRPr="00D03E12" w:rsidRDefault="008F423C" w:rsidP="008F423C">
            <w:pPr>
              <w:ind w:right="33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2842E6C5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4BE4DADA" w14:textId="748CB1C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25ACB936" w14:textId="6920FC56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6E4A0230" w14:textId="4D9D42E2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6A079D02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299BECCF" w14:textId="4CB5E56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5DD8817C" w14:textId="30972336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55EC6C67" w14:textId="318F0759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6580578D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411F3DA7" w14:textId="1B9795E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68D0708" w14:textId="66DBD858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4B53B62A" w14:textId="0CBC0BDF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722FD0D7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07ABA474" w14:textId="7BF467CF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5ED09CA7" w14:textId="0EC8BD4D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04169A73" w14:textId="5F20332A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405A87D8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2F6BC89C" w14:textId="37BB55B1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54FBCFED" w14:textId="5C25B236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5B64AD55" w14:textId="4B5B0DCA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766E509A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6C1A4DDF" w14:textId="17102D37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482A4D23" w14:textId="08E7702A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19DE0B90" w14:textId="75955E34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2FAC0A62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0117141E" w14:textId="2F43A6F8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D6B733A" w14:textId="2CF3C1F0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4E3057FB" w14:textId="4352ED1F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76BC7FE7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76170F0A" w14:textId="4CDB7923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DA8F0BC" w14:textId="7853AF5F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0528511D" w14:textId="6EEE0B0D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0D1D88E1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883ADDD" w14:textId="4B3EABFA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2EB1D552" w14:textId="4F418F3B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751830D" w14:textId="2EE9D863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4A90CD4C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4118DCA8" w14:textId="62DA2B64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71D5E65B" w14:textId="7CD1FD0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35F31C48" w14:textId="3038D32D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3CFF6D99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020BFF7" w14:textId="5CA525C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73713B06" w14:textId="44DBDA7F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59F23C48" w14:textId="151E9D85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46336B13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2E1C5F73" w14:textId="0C3F0D4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11868297" w14:textId="3991BA6A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04C9D17" w14:textId="225942D7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1985F278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D9F8B26" w14:textId="11E592DF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2CAA0314" w14:textId="4530008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1144DAAE" w14:textId="42926660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259D52C3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42B3B458" w14:textId="4DB3FA2F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031A6A24" w14:textId="2B74A534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27669636" w14:textId="7531E942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58B65824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1F7CD5B6" w14:textId="4B17D837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131F7CEA" w14:textId="54791161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3A07CFA9" w14:textId="0C4C1D38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679627D4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66603D6F" w14:textId="4E899944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1521BBCB" w14:textId="6927B73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4A2E26DF" w14:textId="0DF89AA6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0B9AF7FF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0682E2A9" w14:textId="46F45268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63E1D6C" w14:textId="20A32B33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7FBA2A1" w14:textId="72A3058B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5006371F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5328AEB4" w14:textId="71CA1500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5AC30AA7" w14:textId="26A9A181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077C8BA7" w14:textId="109458A4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72902204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197D759C" w14:textId="418E7EDE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7D1590E0" w14:textId="71D5D447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3F63CBD9" w14:textId="3304BD35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4FDD8785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1E75D9A8" w14:textId="7F3BB81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2A2BD295" w14:textId="5C5D763F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6E3A5BB8" w14:textId="14A080D5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40DAF98A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00A4E5E4" w14:textId="31E39606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511416DF" w14:textId="522A48D1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0ABE47F3" w14:textId="49AF10FD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040E6DEC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2BA3E8D1" w14:textId="15DE2D46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4A2770EB" w14:textId="7CEF20FB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6623BCCA" w14:textId="1153E175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077C1085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89BB6B9" w14:textId="2C4930B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48BDB5B1" w14:textId="0207727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30F02304" w14:textId="587B4BC5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40759BFE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D927D68" w14:textId="1799ADAE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37E1D660" w14:textId="2C81678E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6DE9E150" w14:textId="382F48CC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7660EB15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7AEE48B2" w14:textId="6FF2E57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2267C44F" w14:textId="57426EFB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01E2D70E" w14:textId="29D2DAEF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7297B1E8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7F276AE8" w14:textId="28129F32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263D34CD" w14:textId="1C203D32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151F7351" w14:textId="58B263EB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5F0B32B3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4090F60F" w14:textId="4A668AD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143C8321" w14:textId="59E5AB8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07F4F1E" w14:textId="51E1952B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3233B715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4BA4E028" w14:textId="5AC3A253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0F38444A" w14:textId="28250557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CA0719E" w14:textId="4F982E92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455C1228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05035DB3" w14:textId="44279C0D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D2E50ED" w14:textId="5DB4A53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24E37714" w14:textId="4B135FCE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39249605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783164D7" w14:textId="4491DAB2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19F683EB" w14:textId="175A88DF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212F92EF" w14:textId="16134025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4F441D91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4B9C0453" w14:textId="5681D620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3B5EBB12" w14:textId="78D9AF2E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3C3B6FFD" w14:textId="740270C7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4F3EC707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032F29A8" w14:textId="00EBD2C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435DCDAD" w14:textId="0FFA56C6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00A82FCF" w14:textId="46999DB6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67CC5254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666458A" w14:textId="549C165D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0C8696F4" w14:textId="4CC5B803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2259BD9F" w14:textId="69CF9A8F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2B6F0465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247F4AFE" w14:textId="02BA9437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426CAA05" w14:textId="6E93C4F4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5DC3610C" w14:textId="4F6A030F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737A00CC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5D0853E8" w14:textId="5C567CC7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2387D47C" w14:textId="7928739A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2CEF4D6C" w14:textId="085E7CD3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0F3DC1D5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2A7D86C6" w14:textId="2EA18A1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2CA82CBA" w14:textId="196DD98E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4AC8AA65" w14:textId="6923A65A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620A97F7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4F41B363" w14:textId="704CFFDF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268BC0D9" w14:textId="7D0EBA16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5A71FD2D" w14:textId="18D0619A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01E1D710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4B74B8CB" w14:textId="2531DE3A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57E22A52" w14:textId="32CAC316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1A7E7F2E" w14:textId="7C29AF03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1F19DE73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50044200" w14:textId="4B331053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4E64D4E4" w14:textId="62510FFA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0D4805F9" w14:textId="3F2E7D45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304226AF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E77B612" w14:textId="63F481DD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1190B7A5" w14:textId="250E5F91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7E1E604" w14:textId="71347537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5DBEB734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74D2CB88" w14:textId="0D8B4A14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55D716F1" w14:textId="298D88BF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3798032D" w14:textId="7E291B7E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24B7A972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78872845" w14:textId="74EE702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7420CBDC" w14:textId="327F8F77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2939AD3C" w14:textId="3E4B0E04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33EC5559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4EC3B4E" w14:textId="06F2166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5ABDE59" w14:textId="04C456EB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0D7DF352" w14:textId="33F760E8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056F365A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0C9318E4" w14:textId="47AB62C2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022EA957" w14:textId="711F9F38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53231F28" w14:textId="1D0E8FE0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0E1FEB6C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1684C5A2" w14:textId="1D45A31A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7E9E8E65" w14:textId="6AED2C7B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23C9C1E3" w14:textId="1AE18EB0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6A1D6105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79974C6C" w14:textId="68BA232E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3C5BC24C" w14:textId="013CBCAB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2739A937" w14:textId="5A22E141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37C7963F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041FE5F2" w14:textId="2621C9FF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56C52252" w14:textId="3A6AB2F0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63C28079" w14:textId="31E6502F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104E2D3F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7EDBC520" w14:textId="6546310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50265F73" w14:textId="2CD5B38B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6B289E4F" w14:textId="4A23FDD4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405DC493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222A76C5" w14:textId="6C753C8E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521B35D6" w14:textId="7B7F3CE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8ED3D83" w14:textId="26239FBF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0A38B7CE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684B0A26" w14:textId="0356629A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21D15056" w14:textId="2A4E0B68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603C8BB" w14:textId="00381197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3B9714E0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CF015B4" w14:textId="4C7C7F41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17D7940" w14:textId="36084A91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25A16471" w14:textId="76FED445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3C989C5B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2E089657" w14:textId="084AC2C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1A7C4D97" w14:textId="573FF4FB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2DB9665C" w14:textId="263C0311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60E44372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45B32D18" w14:textId="2F1266D1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05D5C9FD" w14:textId="408F6E0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5B2A155" w14:textId="438A3466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0FAF560C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2FFC5923" w14:textId="2BF0960B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7EF45CB1" w14:textId="1CB699A7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F94EF5A" w14:textId="7F8517E6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1A2B5FEF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5484B1B2" w14:textId="041AEC7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01A1E15E" w14:textId="12C18F9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3A4F959C" w14:textId="1304BD5C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69194B70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0D0C2619" w14:textId="20EFF71B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261E517E" w14:textId="15A8F023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4292264" w14:textId="5512C7BB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23247953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0A70044C" w14:textId="3DA998E7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06618DB6" w14:textId="66E071E2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67863823" w14:textId="2F617617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2A9FC2E0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494F1A20" w14:textId="104CC1D0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7AAA2792" w14:textId="3526CA22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6CBD0618" w14:textId="0A14528F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46AD8BA6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4E03E477" w14:textId="745CEBD8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066081F3" w14:textId="2FF623A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3F65FD27" w14:textId="20DBDB47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6FE132AF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0AD327EA" w14:textId="7F18231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1AEEFDB" w14:textId="07B8F7F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0F349913" w14:textId="70B79DF6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69975604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2D625A0A" w14:textId="385FA4BA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3124EBDA" w14:textId="4E68BF42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078E934" w14:textId="14272BF7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12BDC5D4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6DCBC778" w14:textId="3DC63B1F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3DB035A3" w14:textId="38228A9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2C068F8C" w14:textId="31B98AD0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3AC8549C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155B12EF" w14:textId="67A196D1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1F22826" w14:textId="37713CB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21FB2507" w14:textId="7C36E54E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110CF30E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262C10F" w14:textId="1C7992C6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119534DE" w14:textId="72B5B58B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2419E904" w14:textId="0605613A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2969328A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8D52732" w14:textId="5034314B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44D6B19" w14:textId="3B9AE3C7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0912984B" w14:textId="2FFCF063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6E7F3212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43C4A1F0" w14:textId="18DA5537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9854ACD" w14:textId="52D4BAF2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399399C7" w14:textId="09282897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28AA7A2E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20B0C105" w14:textId="2EBE8C62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37E9A69F" w14:textId="224E34C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19A9F862" w14:textId="66537992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67FDBD99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2F1E017E" w14:textId="5AF46531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2D2BFCE4" w14:textId="5FB8BC1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0B918090" w14:textId="60B3D4F7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6AB4466D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0C5F73A5" w14:textId="2879CE1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44E44B58" w14:textId="21604C9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052B56F9" w14:textId="410E00D7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6F17C5F5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20FEB7BD" w14:textId="59FC9598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6DB95F7" w14:textId="2E7936A0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11150970" w14:textId="12FD9AA5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10767342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7E1231A6" w14:textId="104C27B0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1B07B201" w14:textId="2DFFFB2E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11449E38" w14:textId="0F855F9E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6A59E630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2B306533" w14:textId="65E69573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7AA70E2B" w14:textId="39E7C448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5D7941C" w14:textId="63D0AD72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0D7DAB93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15E0AE8F" w14:textId="57FF3D41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79565BC" w14:textId="42A56EF3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696CC991" w14:textId="6896B08F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3C8D7F64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292BEF76" w14:textId="5A68CE91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158E392B" w14:textId="522E795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0C33DC0C" w14:textId="3DB9376A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2DE805B8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1B5D00AA" w14:textId="27589801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59EF2B5C" w14:textId="5BEEAA7F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475F4BB4" w14:textId="74AAAC50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14146F3F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93028B4" w14:textId="11784CDD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07965876" w14:textId="6D9BCB3E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2DCC5CE4" w14:textId="161DC9D1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334EDB09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6EFC843F" w14:textId="0264CF07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86A6636" w14:textId="48191137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54E0133C" w14:textId="570FA706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70505FB2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7335B3DF" w14:textId="35EDD65E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E42566A" w14:textId="626EFBF2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01FA09A3" w14:textId="0006E39E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6BF5A401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56741352" w14:textId="08C0FC2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3E1611AC" w14:textId="47FD0907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6FB0C800" w14:textId="53FDF10F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19732A95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49A1ABE1" w14:textId="19C679E0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5A4BB7C5" w14:textId="5D3D2EDB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25D5E306" w14:textId="6CBED684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515E7566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723561F4" w14:textId="6569246A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lastRenderedPageBreak/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04FBC6F4" w14:textId="73F4B92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4A0C351D" w14:textId="41CA91F0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5DD2D709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2FCA980E" w14:textId="584B01B0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0A382E4D" w14:textId="71386082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2854F1F4" w14:textId="1C08C553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19F69058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7C90535A" w14:textId="3BC36A80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47DA90CA" w14:textId="6C57FC64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26F18135" w14:textId="289AF5D5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2A2A8252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230C3B64" w14:textId="7F0FF81A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274F2061" w14:textId="25FFB94A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2199F3CB" w14:textId="2E25DD70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0D4E2D9C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BD659E2" w14:textId="06226F7D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294301A1" w14:textId="2759AD1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0AA23EC1" w14:textId="6C02C0AA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59DAC475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0B3875B1" w14:textId="2EBBC9B3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1007CDBD" w14:textId="78BFD53E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166C7540" w14:textId="40898C77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453ADCC2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8AF9CCA" w14:textId="23101BB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441EB485" w14:textId="1A33FADF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69002290" w14:textId="2DBB3809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2B00C203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7E33CE46" w14:textId="77364C4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247D3E6E" w14:textId="4C063976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3D0C41F" w14:textId="6F06722D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11D607D7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571FC488" w14:textId="4A0354CD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78C36E45" w14:textId="4D4A5BB8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C6A373D" w14:textId="57BC3FF0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0AE67AF7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5AF76D24" w14:textId="2E9E93B8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122D418" w14:textId="72CAB61B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102F8AA4" w14:textId="1917A29B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639DC651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470810D9" w14:textId="51B04036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1B7B3ABD" w14:textId="08F86496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61891955" w14:textId="525A2700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282F2FE9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6CDF59B" w14:textId="1386401F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16540F88" w14:textId="37CCC0EA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31E48E2D" w14:textId="267C4AF8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60E1AD5F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54DD623" w14:textId="3853381F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061CC40D" w14:textId="506CC8AB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1899D734" w14:textId="18B5571F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11B7F5F7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4CC4FA4A" w14:textId="7A709810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3BC2CE7C" w14:textId="5D96F07E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3B785093" w14:textId="341CAB97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51E53490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5963C10C" w14:textId="3B985184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2F1CBAA" w14:textId="26C0B077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11F1E95" w14:textId="661305E2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2C48FA16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611E4AA8" w14:textId="7A02E26B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22300C5" w14:textId="02412007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3E17B6D" w14:textId="59A4E12A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2D27674C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06AEF0A4" w14:textId="4BE4C61E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00528478" w14:textId="34C7008D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8B0AE9B" w14:textId="44933C11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3FA08B44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5BB2A18E" w14:textId="3CFCD3AF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EECA158" w14:textId="5A1F868E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06F6A83B" w14:textId="07D4F373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33122E49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0D0B9383" w14:textId="39B4855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1026B9F9" w14:textId="0DB4F0A1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38B92D78" w14:textId="0EB16851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02F93196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5B866A41" w14:textId="25EF2ECE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4EA7213F" w14:textId="596F520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CB33B5C" w14:textId="4092987E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4F439D23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2CEFF008" w14:textId="25B264B0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0BD820A7" w14:textId="0A30F08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D69648E" w14:textId="7FB34BBB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53103975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6FF023CD" w14:textId="306963A2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A9A5260" w14:textId="14C0F5FF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3D572416" w14:textId="26E282D0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73D403BF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07912B3" w14:textId="28D7CBDD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2FCF24A9" w14:textId="16740BC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38BE33BF" w14:textId="3DE47B0E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368DC849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27A09CAA" w14:textId="1F983536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57A6FD59" w14:textId="691E371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3C522622" w14:textId="31AFCA70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34DFA96D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78495B81" w14:textId="43C11F98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31484C8A" w14:textId="5B0CB0B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3DAD1A88" w14:textId="5A10439F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26FA3051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03738228" w14:textId="270C34E7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0154FDEB" w14:textId="2AB4E753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349DDB7E" w14:textId="230F03B1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2489C08C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671C539A" w14:textId="78D52F27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44C017AB" w14:textId="21826054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1858DFAD" w14:textId="24FD472A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4A51245E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53AC8663" w14:textId="10213862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1CAC6167" w14:textId="69AB8AF0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1C21734D" w14:textId="46134B90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7CC998C6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25ED0A5C" w14:textId="7F7A84E8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11B32798" w14:textId="4E35DBA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2102A03A" w14:textId="48CFC0F9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0A50FEA1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5CF6DD9D" w14:textId="168DFD86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05A0A947" w14:textId="1BD4A1BE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F8AC914" w14:textId="3A87F5FD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2E8FEE17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60450B6D" w14:textId="1ED949C0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53D4437E" w14:textId="0E408491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112E0C06" w14:textId="24AE511D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3B3D7C96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62ADACC3" w14:textId="3DF48DB7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3BC9AED3" w14:textId="643D3EB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4344A367" w14:textId="69CD4A6D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509B5980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40E15BFC" w14:textId="5490FD1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2092B60E" w14:textId="2C62888F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375EF2F4" w14:textId="255F9AE0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7F1A21D6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72C55BB0" w14:textId="2E388826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185B6720" w14:textId="18D47943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058FF797" w14:textId="2C09D88A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415C3C20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2891019C" w14:textId="2CCB1B18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5DF782AE" w14:textId="76C72088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B5D3236" w14:textId="70ED4181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79EDE94D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0A7B70DE" w14:textId="2232D65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3CA5B4F0" w14:textId="106EA651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3C1B2F2F" w14:textId="14948938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2E5D37AD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71C16E6" w14:textId="7037E30A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4BA74CFF" w14:textId="12D235D4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6C41AB80" w14:textId="1D6B85CC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5BD92471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492DAA29" w14:textId="5130A802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77E5B737" w14:textId="180D1F6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42B2AE65" w14:textId="1EEEC50D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76DD1E5B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457F564" w14:textId="68784370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2D6DDE36" w14:textId="4BD63941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6AF29222" w14:textId="28DD46BA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0AE84410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1BE27A94" w14:textId="29A34CE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5A853A6F" w14:textId="51509D9A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441F96C8" w14:textId="459DD9B8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6B757847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0B87BF48" w14:textId="6E2203E1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71C1D9BC" w14:textId="4A2D3F1E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34CB046C" w14:textId="101FBDFA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48C90C60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14941BDB" w14:textId="3B6A0EDE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10FD4EF1" w14:textId="27704BC7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60CA37BC" w14:textId="093599F5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4C01829F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63EC99FC" w14:textId="389EC932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06DC53F5" w14:textId="1E90D7F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4D8D97B3" w14:textId="46295FBC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360688FB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70FCEA5F" w14:textId="1955E64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31B82BD5" w14:textId="4027A9A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017664D2" w14:textId="125F16AF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2AE73D5F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3C1E3F8" w14:textId="5DCD9A3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30537DC8" w14:textId="6048BC71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0E0D2F96" w14:textId="49A31F41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4F1BBF74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042A41FA" w14:textId="764685DF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431CCD7" w14:textId="733BC21B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658C36B6" w14:textId="2FDE0158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151BA9F9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768CAF16" w14:textId="081593B6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0E25D90E" w14:textId="4CB363B4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5D049D84" w14:textId="0A42790D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7B992A71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615460D7" w14:textId="5E04B723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7D13F876" w14:textId="68282718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022FB757" w14:textId="0320D5C2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2979D403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DFE26D7" w14:textId="75CBA37D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5A24E557" w14:textId="6A21FD0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547F0F46" w14:textId="482301A5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3DF19200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41C739ED" w14:textId="1ACA1841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130613D7" w14:textId="3ECA9BBA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6B33D14E" w14:textId="45C21B7E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55C333BD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777ADCCB" w14:textId="6B6508E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3F754CEF" w14:textId="0922E9DE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121549F7" w14:textId="638174AF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5E12B845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CA4BD8A" w14:textId="61DE5166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170835D8" w14:textId="14F1BE1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310669B9" w14:textId="05B06071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310BEA9A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0F3415A6" w14:textId="0F00F9FD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5C2F27F7" w14:textId="0CB1A7EB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181D2472" w14:textId="27D0D7CA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1C5D555E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133F0D6" w14:textId="47D800F4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30AB01E2" w14:textId="541AD4D8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2B740129" w14:textId="3644E579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1A8D54D2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43A0B7F6" w14:textId="3E84081F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07BE36C8" w14:textId="358FA72E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2748450A" w14:textId="61677055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1BABC8D9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AFBBB01" w14:textId="0D6E4970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641F079" w14:textId="14C515D4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0AB34D5E" w14:textId="2BDD61A2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1D026707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2844DB11" w14:textId="41A25178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7494D16C" w14:textId="0FE2769A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0C33098F" w14:textId="3745C9D7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37A69206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0037343D" w14:textId="53870C84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0DBC094" w14:textId="7B84670A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6977E55A" w14:textId="0CE457FD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3D66DC35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0C3CD257" w14:textId="0CC44FEB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145E0523" w14:textId="2A1CE78F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5F7C5A9" w14:textId="1A3F176F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7BDC957B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2E1AA1D1" w14:textId="7F7B4BD8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4EBE8A1E" w14:textId="4CC1686D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EC58DC4" w14:textId="2C4B083A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6D842E1A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585F847F" w14:textId="47CE77B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36ADCDE" w14:textId="6FF82DF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15A81D99" w14:textId="4592D160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4D7432DF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02E98C24" w14:textId="27079692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54B1FBBF" w14:textId="3ADA6C7F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4B13B0D8" w14:textId="701E1EF4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585D5EF6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7DD07E22" w14:textId="44E49AE3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4283D87C" w14:textId="3B0C0124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5714E9E2" w14:textId="7DD5A8BA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3688DD6A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1110F7BC" w14:textId="341F680D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52FC9E25" w14:textId="1E1A38F3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404BC9C8" w14:textId="6A5C9A77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57C2CC9B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BA30A98" w14:textId="549A5CB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78DA2FF3" w14:textId="107EADC6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656E6919" w14:textId="4FBA5A78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076034B2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67303F0E" w14:textId="1A3A3504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40EFF9BE" w14:textId="5161ED17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514CB8F3" w14:textId="5E04AFBC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31EF4639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10D25228" w14:textId="03CE58E3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FA67290" w14:textId="5E9D126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5F85FAB1" w14:textId="698990B1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48AA30FB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4365BE17" w14:textId="66E6DB5E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313A59D7" w14:textId="74FEA9FF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26954CA6" w14:textId="31927178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738C3EE1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4425DB42" w14:textId="15188E0F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7B595727" w14:textId="0D2FD11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2D716DC1" w14:textId="5FC9DFD7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7046C1E6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66553FA9" w14:textId="4951AD2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F783565" w14:textId="764A74DA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1A55F52" w14:textId="4FE523C9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51F2138C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65899129" w14:textId="324CC81A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992AE6E" w14:textId="26F784C0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3B3A9850" w14:textId="5F1408AD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7E459329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4EE4BD92" w14:textId="4FEBAA8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38497078" w14:textId="75A450A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46C6AAE" w14:textId="24D2CA20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333A6D43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4E2B9922" w14:textId="10992A00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799E9653" w14:textId="17F30CC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53F9DA59" w14:textId="4AC29345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40FAAB3B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637E7084" w14:textId="4646DBD3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04AF553E" w14:textId="180066B6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5565E478" w14:textId="6853849C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739B5C0B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6B87D5E4" w14:textId="76FAD7D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55257567" w14:textId="24EF8762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1915C7B6" w14:textId="67BDD44F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229E332E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2A27046A" w14:textId="3E31CB67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35E11812" w14:textId="198CAC1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176541E9" w14:textId="66273D01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2A12DEE5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2A1E33A5" w14:textId="33E2C0E2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3B002CD" w14:textId="201A8E40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26865B6" w14:textId="110C4EDF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710C448D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0FDC0B3" w14:textId="4D3C1FD2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11D64DC6" w14:textId="07E677F4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657267FD" w14:textId="7CE17919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0133D397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7EAEC7C9" w14:textId="36048972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12335FE3" w14:textId="712AB90E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57F2304D" w14:textId="34DEBD8C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45B2319E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C49049F" w14:textId="5FEE55BE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58432D84" w14:textId="1A2804D8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2435F985" w14:textId="56785530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39B1C588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60264D1E" w14:textId="4D699504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3869661E" w14:textId="3D107F98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3E7F6E28" w14:textId="109958D7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19C59D97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73F3B371" w14:textId="561E99F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737E95D" w14:textId="21AA3481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6700839A" w14:textId="0C58756F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0A990D03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4D3B59E2" w14:textId="35023033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78F41D7F" w14:textId="1C54FBDD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481C8EA4" w14:textId="197FF112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52EBD549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2C94E0FE" w14:textId="07EFA341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6882CE3" w14:textId="0A193C4A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112EFEA6" w14:textId="0477F79E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06CE18D8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C622717" w14:textId="0D5B2AE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1C826178" w14:textId="4ED424B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50E1F057" w14:textId="3A00543F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4CE19F56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2B9BC4C7" w14:textId="4175AFF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11D8C383" w14:textId="4631CC72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43D13B6D" w14:textId="34727387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00CFD091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06AA7ED0" w14:textId="30EB5E5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55CF9980" w14:textId="7DBAB08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18409639" w14:textId="5A0AD1F8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70A07AA5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F810592" w14:textId="2417FC9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53BF8309" w14:textId="4D8C4A9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512E322" w14:textId="08A11B17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6AE75591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578E1057" w14:textId="6445899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0015B1F3" w14:textId="59BA826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5B5870AC" w14:textId="351A3CD7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792703F9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47CA9668" w14:textId="2288B4E6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41F90200" w14:textId="692DAC9F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08CE9B43" w14:textId="7E772488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4BDA96C9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68D04EDB" w14:textId="535E657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lastRenderedPageBreak/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1A6E1AE0" w14:textId="0D5B23D3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0D09CBC2" w14:textId="07623814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1B413FB9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1BD77789" w14:textId="0F17E2E3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3411866E" w14:textId="6F5E586F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1F5F04A0" w14:textId="5BF58A3D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6DD7E5C2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1366EA1" w14:textId="072F76B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103EE8D6" w14:textId="1B85F896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5877251E" w14:textId="261BD52A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1CC5B101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0E9638F8" w14:textId="304E781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34142E61" w14:textId="3C032BD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05440021" w14:textId="2AFD45FF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3264D4D4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672443FC" w14:textId="54977F03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75510577" w14:textId="536F6AB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404BAE27" w14:textId="48DDD6BC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6E7727DD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61458781" w14:textId="6F7E128D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436C4C6F" w14:textId="68ED0025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2CBD1FBC" w14:textId="35BAD364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299E4517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6C414ECE" w14:textId="0E5C9837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2079290D" w14:textId="095D2FDD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6328A712" w14:textId="1D401C3B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3461806B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7CD5E3F" w14:textId="16BEF273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5CA55706" w14:textId="7E44A36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4E086D9A" w14:textId="54EB3588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0366B56F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1B8849B0" w14:textId="48FDC4AC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567F9CFC" w14:textId="375423C8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8B6444A" w14:textId="42CC6DA7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4BBB746D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164B2231" w14:textId="1A9D5144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5B6B747C" w14:textId="7CBE6CF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4460AC36" w14:textId="4A791240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26F6BB47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716E4725" w14:textId="51070976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2EAC5692" w14:textId="117D4AB2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2481E9E5" w14:textId="104813AD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567E5404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627B5866" w14:textId="04D107F9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30FB3771" w14:textId="43F435FB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308AC397" w14:textId="62848A09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1D0DB376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476A0754" w14:textId="3BC99BFD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49A7EE3E" w14:textId="297E8047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4A6B9A5D" w14:textId="3544FEC4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508C292D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31AA68E5" w14:textId="72A248CA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7186E76A" w14:textId="65EEB9F7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5F68BF9F" w14:textId="02337EAE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0BAFC375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2C148B33" w14:textId="6F4FBDCA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2B2CF3ED" w14:textId="32C16950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7696A11D" w14:textId="7BE99887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6A05A2E8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70EA24F6" w14:textId="2C776B3D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6198D9D1" w14:textId="1DA1A6DE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3FE908DB" w14:textId="0CFDA874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  <w:tr w:rsidR="008F423C" w:rsidRPr="00D03E12" w14:paraId="78FDD45A" w14:textId="77777777" w:rsidTr="00AA7B02">
        <w:trPr>
          <w:trHeight w:val="300"/>
        </w:trPr>
        <w:tc>
          <w:tcPr>
            <w:tcW w:w="1033" w:type="dxa"/>
            <w:noWrap/>
            <w:hideMark/>
          </w:tcPr>
          <w:p w14:paraId="754786F4" w14:textId="1D244A53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1033" w:type="dxa"/>
            <w:noWrap/>
            <w:hideMark/>
          </w:tcPr>
          <w:p w14:paraId="54113553" w14:textId="48049222" w:rsidR="008F423C" w:rsidRPr="00D03E12" w:rsidRDefault="008F423C" w:rsidP="008F423C">
            <w:pPr>
              <w:jc w:val="center"/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  <w:tc>
          <w:tcPr>
            <w:tcW w:w="2465" w:type="dxa"/>
            <w:noWrap/>
            <w:hideMark/>
          </w:tcPr>
          <w:p w14:paraId="3337A691" w14:textId="3B55B419" w:rsidR="008F423C" w:rsidRPr="00D03E12" w:rsidRDefault="008F423C" w:rsidP="008F423C">
            <w:pPr>
              <w:rPr>
                <w:rFonts w:ascii="Calibri" w:hAnsi="Calibri"/>
                <w:color w:val="000000"/>
                <w:sz w:val="14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22"/>
              </w:rPr>
              <w:t>xxxxxxxx</w:t>
            </w:r>
            <w:proofErr w:type="spellEnd"/>
          </w:p>
        </w:tc>
      </w:tr>
    </w:tbl>
    <w:p w14:paraId="3CC86C11" w14:textId="77777777" w:rsidR="00D139C5" w:rsidRDefault="00D139C5" w:rsidP="00D139C5">
      <w:pPr>
        <w:rPr>
          <w:lang w:val="x-none" w:eastAsia="x-none"/>
        </w:rPr>
        <w:sectPr w:rsidR="00D139C5" w:rsidSect="00AA7B0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FE6AD40" w14:textId="77777777" w:rsidR="00D139C5" w:rsidRPr="00032EB3" w:rsidRDefault="00D139C5" w:rsidP="00D139C5">
      <w:pPr>
        <w:rPr>
          <w:lang w:val="x-none" w:eastAsia="x-none"/>
        </w:rPr>
      </w:pPr>
    </w:p>
    <w:p w14:paraId="7F9171B9" w14:textId="77777777" w:rsidR="00D139C5" w:rsidRPr="000E171B" w:rsidRDefault="00D139C5" w:rsidP="00D139C5">
      <w:pPr>
        <w:pStyle w:val="Nadpis1"/>
      </w:pPr>
    </w:p>
    <w:p w14:paraId="6EB16DB2" w14:textId="77777777" w:rsidR="00D139C5" w:rsidRPr="00D37384" w:rsidRDefault="00D139C5" w:rsidP="00D37384"/>
    <w:p w14:paraId="0D3E2C9D" w14:textId="77777777" w:rsidR="00EA1C4C" w:rsidRDefault="00EA1C4C" w:rsidP="00EA1C4C">
      <w:pPr>
        <w:rPr>
          <w:lang w:val="x-none" w:eastAsia="x-none"/>
        </w:rPr>
      </w:pPr>
    </w:p>
    <w:p w14:paraId="643EACD9" w14:textId="7CE8AD4B" w:rsidR="00167093" w:rsidRPr="00032EB3" w:rsidRDefault="00167093" w:rsidP="00167093">
      <w:pPr>
        <w:pStyle w:val="Nadpis1"/>
        <w:rPr>
          <w:lang w:val="cs-CZ"/>
        </w:rPr>
      </w:pPr>
      <w:r>
        <w:rPr>
          <w:lang w:val="cs-CZ"/>
        </w:rPr>
        <w:t>Příloha č. 3</w:t>
      </w:r>
    </w:p>
    <w:p w14:paraId="5379F558" w14:textId="77777777" w:rsidR="00167093" w:rsidRDefault="00167093" w:rsidP="00167093">
      <w:pPr>
        <w:rPr>
          <w:lang w:val="x-none" w:eastAsia="x-none"/>
        </w:rPr>
      </w:pPr>
    </w:p>
    <w:p w14:paraId="08C61C1F" w14:textId="6732AF5D" w:rsidR="00167093" w:rsidRPr="00167093" w:rsidRDefault="00167093" w:rsidP="00167093">
      <w:pPr>
        <w:pStyle w:val="Nadpis1"/>
        <w:rPr>
          <w:lang w:val="cs-CZ"/>
        </w:rPr>
      </w:pPr>
      <w:r>
        <w:rPr>
          <w:lang w:val="cs-CZ"/>
        </w:rPr>
        <w:t xml:space="preserve">Formát </w:t>
      </w:r>
      <w:r w:rsidR="003F33CB">
        <w:rPr>
          <w:lang w:val="cs-CZ"/>
        </w:rPr>
        <w:t>p</w:t>
      </w:r>
      <w:r>
        <w:rPr>
          <w:lang w:val="cs-CZ"/>
        </w:rPr>
        <w:t>ozitivního listu</w:t>
      </w:r>
    </w:p>
    <w:p w14:paraId="33317AFF" w14:textId="291C0011" w:rsidR="00EA1C4C" w:rsidRDefault="000E171B" w:rsidP="00EA1C4C">
      <w:pPr>
        <w:rPr>
          <w:lang w:eastAsia="x-none"/>
        </w:rPr>
      </w:pPr>
      <w:r>
        <w:rPr>
          <w:lang w:eastAsia="x-none"/>
        </w:rPr>
        <w:t xml:space="preserve">Pozitivní list je seznamem všech </w:t>
      </w:r>
      <w:r w:rsidR="00944888">
        <w:rPr>
          <w:lang w:eastAsia="x-none"/>
        </w:rPr>
        <w:t>léčivých přípravků</w:t>
      </w:r>
      <w:r>
        <w:rPr>
          <w:lang w:eastAsia="x-none"/>
        </w:rPr>
        <w:t xml:space="preserve"> preferovaných z hlediska ekvivalentu úhrady dle Svazu zdravotních pojišťoven</w:t>
      </w:r>
      <w:r w:rsidR="00384FCC">
        <w:rPr>
          <w:lang w:eastAsia="x-none"/>
        </w:rPr>
        <w:t xml:space="preserve"> České republiky</w:t>
      </w:r>
      <w:r>
        <w:rPr>
          <w:lang w:eastAsia="x-none"/>
        </w:rPr>
        <w:t xml:space="preserve">. Pro potřeby </w:t>
      </w:r>
      <w:r w:rsidR="00384FCC">
        <w:rPr>
          <w:lang w:eastAsia="x-none"/>
        </w:rPr>
        <w:t>D</w:t>
      </w:r>
      <w:r>
        <w:rPr>
          <w:lang w:eastAsia="x-none"/>
        </w:rPr>
        <w:t xml:space="preserve">íla bude dodáván v textovém formátu typu „CSV – </w:t>
      </w:r>
      <w:proofErr w:type="spellStart"/>
      <w:r>
        <w:rPr>
          <w:lang w:eastAsia="x-none"/>
        </w:rPr>
        <w:t>Comma</w:t>
      </w:r>
      <w:proofErr w:type="spellEnd"/>
      <w:r>
        <w:rPr>
          <w:lang w:eastAsia="x-none"/>
        </w:rPr>
        <w:t xml:space="preserve"> </w:t>
      </w:r>
      <w:proofErr w:type="spellStart"/>
      <w:r>
        <w:rPr>
          <w:lang w:eastAsia="x-none"/>
        </w:rPr>
        <w:t>separated</w:t>
      </w:r>
      <w:proofErr w:type="spellEnd"/>
      <w:r>
        <w:rPr>
          <w:lang w:eastAsia="x-none"/>
        </w:rPr>
        <w:t xml:space="preserve"> </w:t>
      </w:r>
      <w:proofErr w:type="spellStart"/>
      <w:r>
        <w:rPr>
          <w:lang w:eastAsia="x-none"/>
        </w:rPr>
        <w:t>values</w:t>
      </w:r>
      <w:proofErr w:type="spellEnd"/>
      <w:r>
        <w:rPr>
          <w:lang w:eastAsia="x-none"/>
        </w:rPr>
        <w:t>“. Soubor obsahuje na první</w:t>
      </w:r>
      <w:r w:rsidR="00944888">
        <w:rPr>
          <w:lang w:eastAsia="x-none"/>
        </w:rPr>
        <w:t>m</w:t>
      </w:r>
      <w:r>
        <w:rPr>
          <w:lang w:eastAsia="x-none"/>
        </w:rPr>
        <w:t xml:space="preserve"> řádku záhlaví – označení sloupců. Oddělovacím znakem je „;“</w:t>
      </w:r>
    </w:p>
    <w:p w14:paraId="0C486926" w14:textId="77777777" w:rsidR="000E171B" w:rsidRDefault="000E171B" w:rsidP="00EA1C4C">
      <w:pPr>
        <w:rPr>
          <w:lang w:eastAsia="x-none"/>
        </w:rPr>
      </w:pPr>
      <w:r>
        <w:rPr>
          <w:lang w:eastAsia="x-none"/>
        </w:rPr>
        <w:t>Sloupce:</w:t>
      </w:r>
    </w:p>
    <w:p w14:paraId="50F6887B" w14:textId="323B6591" w:rsidR="000E171B" w:rsidRDefault="000E171B" w:rsidP="00EA1C4C">
      <w:pPr>
        <w:rPr>
          <w:lang w:eastAsia="x-none"/>
        </w:rPr>
      </w:pPr>
      <w:r>
        <w:rPr>
          <w:lang w:eastAsia="x-none"/>
        </w:rPr>
        <w:t xml:space="preserve">KOD – Kód </w:t>
      </w:r>
      <w:r w:rsidR="00944888">
        <w:rPr>
          <w:lang w:eastAsia="x-none"/>
        </w:rPr>
        <w:t xml:space="preserve">léčivého přípravku </w:t>
      </w:r>
      <w:r>
        <w:rPr>
          <w:lang w:eastAsia="x-none"/>
        </w:rPr>
        <w:t>dle SÚKL</w:t>
      </w:r>
    </w:p>
    <w:p w14:paraId="1CDEC0EF" w14:textId="2BB439E7" w:rsidR="000E171B" w:rsidRDefault="000E171B" w:rsidP="00EA1C4C">
      <w:pPr>
        <w:rPr>
          <w:lang w:eastAsia="x-none"/>
        </w:rPr>
      </w:pPr>
      <w:r>
        <w:rPr>
          <w:lang w:eastAsia="x-none"/>
        </w:rPr>
        <w:t>SILA – Síla účinné látky</w:t>
      </w:r>
    </w:p>
    <w:p w14:paraId="289C5A08" w14:textId="77777777" w:rsidR="000E171B" w:rsidRDefault="000E171B" w:rsidP="000E171B">
      <w:pPr>
        <w:rPr>
          <w:lang w:eastAsia="x-none"/>
        </w:rPr>
      </w:pPr>
      <w:r>
        <w:rPr>
          <w:lang w:eastAsia="x-none"/>
        </w:rPr>
        <w:t>PODANI – Způsob podání (</w:t>
      </w:r>
      <w:proofErr w:type="spellStart"/>
      <w:proofErr w:type="gramStart"/>
      <w:r>
        <w:rPr>
          <w:lang w:eastAsia="x-none"/>
        </w:rPr>
        <w:t>p.o</w:t>
      </w:r>
      <w:proofErr w:type="spellEnd"/>
      <w:r>
        <w:rPr>
          <w:lang w:eastAsia="x-none"/>
        </w:rPr>
        <w:t>.</w:t>
      </w:r>
      <w:proofErr w:type="gramEnd"/>
      <w:r>
        <w:rPr>
          <w:lang w:eastAsia="x-none"/>
        </w:rPr>
        <w:t xml:space="preserve">, </w:t>
      </w:r>
      <w:proofErr w:type="spellStart"/>
      <w:r>
        <w:rPr>
          <w:lang w:eastAsia="x-none"/>
        </w:rPr>
        <w:t>parent</w:t>
      </w:r>
      <w:proofErr w:type="spellEnd"/>
      <w:r>
        <w:rPr>
          <w:lang w:eastAsia="x-none"/>
        </w:rPr>
        <w:t>.)</w:t>
      </w:r>
    </w:p>
    <w:p w14:paraId="1136AA25" w14:textId="77777777" w:rsidR="000E171B" w:rsidRDefault="000E171B" w:rsidP="00EA1C4C">
      <w:pPr>
        <w:rPr>
          <w:lang w:eastAsia="x-none"/>
        </w:rPr>
      </w:pPr>
      <w:r>
        <w:rPr>
          <w:lang w:eastAsia="x-none"/>
        </w:rPr>
        <w:t>EKV1 – Ekvivalent úhrady 1</w:t>
      </w:r>
    </w:p>
    <w:p w14:paraId="7929FA9F" w14:textId="77777777" w:rsidR="000E171B" w:rsidRDefault="000E171B" w:rsidP="00EA1C4C">
      <w:pPr>
        <w:rPr>
          <w:lang w:eastAsia="x-none"/>
        </w:rPr>
      </w:pPr>
    </w:p>
    <w:p w14:paraId="5A8093E8" w14:textId="3C1E1EAC" w:rsidR="000E171B" w:rsidRDefault="000E171B" w:rsidP="00EA1C4C">
      <w:pPr>
        <w:rPr>
          <w:lang w:eastAsia="x-none"/>
        </w:rPr>
      </w:pPr>
      <w:r>
        <w:rPr>
          <w:lang w:eastAsia="x-none"/>
        </w:rPr>
        <w:t xml:space="preserve">Řazení </w:t>
      </w:r>
      <w:r w:rsidR="00944888">
        <w:rPr>
          <w:lang w:eastAsia="x-none"/>
        </w:rPr>
        <w:t xml:space="preserve">léčivých přípravků </w:t>
      </w:r>
      <w:r>
        <w:rPr>
          <w:lang w:eastAsia="x-none"/>
        </w:rPr>
        <w:t>do skupiny pozitivního listu probíhá dle kombinace:</w:t>
      </w:r>
    </w:p>
    <w:p w14:paraId="11B705B9" w14:textId="77777777" w:rsidR="000E171B" w:rsidRDefault="000E171B" w:rsidP="00EA1C4C">
      <w:pPr>
        <w:rPr>
          <w:lang w:eastAsia="x-none"/>
        </w:rPr>
      </w:pPr>
      <w:r>
        <w:rPr>
          <w:lang w:eastAsia="x-none"/>
        </w:rPr>
        <w:t>ATC (odvozená dle kódu léku z číselníku SÚKL)+SILA+PODANI a řadí se EKV1 od nejnižší.</w:t>
      </w:r>
    </w:p>
    <w:p w14:paraId="356346E6" w14:textId="77777777" w:rsidR="000E171B" w:rsidRDefault="000E171B" w:rsidP="00EA1C4C">
      <w:pPr>
        <w:rPr>
          <w:lang w:eastAsia="x-none"/>
        </w:rPr>
      </w:pPr>
    </w:p>
    <w:p w14:paraId="3CA3C457" w14:textId="77777777" w:rsidR="000E171B" w:rsidRPr="000E171B" w:rsidRDefault="000E171B" w:rsidP="00EA1C4C">
      <w:pPr>
        <w:rPr>
          <w:lang w:eastAsia="x-none"/>
        </w:rPr>
      </w:pPr>
    </w:p>
    <w:sectPr w:rsidR="000E171B" w:rsidRPr="000E171B" w:rsidSect="00C53135">
      <w:headerReference w:type="default" r:id="rId18"/>
      <w:footerReference w:type="even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F340F" w14:textId="77777777" w:rsidR="00340077" w:rsidRDefault="00340077" w:rsidP="002B7A84">
      <w:r>
        <w:separator/>
      </w:r>
    </w:p>
  </w:endnote>
  <w:endnote w:type="continuationSeparator" w:id="0">
    <w:p w14:paraId="7157F29A" w14:textId="77777777" w:rsidR="00340077" w:rsidRDefault="00340077" w:rsidP="002B7A84">
      <w:r>
        <w:continuationSeparator/>
      </w:r>
    </w:p>
  </w:endnote>
  <w:endnote w:type="continuationNotice" w:id="1">
    <w:p w14:paraId="4BFC6834" w14:textId="77777777" w:rsidR="00340077" w:rsidRDefault="003400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Palm Spring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F412F" w14:textId="77777777" w:rsidR="008F423C" w:rsidRDefault="008F423C" w:rsidP="00085A7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C48090" w14:textId="77777777" w:rsidR="008F423C" w:rsidRDefault="008F423C" w:rsidP="00BD667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ADD91" w14:textId="77777777" w:rsidR="008F423C" w:rsidRDefault="008F423C" w:rsidP="00BD6676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8A091" w14:textId="77777777" w:rsidR="00F1023B" w:rsidRDefault="00F1023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9DC83" w14:textId="77777777" w:rsidR="008F423C" w:rsidRDefault="008F423C" w:rsidP="00085A7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8D3885" w14:textId="77777777" w:rsidR="008F423C" w:rsidRDefault="008F423C" w:rsidP="00BD6676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A08B1" w14:textId="60E17DC3" w:rsidR="008F423C" w:rsidRPr="00626828" w:rsidRDefault="008F423C">
    <w:pPr>
      <w:pStyle w:val="Zpat"/>
      <w:jc w:val="center"/>
      <w:rPr>
        <w:sz w:val="20"/>
      </w:rPr>
    </w:pPr>
    <w:r w:rsidRPr="00626828">
      <w:rPr>
        <w:sz w:val="20"/>
        <w:lang w:val="cs-CZ"/>
      </w:rPr>
      <w:t xml:space="preserve">Strana </w:t>
    </w:r>
    <w:r w:rsidRPr="00626828">
      <w:rPr>
        <w:bCs/>
        <w:sz w:val="20"/>
      </w:rPr>
      <w:fldChar w:fldCharType="begin"/>
    </w:r>
    <w:r w:rsidRPr="00626828">
      <w:rPr>
        <w:bCs/>
        <w:sz w:val="20"/>
      </w:rPr>
      <w:instrText>PAGE</w:instrText>
    </w:r>
    <w:r w:rsidRPr="00626828">
      <w:rPr>
        <w:bCs/>
        <w:sz w:val="20"/>
      </w:rPr>
      <w:fldChar w:fldCharType="separate"/>
    </w:r>
    <w:r w:rsidR="00F1023B">
      <w:rPr>
        <w:bCs/>
        <w:noProof/>
        <w:sz w:val="20"/>
      </w:rPr>
      <w:t>13</w:t>
    </w:r>
    <w:r w:rsidRPr="00626828">
      <w:rPr>
        <w:bCs/>
        <w:sz w:val="20"/>
      </w:rPr>
      <w:fldChar w:fldCharType="end"/>
    </w:r>
    <w:r w:rsidRPr="00626828">
      <w:rPr>
        <w:sz w:val="20"/>
        <w:lang w:val="cs-CZ"/>
      </w:rPr>
      <w:t xml:space="preserve"> z </w:t>
    </w:r>
    <w:r w:rsidRPr="00626828">
      <w:rPr>
        <w:bCs/>
        <w:sz w:val="20"/>
      </w:rPr>
      <w:fldChar w:fldCharType="begin"/>
    </w:r>
    <w:r w:rsidRPr="00626828">
      <w:rPr>
        <w:bCs/>
        <w:sz w:val="20"/>
      </w:rPr>
      <w:instrText>NUMPAGES</w:instrText>
    </w:r>
    <w:r w:rsidRPr="00626828">
      <w:rPr>
        <w:bCs/>
        <w:sz w:val="20"/>
      </w:rPr>
      <w:fldChar w:fldCharType="separate"/>
    </w:r>
    <w:r w:rsidR="00F1023B">
      <w:rPr>
        <w:bCs/>
        <w:noProof/>
        <w:sz w:val="20"/>
      </w:rPr>
      <w:t>13</w:t>
    </w:r>
    <w:r w:rsidRPr="00626828">
      <w:rPr>
        <w:bCs/>
        <w:sz w:val="20"/>
      </w:rPr>
      <w:fldChar w:fldCharType="end"/>
    </w:r>
  </w:p>
  <w:p w14:paraId="23CC11D2" w14:textId="77777777" w:rsidR="008F423C" w:rsidRDefault="008F423C" w:rsidP="00BD667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B44DE" w14:textId="77777777" w:rsidR="00340077" w:rsidRDefault="00340077" w:rsidP="002B7A84">
      <w:r>
        <w:separator/>
      </w:r>
    </w:p>
  </w:footnote>
  <w:footnote w:type="continuationSeparator" w:id="0">
    <w:p w14:paraId="2AD944D6" w14:textId="77777777" w:rsidR="00340077" w:rsidRDefault="00340077" w:rsidP="002B7A84">
      <w:r>
        <w:continuationSeparator/>
      </w:r>
    </w:p>
  </w:footnote>
  <w:footnote w:type="continuationNotice" w:id="1">
    <w:p w14:paraId="6B801B8D" w14:textId="77777777" w:rsidR="00340077" w:rsidRDefault="003400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D2198" w14:textId="77777777" w:rsidR="00F1023B" w:rsidRDefault="00F102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4C19E" w14:textId="77777777" w:rsidR="008F423C" w:rsidRPr="0003607D" w:rsidRDefault="008F423C" w:rsidP="00626828">
    <w:pPr>
      <w:pStyle w:val="Zhlav"/>
      <w:tabs>
        <w:tab w:val="clear" w:pos="4536"/>
      </w:tabs>
      <w:rPr>
        <w:lang w:val="cs-CZ"/>
      </w:rPr>
    </w:pPr>
    <w:r>
      <w:rPr>
        <w:sz w:val="20"/>
        <w:lang w:val="cs-CZ"/>
      </w:rPr>
      <w:tab/>
      <w:t xml:space="preserve">SML2017HCS0010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E3D12" w14:textId="77777777" w:rsidR="00F1023B" w:rsidRDefault="00F1023B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1A381" w14:textId="77777777" w:rsidR="008F423C" w:rsidRPr="0003607D" w:rsidRDefault="008F423C" w:rsidP="00626828">
    <w:pPr>
      <w:pStyle w:val="Zhlav"/>
      <w:tabs>
        <w:tab w:val="clear" w:pos="4536"/>
      </w:tabs>
      <w:rPr>
        <w:lang w:val="cs-CZ"/>
      </w:rPr>
    </w:pPr>
    <w:r>
      <w:rPr>
        <w:sz w:val="20"/>
        <w:lang w:val="cs-CZ"/>
      </w:rPr>
      <w:tab/>
      <w:t xml:space="preserve">SML2017HCS0010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14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9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3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51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9520" w:hanging="1800"/>
      </w:pPr>
    </w:lvl>
  </w:abstractNum>
  <w:abstractNum w:abstractNumId="2" w15:restartNumberingAfterBreak="0">
    <w:nsid w:val="01956305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" w15:restartNumberingAfterBreak="0">
    <w:nsid w:val="028263A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A43B3B"/>
    <w:multiLevelType w:val="hybridMultilevel"/>
    <w:tmpl w:val="110C5A46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A16B1C"/>
    <w:multiLevelType w:val="hybridMultilevel"/>
    <w:tmpl w:val="5C7A3E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BD6821"/>
    <w:multiLevelType w:val="multilevel"/>
    <w:tmpl w:val="EF622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337AB6"/>
    <w:multiLevelType w:val="multilevel"/>
    <w:tmpl w:val="ED3CBE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B114C9"/>
    <w:multiLevelType w:val="hybridMultilevel"/>
    <w:tmpl w:val="4C18C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B2B15"/>
    <w:multiLevelType w:val="multilevel"/>
    <w:tmpl w:val="6ED43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F76B28"/>
    <w:multiLevelType w:val="multilevel"/>
    <w:tmpl w:val="7C16EB66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6315419"/>
    <w:multiLevelType w:val="multilevel"/>
    <w:tmpl w:val="D11A5EFC"/>
    <w:lvl w:ilvl="0">
      <w:start w:val="1"/>
      <w:numFmt w:val="decimal"/>
      <w:pStyle w:val="lnekslo"/>
      <w:suff w:val="space"/>
      <w:lvlText w:val="Čl. %1."/>
      <w:lvlJc w:val="left"/>
      <w:pPr>
        <w:ind w:left="4396" w:hanging="284"/>
      </w:pPr>
      <w:rPr>
        <w:rFonts w:ascii="Arial" w:hAnsi="Arial" w:hint="default"/>
        <w:b/>
        <w:i w:val="0"/>
        <w:sz w:val="20"/>
        <w:szCs w:val="18"/>
      </w:rPr>
    </w:lvl>
    <w:lvl w:ilvl="1">
      <w:start w:val="1"/>
      <w:numFmt w:val="decimal"/>
      <w:pStyle w:val="Cisodst1"/>
      <w:lvlText w:val="%2."/>
      <w:lvlJc w:val="left"/>
      <w:pPr>
        <w:tabs>
          <w:tab w:val="num" w:pos="-27568"/>
        </w:tabs>
        <w:ind w:left="4396" w:hanging="284"/>
      </w:pPr>
      <w:rPr>
        <w:rFonts w:ascii="Arial" w:hAnsi="Arial" w:hint="default"/>
        <w:b w:val="0"/>
        <w:i w:val="0"/>
        <w:sz w:val="18"/>
        <w:szCs w:val="20"/>
      </w:rPr>
    </w:lvl>
    <w:lvl w:ilvl="2">
      <w:start w:val="1"/>
      <w:numFmt w:val="lowerLetter"/>
      <w:pStyle w:val="Cislovanyodstaveca"/>
      <w:lvlText w:val="%3)"/>
      <w:lvlJc w:val="left"/>
      <w:pPr>
        <w:tabs>
          <w:tab w:val="num" w:pos="4679"/>
        </w:tabs>
        <w:ind w:left="4679" w:hanging="283"/>
      </w:pPr>
      <w:rPr>
        <w:rFonts w:ascii="Arial" w:hAnsi="Arial" w:hint="default"/>
        <w:b w:val="0"/>
        <w:i w:val="0"/>
        <w:sz w:val="18"/>
        <w:szCs w:val="18"/>
      </w:rPr>
    </w:lvl>
    <w:lvl w:ilvl="3">
      <w:start w:val="1"/>
      <w:numFmt w:val="none"/>
      <w:lvlText w:val="(%4)"/>
      <w:lvlJc w:val="left"/>
      <w:pPr>
        <w:tabs>
          <w:tab w:val="num" w:pos="5552"/>
        </w:tabs>
        <w:ind w:left="5552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5912"/>
        </w:tabs>
        <w:ind w:left="5912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6272"/>
        </w:tabs>
        <w:ind w:left="6272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6632"/>
        </w:tabs>
        <w:ind w:left="6632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6992"/>
        </w:tabs>
        <w:ind w:left="6992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7352"/>
        </w:tabs>
        <w:ind w:left="7352" w:hanging="360"/>
      </w:pPr>
      <w:rPr>
        <w:rFonts w:hint="default"/>
      </w:rPr>
    </w:lvl>
  </w:abstractNum>
  <w:abstractNum w:abstractNumId="12" w15:restartNumberingAfterBreak="0">
    <w:nsid w:val="2CC777CE"/>
    <w:multiLevelType w:val="hybridMultilevel"/>
    <w:tmpl w:val="659EDCD2"/>
    <w:lvl w:ilvl="0" w:tplc="DCF42A0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2DCD607B"/>
    <w:multiLevelType w:val="hybridMultilevel"/>
    <w:tmpl w:val="9E140800"/>
    <w:lvl w:ilvl="0" w:tplc="10640E66">
      <w:start w:val="1"/>
      <w:numFmt w:val="decimal"/>
      <w:lvlText w:val="%1."/>
      <w:lvlJc w:val="left"/>
      <w:pPr>
        <w:ind w:left="405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772" w:hanging="360"/>
      </w:pPr>
    </w:lvl>
    <w:lvl w:ilvl="2" w:tplc="1BB431A2">
      <w:start w:val="1"/>
      <w:numFmt w:val="decimal"/>
      <w:lvlText w:val="%3)"/>
      <w:lvlJc w:val="left"/>
      <w:pPr>
        <w:ind w:left="5672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6212" w:hanging="360"/>
      </w:pPr>
    </w:lvl>
    <w:lvl w:ilvl="4" w:tplc="04050019" w:tentative="1">
      <w:start w:val="1"/>
      <w:numFmt w:val="lowerLetter"/>
      <w:lvlText w:val="%5."/>
      <w:lvlJc w:val="left"/>
      <w:pPr>
        <w:ind w:left="6932" w:hanging="360"/>
      </w:pPr>
    </w:lvl>
    <w:lvl w:ilvl="5" w:tplc="0405001B" w:tentative="1">
      <w:start w:val="1"/>
      <w:numFmt w:val="lowerRoman"/>
      <w:lvlText w:val="%6."/>
      <w:lvlJc w:val="right"/>
      <w:pPr>
        <w:ind w:left="7652" w:hanging="180"/>
      </w:pPr>
    </w:lvl>
    <w:lvl w:ilvl="6" w:tplc="0405000F" w:tentative="1">
      <w:start w:val="1"/>
      <w:numFmt w:val="decimal"/>
      <w:lvlText w:val="%7."/>
      <w:lvlJc w:val="left"/>
      <w:pPr>
        <w:ind w:left="8372" w:hanging="360"/>
      </w:pPr>
    </w:lvl>
    <w:lvl w:ilvl="7" w:tplc="04050019" w:tentative="1">
      <w:start w:val="1"/>
      <w:numFmt w:val="lowerLetter"/>
      <w:lvlText w:val="%8."/>
      <w:lvlJc w:val="left"/>
      <w:pPr>
        <w:ind w:left="9092" w:hanging="360"/>
      </w:pPr>
    </w:lvl>
    <w:lvl w:ilvl="8" w:tplc="0405001B" w:tentative="1">
      <w:start w:val="1"/>
      <w:numFmt w:val="lowerRoman"/>
      <w:lvlText w:val="%9."/>
      <w:lvlJc w:val="right"/>
      <w:pPr>
        <w:ind w:left="9812" w:hanging="180"/>
      </w:pPr>
    </w:lvl>
  </w:abstractNum>
  <w:abstractNum w:abstractNumId="14" w15:restartNumberingAfterBreak="0">
    <w:nsid w:val="387A5C33"/>
    <w:multiLevelType w:val="multilevel"/>
    <w:tmpl w:val="0CB25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9315EE0"/>
    <w:multiLevelType w:val="multilevel"/>
    <w:tmpl w:val="277C17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9A77917"/>
    <w:multiLevelType w:val="multilevel"/>
    <w:tmpl w:val="2870B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2C65C70"/>
    <w:multiLevelType w:val="multilevel"/>
    <w:tmpl w:val="0CB25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5A360F"/>
    <w:multiLevelType w:val="hybridMultilevel"/>
    <w:tmpl w:val="5D68F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9127B"/>
    <w:multiLevelType w:val="multilevel"/>
    <w:tmpl w:val="05BC4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4B3B1A"/>
    <w:multiLevelType w:val="multilevel"/>
    <w:tmpl w:val="ED3CBE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85914AD"/>
    <w:multiLevelType w:val="multilevel"/>
    <w:tmpl w:val="ED3CBE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8BC7A03"/>
    <w:multiLevelType w:val="multilevel"/>
    <w:tmpl w:val="4BEE4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firstLine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3DA6DE7"/>
    <w:multiLevelType w:val="hybridMultilevel"/>
    <w:tmpl w:val="25488A9C"/>
    <w:lvl w:ilvl="0" w:tplc="D7FC8D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05212"/>
    <w:multiLevelType w:val="multilevel"/>
    <w:tmpl w:val="C88066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A31022E"/>
    <w:multiLevelType w:val="hybridMultilevel"/>
    <w:tmpl w:val="A62ED9B8"/>
    <w:lvl w:ilvl="0" w:tplc="7F624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41376D"/>
    <w:multiLevelType w:val="multilevel"/>
    <w:tmpl w:val="FC5867D2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C6F0AF4"/>
    <w:multiLevelType w:val="multilevel"/>
    <w:tmpl w:val="B2308B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25"/>
  </w:num>
  <w:num w:numId="5">
    <w:abstractNumId w:val="24"/>
  </w:num>
  <w:num w:numId="6">
    <w:abstractNumId w:val="16"/>
  </w:num>
  <w:num w:numId="7">
    <w:abstractNumId w:val="23"/>
  </w:num>
  <w:num w:numId="8">
    <w:abstractNumId w:val="6"/>
  </w:num>
  <w:num w:numId="9">
    <w:abstractNumId w:val="4"/>
  </w:num>
  <w:num w:numId="10">
    <w:abstractNumId w:val="19"/>
  </w:num>
  <w:num w:numId="11">
    <w:abstractNumId w:val="14"/>
  </w:num>
  <w:num w:numId="12">
    <w:abstractNumId w:val="9"/>
  </w:num>
  <w:num w:numId="13">
    <w:abstractNumId w:val="10"/>
  </w:num>
  <w:num w:numId="14">
    <w:abstractNumId w:val="18"/>
  </w:num>
  <w:num w:numId="15">
    <w:abstractNumId w:val="15"/>
  </w:num>
  <w:num w:numId="16">
    <w:abstractNumId w:val="26"/>
  </w:num>
  <w:num w:numId="17">
    <w:abstractNumId w:val="22"/>
  </w:num>
  <w:num w:numId="18">
    <w:abstractNumId w:val="21"/>
  </w:num>
  <w:num w:numId="19">
    <w:abstractNumId w:val="20"/>
  </w:num>
  <w:num w:numId="20">
    <w:abstractNumId w:val="7"/>
  </w:num>
  <w:num w:numId="21">
    <w:abstractNumId w:val="3"/>
  </w:num>
  <w:num w:numId="22">
    <w:abstractNumId w:val="27"/>
  </w:num>
  <w:num w:numId="23">
    <w:abstractNumId w:val="12"/>
  </w:num>
  <w:num w:numId="24">
    <w:abstractNumId w:val="8"/>
  </w:num>
  <w:num w:numId="25">
    <w:abstractNumId w:val="17"/>
  </w:num>
  <w:num w:numId="2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B1"/>
    <w:rsid w:val="000019D6"/>
    <w:rsid w:val="00002645"/>
    <w:rsid w:val="000026C4"/>
    <w:rsid w:val="00007B4F"/>
    <w:rsid w:val="0001066F"/>
    <w:rsid w:val="00011225"/>
    <w:rsid w:val="00012403"/>
    <w:rsid w:val="00012EBB"/>
    <w:rsid w:val="00014673"/>
    <w:rsid w:val="000161C7"/>
    <w:rsid w:val="00017721"/>
    <w:rsid w:val="00022F20"/>
    <w:rsid w:val="00032EB3"/>
    <w:rsid w:val="0003425B"/>
    <w:rsid w:val="00035295"/>
    <w:rsid w:val="000356BE"/>
    <w:rsid w:val="00035D4F"/>
    <w:rsid w:val="0003607D"/>
    <w:rsid w:val="00036E0F"/>
    <w:rsid w:val="0003715F"/>
    <w:rsid w:val="0004420E"/>
    <w:rsid w:val="0004599D"/>
    <w:rsid w:val="00050FF4"/>
    <w:rsid w:val="00053570"/>
    <w:rsid w:val="000606AA"/>
    <w:rsid w:val="000615B0"/>
    <w:rsid w:val="00061F0F"/>
    <w:rsid w:val="00062F1F"/>
    <w:rsid w:val="00066751"/>
    <w:rsid w:val="00071C14"/>
    <w:rsid w:val="00075BC0"/>
    <w:rsid w:val="00076E1B"/>
    <w:rsid w:val="00077C69"/>
    <w:rsid w:val="000804A9"/>
    <w:rsid w:val="00082506"/>
    <w:rsid w:val="00082C27"/>
    <w:rsid w:val="00082CC2"/>
    <w:rsid w:val="00083890"/>
    <w:rsid w:val="00085A70"/>
    <w:rsid w:val="000909B9"/>
    <w:rsid w:val="0009224E"/>
    <w:rsid w:val="00094B72"/>
    <w:rsid w:val="000A0026"/>
    <w:rsid w:val="000A1B06"/>
    <w:rsid w:val="000A375D"/>
    <w:rsid w:val="000A3E8D"/>
    <w:rsid w:val="000A5264"/>
    <w:rsid w:val="000A6F7B"/>
    <w:rsid w:val="000A7B02"/>
    <w:rsid w:val="000B0909"/>
    <w:rsid w:val="000B5885"/>
    <w:rsid w:val="000C2040"/>
    <w:rsid w:val="000C6640"/>
    <w:rsid w:val="000C7D3C"/>
    <w:rsid w:val="000D1A8F"/>
    <w:rsid w:val="000D695A"/>
    <w:rsid w:val="000D6A48"/>
    <w:rsid w:val="000D71E5"/>
    <w:rsid w:val="000E171B"/>
    <w:rsid w:val="000E7A28"/>
    <w:rsid w:val="000F0378"/>
    <w:rsid w:val="000F126D"/>
    <w:rsid w:val="000F1AF8"/>
    <w:rsid w:val="000F2BBC"/>
    <w:rsid w:val="000F4BED"/>
    <w:rsid w:val="000F7713"/>
    <w:rsid w:val="00102191"/>
    <w:rsid w:val="00107DC7"/>
    <w:rsid w:val="001100C9"/>
    <w:rsid w:val="001116AF"/>
    <w:rsid w:val="0011618B"/>
    <w:rsid w:val="00120318"/>
    <w:rsid w:val="00124C25"/>
    <w:rsid w:val="001309FA"/>
    <w:rsid w:val="00131E89"/>
    <w:rsid w:val="00136BEB"/>
    <w:rsid w:val="001436E1"/>
    <w:rsid w:val="0015354E"/>
    <w:rsid w:val="00156918"/>
    <w:rsid w:val="00167093"/>
    <w:rsid w:val="00167377"/>
    <w:rsid w:val="00167ADB"/>
    <w:rsid w:val="00170CFD"/>
    <w:rsid w:val="0018339E"/>
    <w:rsid w:val="00194019"/>
    <w:rsid w:val="001978D9"/>
    <w:rsid w:val="001A0235"/>
    <w:rsid w:val="001A1A5C"/>
    <w:rsid w:val="001A2649"/>
    <w:rsid w:val="001A37D3"/>
    <w:rsid w:val="001C2D0D"/>
    <w:rsid w:val="001C3F2B"/>
    <w:rsid w:val="001C57BD"/>
    <w:rsid w:val="001C63AE"/>
    <w:rsid w:val="001C75F5"/>
    <w:rsid w:val="001D12C2"/>
    <w:rsid w:val="001D17B8"/>
    <w:rsid w:val="001D213E"/>
    <w:rsid w:val="001D305C"/>
    <w:rsid w:val="001D5810"/>
    <w:rsid w:val="001E135A"/>
    <w:rsid w:val="001E27A1"/>
    <w:rsid w:val="001E4626"/>
    <w:rsid w:val="001E55EC"/>
    <w:rsid w:val="001E714E"/>
    <w:rsid w:val="001F53C7"/>
    <w:rsid w:val="001F5A97"/>
    <w:rsid w:val="002057D4"/>
    <w:rsid w:val="00212468"/>
    <w:rsid w:val="00214686"/>
    <w:rsid w:val="00216F10"/>
    <w:rsid w:val="00220EDD"/>
    <w:rsid w:val="002227A8"/>
    <w:rsid w:val="0022482E"/>
    <w:rsid w:val="002255EC"/>
    <w:rsid w:val="00226178"/>
    <w:rsid w:val="00226A84"/>
    <w:rsid w:val="00230395"/>
    <w:rsid w:val="00231E8C"/>
    <w:rsid w:val="002352F4"/>
    <w:rsid w:val="002422C1"/>
    <w:rsid w:val="002439F9"/>
    <w:rsid w:val="002515A5"/>
    <w:rsid w:val="0025406A"/>
    <w:rsid w:val="00254F89"/>
    <w:rsid w:val="00257354"/>
    <w:rsid w:val="002577C5"/>
    <w:rsid w:val="00260160"/>
    <w:rsid w:val="00264ABA"/>
    <w:rsid w:val="00265FDB"/>
    <w:rsid w:val="00270188"/>
    <w:rsid w:val="002730D5"/>
    <w:rsid w:val="0027477A"/>
    <w:rsid w:val="00280CC9"/>
    <w:rsid w:val="002810AF"/>
    <w:rsid w:val="00284CBB"/>
    <w:rsid w:val="00287C8E"/>
    <w:rsid w:val="00295F00"/>
    <w:rsid w:val="002A0CC7"/>
    <w:rsid w:val="002A0FB4"/>
    <w:rsid w:val="002A1484"/>
    <w:rsid w:val="002B075A"/>
    <w:rsid w:val="002B157D"/>
    <w:rsid w:val="002B3131"/>
    <w:rsid w:val="002B5290"/>
    <w:rsid w:val="002B5724"/>
    <w:rsid w:val="002B7A84"/>
    <w:rsid w:val="002B7BCC"/>
    <w:rsid w:val="002C101D"/>
    <w:rsid w:val="002C1837"/>
    <w:rsid w:val="002D221F"/>
    <w:rsid w:val="002D3A4C"/>
    <w:rsid w:val="002D3EF2"/>
    <w:rsid w:val="002D6822"/>
    <w:rsid w:val="002D731C"/>
    <w:rsid w:val="002E0692"/>
    <w:rsid w:val="002E5183"/>
    <w:rsid w:val="002E709D"/>
    <w:rsid w:val="002E7B5E"/>
    <w:rsid w:val="002F1A0E"/>
    <w:rsid w:val="002F1AEC"/>
    <w:rsid w:val="002F29EB"/>
    <w:rsid w:val="002F3E52"/>
    <w:rsid w:val="002F3EAC"/>
    <w:rsid w:val="002F41E6"/>
    <w:rsid w:val="002F6850"/>
    <w:rsid w:val="003027F5"/>
    <w:rsid w:val="00310EBF"/>
    <w:rsid w:val="00311D87"/>
    <w:rsid w:val="00312994"/>
    <w:rsid w:val="00312C7B"/>
    <w:rsid w:val="003144A5"/>
    <w:rsid w:val="003207CE"/>
    <w:rsid w:val="003220C3"/>
    <w:rsid w:val="00333A6A"/>
    <w:rsid w:val="00333F4D"/>
    <w:rsid w:val="00335C26"/>
    <w:rsid w:val="00337E6E"/>
    <w:rsid w:val="00340077"/>
    <w:rsid w:val="00341460"/>
    <w:rsid w:val="003459CC"/>
    <w:rsid w:val="00350A9A"/>
    <w:rsid w:val="00354696"/>
    <w:rsid w:val="003619CE"/>
    <w:rsid w:val="00362DB7"/>
    <w:rsid w:val="003645D5"/>
    <w:rsid w:val="0037594C"/>
    <w:rsid w:val="00382701"/>
    <w:rsid w:val="00383C2A"/>
    <w:rsid w:val="00384FCC"/>
    <w:rsid w:val="0039124F"/>
    <w:rsid w:val="00391F71"/>
    <w:rsid w:val="00393374"/>
    <w:rsid w:val="00396DD2"/>
    <w:rsid w:val="003A473B"/>
    <w:rsid w:val="003A71BD"/>
    <w:rsid w:val="003B0641"/>
    <w:rsid w:val="003B07FA"/>
    <w:rsid w:val="003B09E1"/>
    <w:rsid w:val="003B4AD0"/>
    <w:rsid w:val="003B768A"/>
    <w:rsid w:val="003C3B67"/>
    <w:rsid w:val="003C5D6E"/>
    <w:rsid w:val="003D68BD"/>
    <w:rsid w:val="003E067B"/>
    <w:rsid w:val="003E0DB7"/>
    <w:rsid w:val="003E2CE9"/>
    <w:rsid w:val="003E5150"/>
    <w:rsid w:val="003E55C8"/>
    <w:rsid w:val="003E74D8"/>
    <w:rsid w:val="003F11F7"/>
    <w:rsid w:val="003F123F"/>
    <w:rsid w:val="003F33CB"/>
    <w:rsid w:val="003F488D"/>
    <w:rsid w:val="003F59DA"/>
    <w:rsid w:val="0040245F"/>
    <w:rsid w:val="00410E63"/>
    <w:rsid w:val="004122DD"/>
    <w:rsid w:val="004125B0"/>
    <w:rsid w:val="00412EC2"/>
    <w:rsid w:val="004177AC"/>
    <w:rsid w:val="00421E56"/>
    <w:rsid w:val="0042251A"/>
    <w:rsid w:val="0043142E"/>
    <w:rsid w:val="004327C0"/>
    <w:rsid w:val="0045044E"/>
    <w:rsid w:val="004558CD"/>
    <w:rsid w:val="004635FA"/>
    <w:rsid w:val="004647D4"/>
    <w:rsid w:val="004702C2"/>
    <w:rsid w:val="00471317"/>
    <w:rsid w:val="00473205"/>
    <w:rsid w:val="004744FD"/>
    <w:rsid w:val="00477FE5"/>
    <w:rsid w:val="00484177"/>
    <w:rsid w:val="00486F40"/>
    <w:rsid w:val="00490A80"/>
    <w:rsid w:val="004A288E"/>
    <w:rsid w:val="004A2B5B"/>
    <w:rsid w:val="004A55D0"/>
    <w:rsid w:val="004B0356"/>
    <w:rsid w:val="004B263E"/>
    <w:rsid w:val="004B4A25"/>
    <w:rsid w:val="004C1AE3"/>
    <w:rsid w:val="004C62E8"/>
    <w:rsid w:val="004C7159"/>
    <w:rsid w:val="004C7A4A"/>
    <w:rsid w:val="004C7B18"/>
    <w:rsid w:val="004D1AD4"/>
    <w:rsid w:val="004D2AB0"/>
    <w:rsid w:val="004D2C6A"/>
    <w:rsid w:val="004D3B72"/>
    <w:rsid w:val="004E0EB9"/>
    <w:rsid w:val="004E12F0"/>
    <w:rsid w:val="004E1632"/>
    <w:rsid w:val="004E3A36"/>
    <w:rsid w:val="004F0989"/>
    <w:rsid w:val="004F267C"/>
    <w:rsid w:val="004F46B9"/>
    <w:rsid w:val="0050122D"/>
    <w:rsid w:val="00512426"/>
    <w:rsid w:val="00515E3B"/>
    <w:rsid w:val="00516751"/>
    <w:rsid w:val="005177D6"/>
    <w:rsid w:val="00520ACC"/>
    <w:rsid w:val="00525733"/>
    <w:rsid w:val="00526DA2"/>
    <w:rsid w:val="005331CF"/>
    <w:rsid w:val="00537921"/>
    <w:rsid w:val="00540954"/>
    <w:rsid w:val="005416D8"/>
    <w:rsid w:val="00541730"/>
    <w:rsid w:val="00542E1C"/>
    <w:rsid w:val="0054486B"/>
    <w:rsid w:val="00553C9E"/>
    <w:rsid w:val="00554B0F"/>
    <w:rsid w:val="005558F4"/>
    <w:rsid w:val="005564A0"/>
    <w:rsid w:val="00560B12"/>
    <w:rsid w:val="00563BCD"/>
    <w:rsid w:val="00564EC1"/>
    <w:rsid w:val="00582E79"/>
    <w:rsid w:val="00583972"/>
    <w:rsid w:val="00587BE8"/>
    <w:rsid w:val="00587E17"/>
    <w:rsid w:val="00590E2E"/>
    <w:rsid w:val="00592624"/>
    <w:rsid w:val="005A5326"/>
    <w:rsid w:val="005A570D"/>
    <w:rsid w:val="005B2512"/>
    <w:rsid w:val="005C1CE3"/>
    <w:rsid w:val="005C270D"/>
    <w:rsid w:val="005C2FAB"/>
    <w:rsid w:val="005C3281"/>
    <w:rsid w:val="005C42B0"/>
    <w:rsid w:val="005D0D5E"/>
    <w:rsid w:val="005D1FB8"/>
    <w:rsid w:val="005D3F3A"/>
    <w:rsid w:val="005D482F"/>
    <w:rsid w:val="005D67B9"/>
    <w:rsid w:val="005D7080"/>
    <w:rsid w:val="005E2BC6"/>
    <w:rsid w:val="005E49E7"/>
    <w:rsid w:val="005E7BB3"/>
    <w:rsid w:val="005F1205"/>
    <w:rsid w:val="005F218D"/>
    <w:rsid w:val="005F2B82"/>
    <w:rsid w:val="005F3DED"/>
    <w:rsid w:val="005F715A"/>
    <w:rsid w:val="005F796D"/>
    <w:rsid w:val="006026A5"/>
    <w:rsid w:val="006117A9"/>
    <w:rsid w:val="00615A65"/>
    <w:rsid w:val="00616AEC"/>
    <w:rsid w:val="0061785C"/>
    <w:rsid w:val="006205FC"/>
    <w:rsid w:val="00621C03"/>
    <w:rsid w:val="006265B1"/>
    <w:rsid w:val="00626828"/>
    <w:rsid w:val="00631916"/>
    <w:rsid w:val="0063578A"/>
    <w:rsid w:val="006377E1"/>
    <w:rsid w:val="006406A9"/>
    <w:rsid w:val="00640CB3"/>
    <w:rsid w:val="006415D2"/>
    <w:rsid w:val="00642109"/>
    <w:rsid w:val="006424BB"/>
    <w:rsid w:val="00647212"/>
    <w:rsid w:val="00652E49"/>
    <w:rsid w:val="006531CE"/>
    <w:rsid w:val="00655EBA"/>
    <w:rsid w:val="00656B15"/>
    <w:rsid w:val="006571B5"/>
    <w:rsid w:val="00660237"/>
    <w:rsid w:val="00660726"/>
    <w:rsid w:val="00665081"/>
    <w:rsid w:val="00667BB8"/>
    <w:rsid w:val="006722A3"/>
    <w:rsid w:val="006757ED"/>
    <w:rsid w:val="00677C01"/>
    <w:rsid w:val="006833C4"/>
    <w:rsid w:val="00690494"/>
    <w:rsid w:val="006A26A5"/>
    <w:rsid w:val="006A715C"/>
    <w:rsid w:val="006B081B"/>
    <w:rsid w:val="006B5DF2"/>
    <w:rsid w:val="006B743D"/>
    <w:rsid w:val="006C2296"/>
    <w:rsid w:val="006C39B4"/>
    <w:rsid w:val="006C4C54"/>
    <w:rsid w:val="006C5529"/>
    <w:rsid w:val="006C6F6F"/>
    <w:rsid w:val="006D00CB"/>
    <w:rsid w:val="006D114F"/>
    <w:rsid w:val="006D1A68"/>
    <w:rsid w:val="006D5A6B"/>
    <w:rsid w:val="006F1BE9"/>
    <w:rsid w:val="006F518B"/>
    <w:rsid w:val="006F5CF4"/>
    <w:rsid w:val="006F7BFF"/>
    <w:rsid w:val="007117B2"/>
    <w:rsid w:val="00712A91"/>
    <w:rsid w:val="00712AD4"/>
    <w:rsid w:val="00712C95"/>
    <w:rsid w:val="007153AA"/>
    <w:rsid w:val="00720070"/>
    <w:rsid w:val="00721489"/>
    <w:rsid w:val="00723CFD"/>
    <w:rsid w:val="0073593E"/>
    <w:rsid w:val="00735FBF"/>
    <w:rsid w:val="00736C9E"/>
    <w:rsid w:val="00740213"/>
    <w:rsid w:val="00741014"/>
    <w:rsid w:val="00745F40"/>
    <w:rsid w:val="007467F5"/>
    <w:rsid w:val="00751EAD"/>
    <w:rsid w:val="00755F05"/>
    <w:rsid w:val="00757E1C"/>
    <w:rsid w:val="00760408"/>
    <w:rsid w:val="007611F5"/>
    <w:rsid w:val="00761287"/>
    <w:rsid w:val="00761425"/>
    <w:rsid w:val="007614EB"/>
    <w:rsid w:val="00761CFA"/>
    <w:rsid w:val="007662F2"/>
    <w:rsid w:val="00767599"/>
    <w:rsid w:val="00776DE8"/>
    <w:rsid w:val="007776D4"/>
    <w:rsid w:val="00782B7A"/>
    <w:rsid w:val="00782E11"/>
    <w:rsid w:val="00787804"/>
    <w:rsid w:val="007952A8"/>
    <w:rsid w:val="007965E8"/>
    <w:rsid w:val="00796AEB"/>
    <w:rsid w:val="007A4C6C"/>
    <w:rsid w:val="007A5323"/>
    <w:rsid w:val="007A7B32"/>
    <w:rsid w:val="007B2CED"/>
    <w:rsid w:val="007B34E7"/>
    <w:rsid w:val="007B7576"/>
    <w:rsid w:val="007C1230"/>
    <w:rsid w:val="007C2A45"/>
    <w:rsid w:val="007C3251"/>
    <w:rsid w:val="007D09B6"/>
    <w:rsid w:val="007D1335"/>
    <w:rsid w:val="007D1747"/>
    <w:rsid w:val="007D228F"/>
    <w:rsid w:val="007D25DF"/>
    <w:rsid w:val="007D3626"/>
    <w:rsid w:val="007D63B0"/>
    <w:rsid w:val="007E080E"/>
    <w:rsid w:val="007E1F6C"/>
    <w:rsid w:val="007E43C7"/>
    <w:rsid w:val="007E5720"/>
    <w:rsid w:val="007E748A"/>
    <w:rsid w:val="007F13E6"/>
    <w:rsid w:val="007F5626"/>
    <w:rsid w:val="007F5DF9"/>
    <w:rsid w:val="007F7D69"/>
    <w:rsid w:val="00805A07"/>
    <w:rsid w:val="00806031"/>
    <w:rsid w:val="0081154A"/>
    <w:rsid w:val="00813DFF"/>
    <w:rsid w:val="008252FD"/>
    <w:rsid w:val="00830A2E"/>
    <w:rsid w:val="0083155D"/>
    <w:rsid w:val="00833D04"/>
    <w:rsid w:val="00835C64"/>
    <w:rsid w:val="008376CD"/>
    <w:rsid w:val="00837B30"/>
    <w:rsid w:val="00843202"/>
    <w:rsid w:val="00847430"/>
    <w:rsid w:val="008514A7"/>
    <w:rsid w:val="00852FD6"/>
    <w:rsid w:val="0085466D"/>
    <w:rsid w:val="008546D3"/>
    <w:rsid w:val="0085742F"/>
    <w:rsid w:val="00857E4B"/>
    <w:rsid w:val="00860A72"/>
    <w:rsid w:val="00863BD1"/>
    <w:rsid w:val="008667C8"/>
    <w:rsid w:val="0087372E"/>
    <w:rsid w:val="008778B1"/>
    <w:rsid w:val="00882189"/>
    <w:rsid w:val="008849B1"/>
    <w:rsid w:val="00890613"/>
    <w:rsid w:val="00893EB2"/>
    <w:rsid w:val="008A222B"/>
    <w:rsid w:val="008A6C82"/>
    <w:rsid w:val="008A7BB9"/>
    <w:rsid w:val="008B062E"/>
    <w:rsid w:val="008B652A"/>
    <w:rsid w:val="008C31E6"/>
    <w:rsid w:val="008D01F1"/>
    <w:rsid w:val="008D0FF5"/>
    <w:rsid w:val="008D37F4"/>
    <w:rsid w:val="008D5633"/>
    <w:rsid w:val="008D7CF9"/>
    <w:rsid w:val="008E607E"/>
    <w:rsid w:val="008F0C10"/>
    <w:rsid w:val="008F423C"/>
    <w:rsid w:val="008F58AA"/>
    <w:rsid w:val="008F70BD"/>
    <w:rsid w:val="00904402"/>
    <w:rsid w:val="00904756"/>
    <w:rsid w:val="0090560D"/>
    <w:rsid w:val="00905D9D"/>
    <w:rsid w:val="00917B8B"/>
    <w:rsid w:val="00923DA6"/>
    <w:rsid w:val="00924618"/>
    <w:rsid w:val="009276D5"/>
    <w:rsid w:val="00927BC2"/>
    <w:rsid w:val="00930074"/>
    <w:rsid w:val="00932B1C"/>
    <w:rsid w:val="009346A5"/>
    <w:rsid w:val="00937FE3"/>
    <w:rsid w:val="00940DF8"/>
    <w:rsid w:val="00941C3C"/>
    <w:rsid w:val="0094204E"/>
    <w:rsid w:val="00942F95"/>
    <w:rsid w:val="0094352F"/>
    <w:rsid w:val="00943B57"/>
    <w:rsid w:val="00944888"/>
    <w:rsid w:val="00945F47"/>
    <w:rsid w:val="00950A38"/>
    <w:rsid w:val="00950CDE"/>
    <w:rsid w:val="00951AB4"/>
    <w:rsid w:val="00954A2F"/>
    <w:rsid w:val="009553C5"/>
    <w:rsid w:val="00956BF4"/>
    <w:rsid w:val="00960E70"/>
    <w:rsid w:val="00963D17"/>
    <w:rsid w:val="00965E32"/>
    <w:rsid w:val="0096607E"/>
    <w:rsid w:val="00967082"/>
    <w:rsid w:val="009672F8"/>
    <w:rsid w:val="00967DDC"/>
    <w:rsid w:val="00970275"/>
    <w:rsid w:val="009856B5"/>
    <w:rsid w:val="00987CF3"/>
    <w:rsid w:val="00991AAC"/>
    <w:rsid w:val="00993096"/>
    <w:rsid w:val="00993E02"/>
    <w:rsid w:val="00997525"/>
    <w:rsid w:val="009A155E"/>
    <w:rsid w:val="009A49D1"/>
    <w:rsid w:val="009B3EFA"/>
    <w:rsid w:val="009C0823"/>
    <w:rsid w:val="009C2912"/>
    <w:rsid w:val="009D2533"/>
    <w:rsid w:val="009D7723"/>
    <w:rsid w:val="009E34BB"/>
    <w:rsid w:val="009E3A4D"/>
    <w:rsid w:val="009E4D14"/>
    <w:rsid w:val="009E6C9C"/>
    <w:rsid w:val="009F20E5"/>
    <w:rsid w:val="009F4508"/>
    <w:rsid w:val="009F573C"/>
    <w:rsid w:val="00A0353F"/>
    <w:rsid w:val="00A05255"/>
    <w:rsid w:val="00A06221"/>
    <w:rsid w:val="00A072FD"/>
    <w:rsid w:val="00A112B6"/>
    <w:rsid w:val="00A1258F"/>
    <w:rsid w:val="00A12A04"/>
    <w:rsid w:val="00A132C0"/>
    <w:rsid w:val="00A136D9"/>
    <w:rsid w:val="00A16FEC"/>
    <w:rsid w:val="00A21D01"/>
    <w:rsid w:val="00A247EB"/>
    <w:rsid w:val="00A26040"/>
    <w:rsid w:val="00A26E22"/>
    <w:rsid w:val="00A31DED"/>
    <w:rsid w:val="00A37975"/>
    <w:rsid w:val="00A45D7C"/>
    <w:rsid w:val="00A476F4"/>
    <w:rsid w:val="00A527E8"/>
    <w:rsid w:val="00A55944"/>
    <w:rsid w:val="00A56938"/>
    <w:rsid w:val="00A61AF9"/>
    <w:rsid w:val="00A64430"/>
    <w:rsid w:val="00A672B9"/>
    <w:rsid w:val="00A82692"/>
    <w:rsid w:val="00A839F7"/>
    <w:rsid w:val="00A8596A"/>
    <w:rsid w:val="00A87104"/>
    <w:rsid w:val="00A904DD"/>
    <w:rsid w:val="00A905FE"/>
    <w:rsid w:val="00A91885"/>
    <w:rsid w:val="00A920F8"/>
    <w:rsid w:val="00A945F8"/>
    <w:rsid w:val="00AA21B5"/>
    <w:rsid w:val="00AA311A"/>
    <w:rsid w:val="00AA4DA2"/>
    <w:rsid w:val="00AA4DFB"/>
    <w:rsid w:val="00AA7138"/>
    <w:rsid w:val="00AA7B02"/>
    <w:rsid w:val="00AB0522"/>
    <w:rsid w:val="00AB17B0"/>
    <w:rsid w:val="00AB1C41"/>
    <w:rsid w:val="00AC48B8"/>
    <w:rsid w:val="00AC7E73"/>
    <w:rsid w:val="00AD05E8"/>
    <w:rsid w:val="00AD22F5"/>
    <w:rsid w:val="00AD3362"/>
    <w:rsid w:val="00AD3968"/>
    <w:rsid w:val="00AD58E4"/>
    <w:rsid w:val="00AD59B8"/>
    <w:rsid w:val="00AD7C42"/>
    <w:rsid w:val="00AE00A0"/>
    <w:rsid w:val="00AE0851"/>
    <w:rsid w:val="00AE42F3"/>
    <w:rsid w:val="00AE6B58"/>
    <w:rsid w:val="00AF334E"/>
    <w:rsid w:val="00AF3FC1"/>
    <w:rsid w:val="00AF4AB9"/>
    <w:rsid w:val="00B018A4"/>
    <w:rsid w:val="00B01AB0"/>
    <w:rsid w:val="00B02487"/>
    <w:rsid w:val="00B04216"/>
    <w:rsid w:val="00B049DB"/>
    <w:rsid w:val="00B04BC2"/>
    <w:rsid w:val="00B06138"/>
    <w:rsid w:val="00B07570"/>
    <w:rsid w:val="00B11F21"/>
    <w:rsid w:val="00B1460B"/>
    <w:rsid w:val="00B16801"/>
    <w:rsid w:val="00B220B3"/>
    <w:rsid w:val="00B23F4A"/>
    <w:rsid w:val="00B25CA7"/>
    <w:rsid w:val="00B2690E"/>
    <w:rsid w:val="00B322F7"/>
    <w:rsid w:val="00B3378B"/>
    <w:rsid w:val="00B36968"/>
    <w:rsid w:val="00B434FB"/>
    <w:rsid w:val="00B46102"/>
    <w:rsid w:val="00B53C21"/>
    <w:rsid w:val="00B57700"/>
    <w:rsid w:val="00B612BB"/>
    <w:rsid w:val="00B660BF"/>
    <w:rsid w:val="00B67BB8"/>
    <w:rsid w:val="00B71907"/>
    <w:rsid w:val="00B84FD3"/>
    <w:rsid w:val="00B85923"/>
    <w:rsid w:val="00B905DE"/>
    <w:rsid w:val="00B907E9"/>
    <w:rsid w:val="00B95CB0"/>
    <w:rsid w:val="00BA1C83"/>
    <w:rsid w:val="00BA7F74"/>
    <w:rsid w:val="00BB0554"/>
    <w:rsid w:val="00BB0FFD"/>
    <w:rsid w:val="00BB14A3"/>
    <w:rsid w:val="00BB2E0F"/>
    <w:rsid w:val="00BB32D0"/>
    <w:rsid w:val="00BB5B03"/>
    <w:rsid w:val="00BB6189"/>
    <w:rsid w:val="00BB6CAC"/>
    <w:rsid w:val="00BC0AA9"/>
    <w:rsid w:val="00BC191C"/>
    <w:rsid w:val="00BC1BB6"/>
    <w:rsid w:val="00BC329B"/>
    <w:rsid w:val="00BC3B26"/>
    <w:rsid w:val="00BC73C0"/>
    <w:rsid w:val="00BD05AD"/>
    <w:rsid w:val="00BD0D90"/>
    <w:rsid w:val="00BD1943"/>
    <w:rsid w:val="00BD4298"/>
    <w:rsid w:val="00BD6676"/>
    <w:rsid w:val="00BE1A19"/>
    <w:rsid w:val="00BE306B"/>
    <w:rsid w:val="00BE3934"/>
    <w:rsid w:val="00BE3AD7"/>
    <w:rsid w:val="00BE48A3"/>
    <w:rsid w:val="00BF07EF"/>
    <w:rsid w:val="00BF27F5"/>
    <w:rsid w:val="00BF4228"/>
    <w:rsid w:val="00C00496"/>
    <w:rsid w:val="00C022D1"/>
    <w:rsid w:val="00C05046"/>
    <w:rsid w:val="00C11027"/>
    <w:rsid w:val="00C111CB"/>
    <w:rsid w:val="00C12541"/>
    <w:rsid w:val="00C12B62"/>
    <w:rsid w:val="00C1326E"/>
    <w:rsid w:val="00C15FAE"/>
    <w:rsid w:val="00C24AE8"/>
    <w:rsid w:val="00C24E8F"/>
    <w:rsid w:val="00C339CE"/>
    <w:rsid w:val="00C37F87"/>
    <w:rsid w:val="00C40DE8"/>
    <w:rsid w:val="00C422FE"/>
    <w:rsid w:val="00C43C2A"/>
    <w:rsid w:val="00C44E78"/>
    <w:rsid w:val="00C45CB1"/>
    <w:rsid w:val="00C46F6A"/>
    <w:rsid w:val="00C4702D"/>
    <w:rsid w:val="00C507DD"/>
    <w:rsid w:val="00C53135"/>
    <w:rsid w:val="00C552BA"/>
    <w:rsid w:val="00C56237"/>
    <w:rsid w:val="00C616D3"/>
    <w:rsid w:val="00C62545"/>
    <w:rsid w:val="00C634E6"/>
    <w:rsid w:val="00C648DC"/>
    <w:rsid w:val="00C70939"/>
    <w:rsid w:val="00C70FE9"/>
    <w:rsid w:val="00C77DB7"/>
    <w:rsid w:val="00C82238"/>
    <w:rsid w:val="00C83190"/>
    <w:rsid w:val="00C86B91"/>
    <w:rsid w:val="00C87AED"/>
    <w:rsid w:val="00C90698"/>
    <w:rsid w:val="00C91185"/>
    <w:rsid w:val="00C9330B"/>
    <w:rsid w:val="00CA11C3"/>
    <w:rsid w:val="00CA147E"/>
    <w:rsid w:val="00CA32AE"/>
    <w:rsid w:val="00CA6919"/>
    <w:rsid w:val="00CB3D36"/>
    <w:rsid w:val="00CC0C6B"/>
    <w:rsid w:val="00CC1F95"/>
    <w:rsid w:val="00CC530F"/>
    <w:rsid w:val="00CD50CE"/>
    <w:rsid w:val="00CD7601"/>
    <w:rsid w:val="00CD7C6F"/>
    <w:rsid w:val="00CE14CF"/>
    <w:rsid w:val="00CE3B74"/>
    <w:rsid w:val="00CE51CF"/>
    <w:rsid w:val="00CE7643"/>
    <w:rsid w:val="00CE77C3"/>
    <w:rsid w:val="00CF5086"/>
    <w:rsid w:val="00CF7758"/>
    <w:rsid w:val="00D00614"/>
    <w:rsid w:val="00D032BA"/>
    <w:rsid w:val="00D04E4C"/>
    <w:rsid w:val="00D059A2"/>
    <w:rsid w:val="00D05C4A"/>
    <w:rsid w:val="00D06797"/>
    <w:rsid w:val="00D0778F"/>
    <w:rsid w:val="00D139C5"/>
    <w:rsid w:val="00D162AF"/>
    <w:rsid w:val="00D175FE"/>
    <w:rsid w:val="00D21C5B"/>
    <w:rsid w:val="00D270FD"/>
    <w:rsid w:val="00D30084"/>
    <w:rsid w:val="00D310A0"/>
    <w:rsid w:val="00D3370D"/>
    <w:rsid w:val="00D37384"/>
    <w:rsid w:val="00D40EDB"/>
    <w:rsid w:val="00D44094"/>
    <w:rsid w:val="00D45020"/>
    <w:rsid w:val="00D521C1"/>
    <w:rsid w:val="00D616D8"/>
    <w:rsid w:val="00D62184"/>
    <w:rsid w:val="00D6412F"/>
    <w:rsid w:val="00D6459E"/>
    <w:rsid w:val="00D66918"/>
    <w:rsid w:val="00D71AE8"/>
    <w:rsid w:val="00D74CC0"/>
    <w:rsid w:val="00D7682B"/>
    <w:rsid w:val="00D76F70"/>
    <w:rsid w:val="00D80AE1"/>
    <w:rsid w:val="00D84C84"/>
    <w:rsid w:val="00D87C53"/>
    <w:rsid w:val="00D900FC"/>
    <w:rsid w:val="00D91BB2"/>
    <w:rsid w:val="00D96838"/>
    <w:rsid w:val="00D968E2"/>
    <w:rsid w:val="00D97520"/>
    <w:rsid w:val="00D978AA"/>
    <w:rsid w:val="00D97991"/>
    <w:rsid w:val="00D97C65"/>
    <w:rsid w:val="00DA1A0E"/>
    <w:rsid w:val="00DA644F"/>
    <w:rsid w:val="00DB3D69"/>
    <w:rsid w:val="00DB5EA6"/>
    <w:rsid w:val="00DC0E3D"/>
    <w:rsid w:val="00DD0E30"/>
    <w:rsid w:val="00DD1274"/>
    <w:rsid w:val="00DD4702"/>
    <w:rsid w:val="00DD5BA0"/>
    <w:rsid w:val="00DD5D53"/>
    <w:rsid w:val="00DE4E96"/>
    <w:rsid w:val="00DF1E7C"/>
    <w:rsid w:val="00E052D9"/>
    <w:rsid w:val="00E10B14"/>
    <w:rsid w:val="00E12A96"/>
    <w:rsid w:val="00E13F51"/>
    <w:rsid w:val="00E14187"/>
    <w:rsid w:val="00E168C5"/>
    <w:rsid w:val="00E17969"/>
    <w:rsid w:val="00E17CC5"/>
    <w:rsid w:val="00E2107C"/>
    <w:rsid w:val="00E2207C"/>
    <w:rsid w:val="00E310E7"/>
    <w:rsid w:val="00E31D22"/>
    <w:rsid w:val="00E32E2E"/>
    <w:rsid w:val="00E365BA"/>
    <w:rsid w:val="00E377C8"/>
    <w:rsid w:val="00E37A15"/>
    <w:rsid w:val="00E436F6"/>
    <w:rsid w:val="00E437CC"/>
    <w:rsid w:val="00E43C13"/>
    <w:rsid w:val="00E43C7C"/>
    <w:rsid w:val="00E44AAB"/>
    <w:rsid w:val="00E51877"/>
    <w:rsid w:val="00E51ED5"/>
    <w:rsid w:val="00E522EF"/>
    <w:rsid w:val="00E53B5D"/>
    <w:rsid w:val="00E54650"/>
    <w:rsid w:val="00E55A67"/>
    <w:rsid w:val="00E56A26"/>
    <w:rsid w:val="00E57299"/>
    <w:rsid w:val="00E57F09"/>
    <w:rsid w:val="00E65B2C"/>
    <w:rsid w:val="00E729E7"/>
    <w:rsid w:val="00E72EA1"/>
    <w:rsid w:val="00E772CA"/>
    <w:rsid w:val="00E836C1"/>
    <w:rsid w:val="00E84A31"/>
    <w:rsid w:val="00E864CD"/>
    <w:rsid w:val="00E87511"/>
    <w:rsid w:val="00E87D7B"/>
    <w:rsid w:val="00E90BB1"/>
    <w:rsid w:val="00E91F67"/>
    <w:rsid w:val="00E92B93"/>
    <w:rsid w:val="00E92D48"/>
    <w:rsid w:val="00E94060"/>
    <w:rsid w:val="00E94F4E"/>
    <w:rsid w:val="00E95E89"/>
    <w:rsid w:val="00E963DA"/>
    <w:rsid w:val="00EA1C3C"/>
    <w:rsid w:val="00EA1C4C"/>
    <w:rsid w:val="00EA5372"/>
    <w:rsid w:val="00EA5647"/>
    <w:rsid w:val="00EA6C37"/>
    <w:rsid w:val="00EB1DC6"/>
    <w:rsid w:val="00EB483F"/>
    <w:rsid w:val="00EB5053"/>
    <w:rsid w:val="00EB5EC5"/>
    <w:rsid w:val="00EB7F7F"/>
    <w:rsid w:val="00EC1922"/>
    <w:rsid w:val="00EC2C58"/>
    <w:rsid w:val="00EC45CB"/>
    <w:rsid w:val="00EC4AD8"/>
    <w:rsid w:val="00EC6AEE"/>
    <w:rsid w:val="00EC76ED"/>
    <w:rsid w:val="00ED0155"/>
    <w:rsid w:val="00ED1F2D"/>
    <w:rsid w:val="00ED3B44"/>
    <w:rsid w:val="00ED7061"/>
    <w:rsid w:val="00EE65BB"/>
    <w:rsid w:val="00EE6BCE"/>
    <w:rsid w:val="00EF44A7"/>
    <w:rsid w:val="00EF49A4"/>
    <w:rsid w:val="00F077C7"/>
    <w:rsid w:val="00F1023B"/>
    <w:rsid w:val="00F12CA3"/>
    <w:rsid w:val="00F2258F"/>
    <w:rsid w:val="00F22C81"/>
    <w:rsid w:val="00F27643"/>
    <w:rsid w:val="00F37A20"/>
    <w:rsid w:val="00F44989"/>
    <w:rsid w:val="00F457CD"/>
    <w:rsid w:val="00F46BBA"/>
    <w:rsid w:val="00F475D8"/>
    <w:rsid w:val="00F5516F"/>
    <w:rsid w:val="00F606BB"/>
    <w:rsid w:val="00F70E7F"/>
    <w:rsid w:val="00F7109C"/>
    <w:rsid w:val="00F82D08"/>
    <w:rsid w:val="00F86041"/>
    <w:rsid w:val="00F90723"/>
    <w:rsid w:val="00F92244"/>
    <w:rsid w:val="00F953AC"/>
    <w:rsid w:val="00FA3370"/>
    <w:rsid w:val="00FA33F3"/>
    <w:rsid w:val="00FA6F7D"/>
    <w:rsid w:val="00FA739D"/>
    <w:rsid w:val="00FB0590"/>
    <w:rsid w:val="00FB0BE7"/>
    <w:rsid w:val="00FB406E"/>
    <w:rsid w:val="00FB6B76"/>
    <w:rsid w:val="00FB7F23"/>
    <w:rsid w:val="00FC0EE9"/>
    <w:rsid w:val="00FC3F5E"/>
    <w:rsid w:val="00FC5E00"/>
    <w:rsid w:val="00FC6E4B"/>
    <w:rsid w:val="00FC7CB5"/>
    <w:rsid w:val="00FD1FFF"/>
    <w:rsid w:val="00FD3986"/>
    <w:rsid w:val="00FD599C"/>
    <w:rsid w:val="00FE10BB"/>
    <w:rsid w:val="00FE1A7A"/>
    <w:rsid w:val="00FE459F"/>
    <w:rsid w:val="00FE4C45"/>
    <w:rsid w:val="00FE55B3"/>
    <w:rsid w:val="00FE6300"/>
    <w:rsid w:val="00FF2C8C"/>
    <w:rsid w:val="00FF3386"/>
    <w:rsid w:val="00FF3C1D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173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2F9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D1F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"/>
    <w:next w:val="Normln"/>
    <w:qFormat/>
    <w:rsid w:val="003F59DA"/>
    <w:pPr>
      <w:keepNext/>
      <w:outlineLvl w:val="2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C53135"/>
  </w:style>
  <w:style w:type="paragraph" w:customStyle="1" w:styleId="NormalCCSCZ">
    <w:name w:val="Normal CCS CZ"/>
    <w:rsid w:val="00C53135"/>
    <w:pPr>
      <w:spacing w:before="120"/>
    </w:pPr>
    <w:rPr>
      <w:sz w:val="24"/>
      <w:lang w:eastAsia="en-US"/>
    </w:rPr>
  </w:style>
  <w:style w:type="paragraph" w:customStyle="1" w:styleId="Text1l">
    <w:name w:val="Text 1 Čl"/>
    <w:next w:val="NorCCSCZ11"/>
    <w:rsid w:val="00C53135"/>
    <w:pPr>
      <w:tabs>
        <w:tab w:val="num" w:pos="851"/>
      </w:tabs>
      <w:spacing w:before="120"/>
      <w:ind w:left="851" w:hanging="851"/>
      <w:jc w:val="both"/>
      <w:outlineLvl w:val="2"/>
    </w:pPr>
    <w:rPr>
      <w:sz w:val="24"/>
      <w:lang w:eastAsia="en-US"/>
    </w:rPr>
  </w:style>
  <w:style w:type="paragraph" w:customStyle="1" w:styleId="NorCCSCZ11">
    <w:name w:val="Nor CCS CZ 1.1."/>
    <w:basedOn w:val="Normln"/>
    <w:rsid w:val="00C53135"/>
    <w:pPr>
      <w:spacing w:before="20"/>
      <w:ind w:left="851"/>
      <w:jc w:val="both"/>
    </w:pPr>
    <w:rPr>
      <w:szCs w:val="20"/>
      <w:lang w:eastAsia="en-US"/>
    </w:rPr>
  </w:style>
  <w:style w:type="paragraph" w:styleId="Zkladntextodsazen">
    <w:name w:val="Body Text Indent"/>
    <w:basedOn w:val="Normln"/>
    <w:rsid w:val="00C53135"/>
    <w:pPr>
      <w:ind w:left="705" w:hanging="705"/>
      <w:jc w:val="both"/>
    </w:pPr>
  </w:style>
  <w:style w:type="character" w:styleId="Odkaznakoment">
    <w:name w:val="annotation reference"/>
    <w:uiPriority w:val="99"/>
    <w:semiHidden/>
    <w:rsid w:val="006F7B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F7BF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F7BFF"/>
    <w:rPr>
      <w:b/>
      <w:bCs/>
    </w:rPr>
  </w:style>
  <w:style w:type="paragraph" w:styleId="Textbubliny">
    <w:name w:val="Balloon Text"/>
    <w:basedOn w:val="Normln"/>
    <w:semiHidden/>
    <w:rsid w:val="006F7BFF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7A84"/>
  </w:style>
  <w:style w:type="paragraph" w:customStyle="1" w:styleId="normalccscz0">
    <w:name w:val="normalccscz"/>
    <w:basedOn w:val="Normln"/>
    <w:rsid w:val="002B7A84"/>
    <w:pPr>
      <w:spacing w:before="120"/>
    </w:pPr>
    <w:rPr>
      <w:rFonts w:eastAsia="Calibri"/>
    </w:rPr>
  </w:style>
  <w:style w:type="paragraph" w:styleId="Zhlav">
    <w:name w:val="header"/>
    <w:basedOn w:val="Normln"/>
    <w:link w:val="ZhlavChar"/>
    <w:rsid w:val="002B7A8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2B7A8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B7A8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2B7A84"/>
    <w:rPr>
      <w:sz w:val="24"/>
      <w:szCs w:val="24"/>
    </w:rPr>
  </w:style>
  <w:style w:type="character" w:styleId="slostrnky">
    <w:name w:val="page number"/>
    <w:basedOn w:val="Standardnpsmoodstavce"/>
    <w:rsid w:val="00BD6676"/>
  </w:style>
  <w:style w:type="paragraph" w:customStyle="1" w:styleId="Cislovanyodstaveca">
    <w:name w:val="Cislovany odstavec a)"/>
    <w:basedOn w:val="Normln"/>
    <w:rsid w:val="002577C5"/>
    <w:pPr>
      <w:numPr>
        <w:ilvl w:val="2"/>
        <w:numId w:val="1"/>
      </w:numPr>
      <w:spacing w:after="120"/>
      <w:jc w:val="both"/>
      <w:outlineLvl w:val="2"/>
    </w:pPr>
    <w:rPr>
      <w:rFonts w:ascii="Arial" w:hAnsi="Arial"/>
      <w:sz w:val="18"/>
      <w:szCs w:val="18"/>
    </w:rPr>
  </w:style>
  <w:style w:type="paragraph" w:customStyle="1" w:styleId="Cisodst1">
    <w:name w:val="Cisodst 1."/>
    <w:basedOn w:val="Normln"/>
    <w:rsid w:val="002577C5"/>
    <w:pPr>
      <w:keepLines/>
      <w:numPr>
        <w:ilvl w:val="1"/>
        <w:numId w:val="1"/>
      </w:numPr>
      <w:spacing w:after="120"/>
      <w:jc w:val="both"/>
      <w:outlineLvl w:val="1"/>
    </w:pPr>
    <w:rPr>
      <w:rFonts w:ascii="Arial" w:hAnsi="Arial"/>
      <w:sz w:val="20"/>
      <w:szCs w:val="18"/>
    </w:rPr>
  </w:style>
  <w:style w:type="paragraph" w:customStyle="1" w:styleId="lnekslo">
    <w:name w:val="Článek číslo"/>
    <w:basedOn w:val="Normln"/>
    <w:next w:val="Normln"/>
    <w:rsid w:val="002577C5"/>
    <w:pPr>
      <w:keepNext/>
      <w:keepLines/>
      <w:numPr>
        <w:numId w:val="1"/>
      </w:numPr>
      <w:spacing w:before="120" w:after="120"/>
      <w:jc w:val="center"/>
      <w:outlineLvl w:val="0"/>
    </w:pPr>
    <w:rPr>
      <w:rFonts w:ascii="Arial" w:hAnsi="Arial"/>
      <w:b/>
      <w:sz w:val="20"/>
      <w:szCs w:val="18"/>
    </w:rPr>
  </w:style>
  <w:style w:type="paragraph" w:customStyle="1" w:styleId="Stednmka1zvraznn21">
    <w:name w:val="Střední mřížka 1 – zvýraznění 21"/>
    <w:basedOn w:val="Normln"/>
    <w:uiPriority w:val="34"/>
    <w:qFormat/>
    <w:rsid w:val="00EA5647"/>
    <w:pPr>
      <w:ind w:left="708"/>
    </w:pPr>
  </w:style>
  <w:style w:type="paragraph" w:styleId="Zkladntext">
    <w:name w:val="Body Text"/>
    <w:basedOn w:val="Normln"/>
    <w:link w:val="ZkladntextChar"/>
    <w:uiPriority w:val="99"/>
    <w:unhideWhenUsed/>
    <w:rsid w:val="005D1FB8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5D1FB8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5D1FB8"/>
    <w:rPr>
      <w:rFonts w:ascii="Cambria" w:hAnsi="Cambria"/>
      <w:b/>
      <w:bCs/>
      <w:kern w:val="32"/>
      <w:sz w:val="32"/>
      <w:szCs w:val="32"/>
    </w:rPr>
  </w:style>
  <w:style w:type="paragraph" w:customStyle="1" w:styleId="Stednseznam2zvraznn21">
    <w:name w:val="Střední seznam 2 – zvýraznění 21"/>
    <w:hidden/>
    <w:uiPriority w:val="99"/>
    <w:semiHidden/>
    <w:rsid w:val="000356BE"/>
    <w:rPr>
      <w:sz w:val="24"/>
      <w:szCs w:val="24"/>
    </w:rPr>
  </w:style>
  <w:style w:type="paragraph" w:customStyle="1" w:styleId="SBSSmlouva">
    <w:name w:val="SBS Smlouva"/>
    <w:basedOn w:val="Normln"/>
    <w:rsid w:val="000D1A8F"/>
    <w:pPr>
      <w:tabs>
        <w:tab w:val="num" w:pos="0"/>
      </w:tabs>
      <w:suppressAutoHyphens/>
      <w:spacing w:before="120"/>
    </w:pPr>
    <w:rPr>
      <w:rFonts w:ascii="Arial" w:hAnsi="Arial"/>
      <w:sz w:val="22"/>
      <w:szCs w:val="22"/>
      <w:lang w:eastAsia="ar-SA"/>
    </w:rPr>
  </w:style>
  <w:style w:type="paragraph" w:customStyle="1" w:styleId="slovanseznam1">
    <w:name w:val="Číslovaný seznam1"/>
    <w:basedOn w:val="Normln"/>
    <w:rsid w:val="00EA5372"/>
    <w:pPr>
      <w:tabs>
        <w:tab w:val="num" w:pos="700"/>
      </w:tabs>
      <w:suppressAutoHyphens/>
      <w:ind w:left="680" w:hanging="340"/>
    </w:pPr>
    <w:rPr>
      <w:rFonts w:ascii="Arial" w:hAnsi="Arial"/>
      <w:sz w:val="22"/>
      <w:szCs w:val="22"/>
      <w:lang w:eastAsia="ar-SA"/>
    </w:rPr>
  </w:style>
  <w:style w:type="paragraph" w:customStyle="1" w:styleId="SBSnormln">
    <w:name w:val="SBS normální"/>
    <w:basedOn w:val="Normln"/>
    <w:rsid w:val="000A375D"/>
    <w:pPr>
      <w:suppressAutoHyphens/>
      <w:spacing w:before="120"/>
      <w:jc w:val="both"/>
    </w:pPr>
    <w:rPr>
      <w:rFonts w:ascii="Arial" w:hAnsi="Arial"/>
      <w:sz w:val="22"/>
      <w:szCs w:val="22"/>
      <w:lang w:eastAsia="ar-SA"/>
    </w:rPr>
  </w:style>
  <w:style w:type="paragraph" w:customStyle="1" w:styleId="Barevnseznamzvraznn11">
    <w:name w:val="Barevný seznam – zvýraznění 11"/>
    <w:basedOn w:val="Normln"/>
    <w:qFormat/>
    <w:rsid w:val="008F58AA"/>
    <w:pPr>
      <w:ind w:left="708"/>
    </w:pPr>
  </w:style>
  <w:style w:type="paragraph" w:styleId="Revize">
    <w:name w:val="Revision"/>
    <w:hidden/>
    <w:uiPriority w:val="62"/>
    <w:rsid w:val="00C82238"/>
    <w:rPr>
      <w:sz w:val="24"/>
      <w:szCs w:val="24"/>
    </w:rPr>
  </w:style>
  <w:style w:type="character" w:styleId="Hypertextovodkaz">
    <w:name w:val="Hyperlink"/>
    <w:uiPriority w:val="99"/>
    <w:semiHidden/>
    <w:unhideWhenUsed/>
    <w:rsid w:val="00DB5EA6"/>
    <w:rPr>
      <w:color w:val="0563C1"/>
      <w:u w:val="single"/>
    </w:rPr>
  </w:style>
  <w:style w:type="table" w:styleId="Mkatabulky">
    <w:name w:val="Table Grid"/>
    <w:basedOn w:val="Normlntabulka"/>
    <w:uiPriority w:val="59"/>
    <w:rsid w:val="00D13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2986</Words>
  <Characters>17624</Characters>
  <Application>Microsoft Office Word</Application>
  <DocSecurity>0</DocSecurity>
  <Lines>146</Lines>
  <Paragraphs>41</Paragraphs>
  <ScaleCrop>false</ScaleCrop>
  <Company/>
  <LinksUpToDate>false</LinksUpToDate>
  <CharactersWithSpaces>20569</CharactersWithSpaces>
  <SharedDoc>false</SharedDoc>
  <HLinks>
    <vt:vector size="6" baseType="variant"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mailto:radovan.kouril@ozp.cz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2018-01-22T14:01:00Z</dcterms:created>
  <dcterms:modified xsi:type="dcterms:W3CDTF">2018-01-22T14:02:00Z</dcterms:modified>
</cp:coreProperties>
</file>