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0C443D">
        <w:rPr>
          <w:sz w:val="28"/>
          <w:szCs w:val="28"/>
        </w:rPr>
        <w:t>20180118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923CEA">
        <w:rPr>
          <w:i w:val="0"/>
          <w:sz w:val="22"/>
          <w:szCs w:val="22"/>
        </w:rPr>
        <w:t>xxxxxxxxxxxxxxx</w:t>
      </w:r>
      <w:bookmarkStart w:id="0" w:name="_GoBack"/>
      <w:bookmarkEnd w:id="0"/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0C443D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Regionální muzeum v Kolíně, příspěvková organizace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C443D">
        <w:rPr>
          <w:bCs w:val="0"/>
          <w:i w:val="0"/>
          <w:sz w:val="22"/>
          <w:szCs w:val="22"/>
        </w:rPr>
        <w:t>Karlovo náměstí 8, 280 02 Kolín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741EE" w:rsidRPr="000741EE">
        <w:rPr>
          <w:bCs w:val="0"/>
          <w:i w:val="0"/>
          <w:sz w:val="22"/>
          <w:szCs w:val="22"/>
        </w:rPr>
        <w:t>00410047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</w:p>
    <w:p w:rsidR="0012562B" w:rsidRPr="005F201A" w:rsidRDefault="00D20723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Zastoupené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1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1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C02A70" w:rsidRDefault="0012562B" w:rsidP="00AA419D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r w:rsidR="0041730B" w:rsidRPr="00517977">
        <w:rPr>
          <w:b w:val="0"/>
          <w:i w:val="0"/>
          <w:sz w:val="22"/>
          <w:szCs w:val="22"/>
        </w:rPr>
        <w:t>Verbis, verze</w:t>
      </w:r>
      <w:r w:rsidR="00C02A70">
        <w:rPr>
          <w:b w:val="0"/>
          <w:i w:val="0"/>
          <w:sz w:val="22"/>
          <w:szCs w:val="22"/>
        </w:rPr>
        <w:t xml:space="preserve"> </w:t>
      </w:r>
      <w:r w:rsidR="00D20723" w:rsidRPr="00517977">
        <w:rPr>
          <w:b w:val="0"/>
          <w:i w:val="0"/>
          <w:sz w:val="22"/>
          <w:szCs w:val="22"/>
        </w:rPr>
        <w:t xml:space="preserve">KV pro </w:t>
      </w:r>
      <w:r w:rsidR="00C02A70">
        <w:rPr>
          <w:b w:val="0"/>
          <w:i w:val="0"/>
          <w:sz w:val="22"/>
          <w:szCs w:val="22"/>
        </w:rPr>
        <w:t>1</w:t>
      </w:r>
      <w:r w:rsidR="00D20723" w:rsidRPr="00517977">
        <w:rPr>
          <w:b w:val="0"/>
          <w:i w:val="0"/>
          <w:sz w:val="22"/>
          <w:szCs w:val="22"/>
        </w:rPr>
        <w:t xml:space="preserve"> uživatele</w:t>
      </w:r>
      <w:r w:rsidRPr="00517977">
        <w:rPr>
          <w:b w:val="0"/>
          <w:i w:val="0"/>
          <w:sz w:val="22"/>
          <w:szCs w:val="22"/>
        </w:rPr>
        <w:t xml:space="preserve"> a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923CEA">
        <w:rPr>
          <w:b w:val="0"/>
          <w:i w:val="0"/>
          <w:sz w:val="22"/>
          <w:szCs w:val="22"/>
        </w:rPr>
        <w:t xml:space="preserve">, </w:t>
      </w:r>
      <w:proofErr w:type="spellStart"/>
      <w:r w:rsidR="00923CEA">
        <w:rPr>
          <w:b w:val="0"/>
          <w:i w:val="0"/>
          <w:sz w:val="22"/>
          <w:szCs w:val="22"/>
        </w:rPr>
        <w:t>eVerbis</w:t>
      </w:r>
      <w:proofErr w:type="spellEnd"/>
      <w:r w:rsidR="00923CEA">
        <w:rPr>
          <w:b w:val="0"/>
          <w:i w:val="0"/>
          <w:sz w:val="22"/>
          <w:szCs w:val="22"/>
        </w:rPr>
        <w:t xml:space="preserve"> (K)</w:t>
      </w:r>
      <w:r w:rsidR="00C02A70">
        <w:rPr>
          <w:b w:val="0"/>
          <w:i w:val="0"/>
          <w:sz w:val="22"/>
          <w:szCs w:val="22"/>
        </w:rPr>
        <w:t xml:space="preserve"> na pracovišti Kolín</w:t>
      </w:r>
      <w:r w:rsidRPr="00517977">
        <w:rPr>
          <w:b w:val="0"/>
          <w:i w:val="0"/>
          <w:sz w:val="22"/>
          <w:szCs w:val="22"/>
        </w:rPr>
        <w:t>.</w:t>
      </w:r>
    </w:p>
    <w:p w:rsidR="0012562B" w:rsidRDefault="00C02A70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verze</w:t>
      </w:r>
      <w:r>
        <w:rPr>
          <w:b w:val="0"/>
          <w:i w:val="0"/>
          <w:sz w:val="22"/>
          <w:szCs w:val="22"/>
        </w:rPr>
        <w:t xml:space="preserve"> M</w:t>
      </w:r>
      <w:r w:rsidRPr="00517977">
        <w:rPr>
          <w:b w:val="0"/>
          <w:i w:val="0"/>
          <w:sz w:val="22"/>
          <w:szCs w:val="22"/>
        </w:rPr>
        <w:t>KV</w:t>
      </w:r>
      <w:r>
        <w:rPr>
          <w:b w:val="0"/>
          <w:i w:val="0"/>
          <w:sz w:val="22"/>
          <w:szCs w:val="22"/>
        </w:rPr>
        <w:t>II</w:t>
      </w:r>
      <w:r w:rsidRPr="00517977">
        <w:rPr>
          <w:b w:val="0"/>
          <w:i w:val="0"/>
          <w:sz w:val="22"/>
          <w:szCs w:val="22"/>
        </w:rPr>
        <w:t xml:space="preserve"> pro </w:t>
      </w:r>
      <w:r>
        <w:rPr>
          <w:b w:val="0"/>
          <w:i w:val="0"/>
          <w:sz w:val="22"/>
          <w:szCs w:val="22"/>
        </w:rPr>
        <w:t>1</w:t>
      </w:r>
      <w:r w:rsidRPr="00517977">
        <w:rPr>
          <w:b w:val="0"/>
          <w:i w:val="0"/>
          <w:sz w:val="22"/>
          <w:szCs w:val="22"/>
        </w:rPr>
        <w:t xml:space="preserve"> uživatele a </w:t>
      </w:r>
      <w:proofErr w:type="spellStart"/>
      <w:r w:rsidRPr="00517977">
        <w:rPr>
          <w:b w:val="0"/>
          <w:i w:val="0"/>
          <w:sz w:val="22"/>
          <w:szCs w:val="22"/>
        </w:rPr>
        <w:t>Portaro</w:t>
      </w:r>
      <w:proofErr w:type="spellEnd"/>
      <w:r>
        <w:rPr>
          <w:b w:val="0"/>
          <w:i w:val="0"/>
          <w:sz w:val="22"/>
          <w:szCs w:val="22"/>
        </w:rPr>
        <w:t xml:space="preserve"> na pracovišti Český Brod</w:t>
      </w:r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12562B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907105">
        <w:rPr>
          <w:b w:val="0"/>
          <w:i w:val="0"/>
          <w:sz w:val="22"/>
          <w:szCs w:val="22"/>
        </w:rPr>
        <w:t>ckého SW Verbis verze KV pro 1</w:t>
      </w:r>
      <w:r w:rsidR="00D20723" w:rsidRPr="00517977">
        <w:rPr>
          <w:b w:val="0"/>
          <w:i w:val="0"/>
          <w:sz w:val="22"/>
          <w:szCs w:val="22"/>
        </w:rPr>
        <w:t xml:space="preserve"> uživatele</w:t>
      </w:r>
      <w:r w:rsidR="00907105">
        <w:rPr>
          <w:b w:val="0"/>
          <w:i w:val="0"/>
          <w:sz w:val="22"/>
          <w:szCs w:val="22"/>
        </w:rPr>
        <w:t xml:space="preserve">, MKV II pro 1 uživatele a </w:t>
      </w:r>
      <w:proofErr w:type="spellStart"/>
      <w:r w:rsidR="00907105">
        <w:rPr>
          <w:b w:val="0"/>
          <w:i w:val="0"/>
          <w:sz w:val="22"/>
          <w:szCs w:val="22"/>
        </w:rPr>
        <w:t>Portaro</w:t>
      </w:r>
      <w:proofErr w:type="spellEnd"/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C02A70">
      <w:pPr>
        <w:pStyle w:val="Normlnodsazen"/>
        <w:numPr>
          <w:ilvl w:val="0"/>
          <w:numId w:val="3"/>
        </w:numPr>
        <w:spacing w:after="60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 služby programátora v množství </w:t>
      </w:r>
      <w:r w:rsidRPr="00517977">
        <w:rPr>
          <w:rFonts w:cs="Arial"/>
          <w:bCs/>
          <w:iCs/>
          <w:color w:val="000000"/>
          <w:sz w:val="22"/>
          <w:szCs w:val="22"/>
        </w:rPr>
        <w:t>2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:rsidR="0012562B" w:rsidRDefault="0012562B" w:rsidP="00C02A70">
      <w:pPr>
        <w:numPr>
          <w:ilvl w:val="0"/>
          <w:numId w:val="3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907105">
        <w:rPr>
          <w:i w:val="0"/>
          <w:sz w:val="22"/>
          <w:szCs w:val="22"/>
        </w:rPr>
        <w:t>2</w:t>
      </w:r>
      <w:r w:rsidR="003D169B" w:rsidRPr="00517977">
        <w:rPr>
          <w:i w:val="0"/>
          <w:sz w:val="22"/>
          <w:szCs w:val="22"/>
        </w:rPr>
        <w:t>.2018</w:t>
      </w:r>
      <w:proofErr w:type="gramEnd"/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907105">
        <w:rPr>
          <w:i w:val="0"/>
          <w:sz w:val="22"/>
          <w:szCs w:val="22"/>
        </w:rPr>
        <w:t>01.2021</w:t>
      </w:r>
    </w:p>
    <w:p w:rsidR="00CD480A" w:rsidRPr="001F189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1F1897">
        <w:rPr>
          <w:i w:val="0"/>
          <w:sz w:val="22"/>
          <w:szCs w:val="22"/>
        </w:rPr>
        <w:t>Jednáním s dodavatelem ve věci systému a převzetím plnění dle této smlouvy je</w:t>
      </w:r>
      <w:r w:rsidR="00517977" w:rsidRPr="001F1897">
        <w:rPr>
          <w:i w:val="0"/>
          <w:sz w:val="22"/>
          <w:szCs w:val="22"/>
        </w:rPr>
        <w:t xml:space="preserve"> za </w:t>
      </w:r>
      <w:r w:rsidR="00D22D80" w:rsidRPr="001F1897">
        <w:rPr>
          <w:i w:val="0"/>
          <w:sz w:val="22"/>
          <w:szCs w:val="22"/>
        </w:rPr>
        <w:t>odběr</w:t>
      </w:r>
      <w:r w:rsidR="009A25A0" w:rsidRPr="001F1897">
        <w:rPr>
          <w:i w:val="0"/>
          <w:sz w:val="22"/>
          <w:szCs w:val="22"/>
        </w:rPr>
        <w:t>atele</w:t>
      </w:r>
      <w:r w:rsidR="00907105" w:rsidRPr="001F1897">
        <w:rPr>
          <w:i w:val="0"/>
          <w:sz w:val="22"/>
          <w:szCs w:val="22"/>
        </w:rPr>
        <w:t xml:space="preserve"> pověřena</w:t>
      </w:r>
      <w:r w:rsidR="001F1897" w:rsidRPr="001F1897">
        <w:rPr>
          <w:i w:val="0"/>
          <w:sz w:val="22"/>
          <w:szCs w:val="22"/>
        </w:rPr>
        <w:t xml:space="preserve"> </w:t>
      </w:r>
      <w:r w:rsidR="001F1897" w:rsidRPr="001F1897">
        <w:rPr>
          <w:sz w:val="22"/>
          <w:szCs w:val="22"/>
        </w:rPr>
        <w:t>Gabriela Jiroudková</w:t>
      </w:r>
      <w:r w:rsidR="00517977" w:rsidRPr="001F1897">
        <w:rPr>
          <w:i w:val="0"/>
          <w:sz w:val="22"/>
          <w:szCs w:val="22"/>
        </w:rPr>
        <w:t>, telefon:</w:t>
      </w:r>
      <w:r w:rsidR="001F1897" w:rsidRPr="001F1897">
        <w:rPr>
          <w:i w:val="0"/>
          <w:sz w:val="22"/>
          <w:szCs w:val="22"/>
        </w:rPr>
        <w:t xml:space="preserve"> </w:t>
      </w:r>
      <w:proofErr w:type="gramStart"/>
      <w:r w:rsidR="001F1897" w:rsidRPr="001F1897">
        <w:rPr>
          <w:sz w:val="22"/>
          <w:szCs w:val="22"/>
        </w:rPr>
        <w:t>607 031 389</w:t>
      </w:r>
      <w:r w:rsidR="00517977" w:rsidRPr="001F1897">
        <w:rPr>
          <w:i w:val="0"/>
          <w:sz w:val="22"/>
          <w:szCs w:val="22"/>
        </w:rPr>
        <w:t xml:space="preserve"> ,email</w:t>
      </w:r>
      <w:proofErr w:type="gramEnd"/>
      <w:r w:rsidR="00517977" w:rsidRPr="001F1897">
        <w:rPr>
          <w:i w:val="0"/>
          <w:sz w:val="22"/>
          <w:szCs w:val="22"/>
        </w:rPr>
        <w:t xml:space="preserve"> </w:t>
      </w:r>
      <w:hyperlink r:id="rId6" w:history="1">
        <w:r w:rsidR="001F1897" w:rsidRPr="001F1897">
          <w:rPr>
            <w:rStyle w:val="Hypertextovodkaz"/>
            <w:sz w:val="22"/>
            <w:szCs w:val="22"/>
          </w:rPr>
          <w:t>knihovna@muzeumkolin.cz</w:t>
        </w:r>
      </w:hyperlink>
      <w:r w:rsidR="001F1897">
        <w:rPr>
          <w:i w:val="0"/>
          <w:sz w:val="22"/>
          <w:szCs w:val="22"/>
        </w:rPr>
        <w:t xml:space="preserve"> </w:t>
      </w:r>
      <w:r w:rsidR="00CD480A" w:rsidRPr="001F1897">
        <w:rPr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1F1897">
        <w:rPr>
          <w:i w:val="0"/>
          <w:sz w:val="22"/>
          <w:szCs w:val="22"/>
        </w:rPr>
        <w:t xml:space="preserve"> plnění</w:t>
      </w:r>
      <w:r w:rsidR="00CD480A" w:rsidRPr="001F1897">
        <w:rPr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</w:t>
      </w:r>
      <w:r w:rsidR="00907105">
        <w:rPr>
          <w:i w:val="0"/>
          <w:sz w:val="22"/>
          <w:szCs w:val="22"/>
        </w:rPr>
        <w:t xml:space="preserve"> za předmět plnění dle </w:t>
      </w:r>
      <w:proofErr w:type="gramStart"/>
      <w:r w:rsidR="00907105">
        <w:rPr>
          <w:i w:val="0"/>
          <w:sz w:val="22"/>
          <w:szCs w:val="22"/>
        </w:rPr>
        <w:t>bodu I.1,2</w:t>
      </w:r>
      <w:proofErr w:type="gramEnd"/>
      <w:r w:rsidRPr="00760737">
        <w:rPr>
          <w:i w:val="0"/>
          <w:sz w:val="22"/>
          <w:szCs w:val="22"/>
        </w:rPr>
        <w:t xml:space="preserve"> po dobu platnosti smlouvy </w:t>
      </w:r>
      <w:r w:rsidR="003D169B" w:rsidRPr="00760737">
        <w:rPr>
          <w:i w:val="0"/>
          <w:sz w:val="22"/>
          <w:szCs w:val="22"/>
        </w:rPr>
        <w:t xml:space="preserve">činí </w:t>
      </w:r>
      <w:r w:rsidR="00907105">
        <w:rPr>
          <w:i w:val="0"/>
          <w:sz w:val="22"/>
          <w:szCs w:val="22"/>
        </w:rPr>
        <w:t>75 315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07105" w:rsidRPr="00907105" w:rsidRDefault="00907105" w:rsidP="00907105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</w:t>
      </w:r>
      <w:r w:rsidR="009A25A0" w:rsidRPr="00760737">
        <w:rPr>
          <w:i w:val="0"/>
          <w:sz w:val="22"/>
          <w:szCs w:val="22"/>
        </w:rPr>
        <w:t>ena za jeden r</w:t>
      </w:r>
      <w:r w:rsidR="003D169B" w:rsidRPr="00760737">
        <w:rPr>
          <w:i w:val="0"/>
          <w:sz w:val="22"/>
          <w:szCs w:val="22"/>
        </w:rPr>
        <w:t>ok platnosti smlouvy</w:t>
      </w:r>
      <w:r>
        <w:rPr>
          <w:i w:val="0"/>
          <w:sz w:val="22"/>
          <w:szCs w:val="22"/>
        </w:rPr>
        <w:t xml:space="preserve"> dle </w:t>
      </w:r>
      <w:proofErr w:type="gramStart"/>
      <w:r>
        <w:rPr>
          <w:i w:val="0"/>
          <w:sz w:val="22"/>
          <w:szCs w:val="22"/>
        </w:rPr>
        <w:t>bodu I.1 činí</w:t>
      </w:r>
      <w:proofErr w:type="gramEnd"/>
      <w:r>
        <w:rPr>
          <w:i w:val="0"/>
          <w:sz w:val="22"/>
          <w:szCs w:val="22"/>
        </w:rPr>
        <w:t xml:space="preserve"> 16 159,-</w:t>
      </w:r>
      <w:r w:rsidR="00760737">
        <w:rPr>
          <w:i w:val="0"/>
          <w:sz w:val="22"/>
          <w:szCs w:val="22"/>
        </w:rPr>
        <w:t xml:space="preserve"> </w:t>
      </w:r>
      <w:r w:rsidR="009A25A0" w:rsidRPr="00760737">
        <w:rPr>
          <w:i w:val="0"/>
          <w:sz w:val="22"/>
          <w:szCs w:val="22"/>
        </w:rPr>
        <w:t>Kč + DPH v zákonné výši.</w:t>
      </w:r>
    </w:p>
    <w:p w:rsidR="00907105" w:rsidRDefault="00907105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Cena za jeden rok platnosti smlouvy dle </w:t>
      </w:r>
      <w:proofErr w:type="gramStart"/>
      <w:r>
        <w:rPr>
          <w:i w:val="0"/>
          <w:sz w:val="22"/>
          <w:szCs w:val="22"/>
        </w:rPr>
        <w:t>bodu I.2 činí</w:t>
      </w:r>
      <w:proofErr w:type="gramEnd"/>
      <w:r>
        <w:rPr>
          <w:i w:val="0"/>
          <w:sz w:val="22"/>
          <w:szCs w:val="22"/>
        </w:rPr>
        <w:t xml:space="preserve"> 8 946,- 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760737">
        <w:rPr>
          <w:i w:val="0"/>
          <w:sz w:val="22"/>
          <w:szCs w:val="22"/>
        </w:rPr>
        <w:t>4</w:t>
      </w:r>
      <w:r w:rsidRPr="00760737">
        <w:rPr>
          <w:i w:val="0"/>
          <w:sz w:val="22"/>
          <w:szCs w:val="22"/>
        </w:rPr>
        <w:t>90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07105">
        <w:rPr>
          <w:i w:val="0"/>
          <w:sz w:val="22"/>
          <w:szCs w:val="22"/>
        </w:rPr>
        <w:t>adí platbu podle čl. III.</w:t>
      </w:r>
      <w:r w:rsidR="009A25A0" w:rsidRPr="00760737">
        <w:rPr>
          <w:i w:val="0"/>
          <w:sz w:val="22"/>
          <w:szCs w:val="22"/>
        </w:rPr>
        <w:t> 2</w:t>
      </w:r>
      <w:r w:rsidR="00907105">
        <w:rPr>
          <w:i w:val="0"/>
          <w:sz w:val="22"/>
          <w:szCs w:val="22"/>
        </w:rPr>
        <w:t xml:space="preserve"> a 3</w:t>
      </w:r>
      <w:r w:rsidRPr="00760737">
        <w:rPr>
          <w:i w:val="0"/>
          <w:sz w:val="22"/>
          <w:szCs w:val="22"/>
        </w:rPr>
        <w:t>. této smlouvy na základě faktury</w:t>
      </w:r>
      <w:r w:rsidR="00907105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 po doručení faktury odběrateli. Faktura bud</w:t>
      </w:r>
      <w:r w:rsidR="00907105">
        <w:rPr>
          <w:i w:val="0"/>
          <w:sz w:val="22"/>
          <w:szCs w:val="22"/>
        </w:rPr>
        <w:t xml:space="preserve">e vystavena nejpozději do </w:t>
      </w:r>
      <w:proofErr w:type="gramStart"/>
      <w:r w:rsidR="00907105">
        <w:rPr>
          <w:i w:val="0"/>
          <w:sz w:val="22"/>
          <w:szCs w:val="22"/>
        </w:rPr>
        <w:t>14.2.2018</w:t>
      </w:r>
      <w:proofErr w:type="gramEnd"/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0,1% z fakturované ceny za každý den prodlení.</w:t>
      </w:r>
    </w:p>
    <w:p w:rsidR="003C4E2F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Při nedodržení termínů ze strany dodavatele se snižuje cena dodávky o 0,1% za každý den prodlení.</w:t>
      </w: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Záruční doba na veškeré dodávky systému podle této smlouvy činí 24 měsíců od data převzetí odběratelem (data vydání verze).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07105">
        <w:rPr>
          <w:i w:val="0"/>
          <w:sz w:val="22"/>
          <w:szCs w:val="22"/>
        </w:rPr>
        <w:t>. odst. 4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:rsidR="00693642" w:rsidRDefault="00693642">
      <w:pPr>
        <w:ind w:left="0"/>
        <w:rPr>
          <w:sz w:val="22"/>
          <w:szCs w:val="22"/>
        </w:rPr>
      </w:pP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br w:type="page"/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lastRenderedPageBreak/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V případě, že bude při plnění předmětu smlouvy docházet ke zpracování oso</w:t>
      </w:r>
      <w:r w:rsidR="009E142A">
        <w:rPr>
          <w:b w:val="0"/>
          <w:i w:val="0"/>
          <w:iCs w:val="0"/>
          <w:color w:val="auto"/>
          <w:sz w:val="22"/>
          <w:szCs w:val="22"/>
        </w:rPr>
        <w:t xml:space="preserve">bních údajů, je tato smlouva </w:t>
      </w:r>
      <w:r w:rsidRPr="00F979E3">
        <w:rPr>
          <w:b w:val="0"/>
          <w:i w:val="0"/>
          <w:iCs w:val="0"/>
          <w:color w:val="auto"/>
          <w:sz w:val="22"/>
          <w:szCs w:val="22"/>
        </w:rPr>
        <w:t>zároveň smlouvou o zpracování osobních údajů ve smyslu § 6 zákona č. 101/2000 Sb., o ochraně osobních údajů a o změně některých zákonů, ve znění pozdějších předpisů (dále jen „ZOOÚ“). Dodavatel má pro účely ochrany osobních údajů postavení zpracovatele ve smyslu ZOOÚ.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je povinen při plnění předmětu smlouvy dodržovat právní předpisy týkající se ochrany osobních údajů, zejména:</w:t>
      </w:r>
    </w:p>
    <w:p w:rsidR="00F979E3" w:rsidRPr="00AA419D" w:rsidRDefault="00F979E3" w:rsidP="00AA419D">
      <w:pPr>
        <w:pStyle w:val="Odstavecseseznamem"/>
        <w:keepNext/>
        <w:numPr>
          <w:ilvl w:val="0"/>
          <w:numId w:val="11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714" w:hanging="357"/>
        <w:outlineLvl w:val="2"/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</w:pPr>
      <w:r w:rsidRPr="00AA419D">
        <w:rPr>
          <w:b w:val="0"/>
          <w:i w:val="0"/>
          <w:iCs w:val="0"/>
          <w:color w:val="auto"/>
          <w:sz w:val="22"/>
          <w:szCs w:val="22"/>
        </w:rPr>
        <w:t xml:space="preserve">zákon č. 101/2000 Sb., </w:t>
      </w:r>
      <w:r w:rsidRPr="00AA419D"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  <w:t>o ochraně osobních údajů a o změně některých zákonů, v platném znění, případně zákon, který jej v budoucnu nahradí,</w:t>
      </w:r>
    </w:p>
    <w:p w:rsidR="00F979E3" w:rsidRPr="00AA419D" w:rsidRDefault="00F979E3" w:rsidP="00AA419D">
      <w:pPr>
        <w:pStyle w:val="Odstavecseseznamem"/>
        <w:numPr>
          <w:ilvl w:val="0"/>
          <w:numId w:val="11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714" w:hanging="357"/>
        <w:contextualSpacing w:val="0"/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</w:pPr>
      <w:r w:rsidRPr="00AA419D">
        <w:rPr>
          <w:rFonts w:cs="Times New Roman"/>
          <w:b w:val="0"/>
          <w:bCs w:val="0"/>
          <w:i w:val="0"/>
          <w:iCs w:val="0"/>
          <w:color w:val="auto"/>
          <w:sz w:val="22"/>
          <w:szCs w:val="24"/>
        </w:rPr>
        <w:t>nařízení Evropského parlamentu a Rady EU 2016/679 ze dne 27. dubna 2016 o ochraně fyzických osob v souvislosti se zpracováním osobních údajů a o volném pohybu těchto údajů (obecné nařízení o ochraně osobních údajů), dále jen „GDPR“, které nabude účinnosti 25. května 2018.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je oprávněn zpracovávat osobní údaje v rozsahu nezbytně nutném pro plnění této smlouvy, za tímto účelem je oprávněn osobní údaje zejména ukládat na nosiče informací, upravovat, uchovávat po dobu nezbytnou k uplatnění práv dodavatele vyplývajících z této smlouvy, předávat zpracované osobních údaje objednateli, osobní údaje likvidovat.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rFonts w:cs="Times New Roman"/>
          <w:b w:val="0"/>
          <w:bCs w:val="0"/>
          <w:i w:val="0"/>
          <w:iCs w:val="0"/>
          <w:color w:val="auto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 xml:space="preserve">Dodavatel učiní v souladu s platnými právními předpisy dostatečná organizační a technická opatření zabraňující přístupu neoprávněných osob k osobním údajům  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jeho zaměstnanci byli v souladu s platnými právními předpisy poučeni o povinnosti mlčenlivosti a o možných následcích pro případ porušení této povinnosti.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písemnosti a jiné hmotné nosiče informací, které obsahují osobní údaje, byly uchovávány pouze v uzamykatelných místnostech.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26" w:hanging="349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písemnosti a jiné hmotné nosiče informací, které obsahují citlivé údaje, byly uchovávány v uzamykatelných skříních umístěných v uzamykatelných místnostech.</w:t>
      </w:r>
    </w:p>
    <w:p w:rsidR="00F979E3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 w:rsidRPr="00F979E3">
        <w:rPr>
          <w:b w:val="0"/>
          <w:i w:val="0"/>
          <w:iCs w:val="0"/>
          <w:color w:val="auto"/>
          <w:sz w:val="22"/>
          <w:szCs w:val="22"/>
        </w:rPr>
        <w:t>Dodavatel zajistí, aby elektronické datové soubory obsahující osobní údaje byly uchovávány v paměti počítače pouze:</w:t>
      </w:r>
    </w:p>
    <w:p w:rsidR="00F979E3" w:rsidRPr="00AA419D" w:rsidRDefault="00F979E3" w:rsidP="00AA419D">
      <w:pPr>
        <w:pStyle w:val="Odstavecseseznamem"/>
        <w:numPr>
          <w:ilvl w:val="0"/>
          <w:numId w:val="12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714" w:hanging="357"/>
        <w:rPr>
          <w:b w:val="0"/>
          <w:bCs w:val="0"/>
          <w:i w:val="0"/>
          <w:iCs w:val="0"/>
          <w:color w:val="auto"/>
          <w:sz w:val="22"/>
          <w:szCs w:val="18"/>
        </w:rPr>
      </w:pPr>
      <w:r w:rsidRPr="00AA419D">
        <w:rPr>
          <w:b w:val="0"/>
          <w:bCs w:val="0"/>
          <w:i w:val="0"/>
          <w:iCs w:val="0"/>
          <w:color w:val="auto"/>
          <w:sz w:val="22"/>
          <w:szCs w:val="18"/>
        </w:rPr>
        <w:t>je-li přístup k takovýmto souborům chráněn heslem,</w:t>
      </w:r>
    </w:p>
    <w:p w:rsidR="00F979E3" w:rsidRPr="00AA419D" w:rsidRDefault="00F979E3" w:rsidP="00AA419D">
      <w:pPr>
        <w:pStyle w:val="Odstavecseseznamem"/>
        <w:numPr>
          <w:ilvl w:val="0"/>
          <w:numId w:val="12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714" w:hanging="357"/>
        <w:contextualSpacing w:val="0"/>
        <w:rPr>
          <w:b w:val="0"/>
          <w:bCs w:val="0"/>
          <w:i w:val="0"/>
          <w:iCs w:val="0"/>
          <w:color w:val="auto"/>
          <w:sz w:val="22"/>
          <w:szCs w:val="18"/>
        </w:rPr>
      </w:pPr>
      <w:r w:rsidRPr="00AA419D">
        <w:rPr>
          <w:b w:val="0"/>
          <w:bCs w:val="0"/>
          <w:i w:val="0"/>
          <w:iCs w:val="0"/>
          <w:color w:val="auto"/>
          <w:sz w:val="22"/>
          <w:szCs w:val="18"/>
        </w:rPr>
        <w:t>je-li přístup k užívání počítače, v jehož paměti jsou tyto soubory umístěny, chráněn heslem.</w:t>
      </w:r>
    </w:p>
    <w:p w:rsidR="00C06DAA" w:rsidRPr="00F979E3" w:rsidRDefault="00F979E3" w:rsidP="00AA419D">
      <w:pPr>
        <w:keepNext/>
        <w:numPr>
          <w:ilvl w:val="0"/>
          <w:numId w:val="10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431" w:hanging="352"/>
        <w:outlineLvl w:val="2"/>
        <w:rPr>
          <w:b w:val="0"/>
          <w:i w:val="0"/>
          <w:iCs w:val="0"/>
          <w:color w:val="auto"/>
          <w:sz w:val="22"/>
          <w:szCs w:val="22"/>
        </w:rPr>
      </w:pPr>
      <w:r>
        <w:rPr>
          <w:b w:val="0"/>
          <w:i w:val="0"/>
          <w:iCs w:val="0"/>
          <w:color w:val="auto"/>
          <w:sz w:val="22"/>
          <w:szCs w:val="22"/>
        </w:rPr>
        <w:t>Je-li pro účel kontroly správnéh</w:t>
      </w:r>
      <w:r w:rsidRPr="00F979E3">
        <w:rPr>
          <w:b w:val="0"/>
          <w:i w:val="0"/>
          <w:iCs w:val="0"/>
          <w:color w:val="auto"/>
          <w:sz w:val="22"/>
          <w:szCs w:val="22"/>
        </w:rPr>
        <w:t xml:space="preserve">o fungování díla, odstranění vady nebo další vývoj díla nezbytné poskytnout dodavateli kopii databází, souborů nebo nosičů údajů obsahujících </w:t>
      </w:r>
      <w:r>
        <w:rPr>
          <w:b w:val="0"/>
          <w:i w:val="0"/>
          <w:iCs w:val="0"/>
          <w:color w:val="auto"/>
          <w:sz w:val="22"/>
          <w:szCs w:val="22"/>
        </w:rPr>
        <w:t>jakékoliv údaje z činnosti odběratele</w:t>
      </w:r>
      <w:r w:rsidRPr="00F979E3">
        <w:rPr>
          <w:b w:val="0"/>
          <w:i w:val="0"/>
          <w:iCs w:val="0"/>
          <w:color w:val="auto"/>
          <w:sz w:val="22"/>
          <w:szCs w:val="22"/>
        </w:rPr>
        <w:t>, je dodavatel povinen s takovými údaji nakládat tak, aby nedošlo k jejich úniku či zneužití.</w:t>
      </w:r>
    </w:p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AA419D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12562B" w:rsidRPr="003C4E2F" w:rsidRDefault="0012562B" w:rsidP="00AA419D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a účinnosti dnem jejího podpisu smluvními stranami.</w:t>
      </w:r>
    </w:p>
    <w:p w:rsidR="0012562B" w:rsidRPr="003C4E2F" w:rsidRDefault="0012562B" w:rsidP="00AA419D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AA419D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907105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907105">
        <w:rPr>
          <w:i w:val="0"/>
          <w:sz w:val="22"/>
          <w:szCs w:val="22"/>
        </w:rPr>
        <w:t xml:space="preserve"> i odběratel obdrží po jednom vyhotovení</w:t>
      </w:r>
      <w:r w:rsidRPr="003C4E2F">
        <w:rPr>
          <w:i w:val="0"/>
          <w:sz w:val="22"/>
          <w:szCs w:val="22"/>
        </w:rPr>
        <w:t>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907105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V Kolíně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 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    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>V Pardubicích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907105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907105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  <w:t>Ing. Petr Štefan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A5206798"/>
    <w:lvl w:ilvl="0" w:tplc="0BE83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>
    <w:nsid w:val="2D6545A8"/>
    <w:multiLevelType w:val="hybridMultilevel"/>
    <w:tmpl w:val="8EF0FF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18"/>
    <w:rsid w:val="000741EE"/>
    <w:rsid w:val="000C443D"/>
    <w:rsid w:val="0012562B"/>
    <w:rsid w:val="00127226"/>
    <w:rsid w:val="0019101A"/>
    <w:rsid w:val="001F1897"/>
    <w:rsid w:val="00306F8B"/>
    <w:rsid w:val="003572B9"/>
    <w:rsid w:val="00357D91"/>
    <w:rsid w:val="00381022"/>
    <w:rsid w:val="003C4E2F"/>
    <w:rsid w:val="003D169B"/>
    <w:rsid w:val="003E4B3C"/>
    <w:rsid w:val="003F5A2C"/>
    <w:rsid w:val="0041730B"/>
    <w:rsid w:val="0042377F"/>
    <w:rsid w:val="00466E2F"/>
    <w:rsid w:val="004A01EA"/>
    <w:rsid w:val="004E4DA1"/>
    <w:rsid w:val="00517977"/>
    <w:rsid w:val="005A3CCE"/>
    <w:rsid w:val="005D27B7"/>
    <w:rsid w:val="005E1537"/>
    <w:rsid w:val="005F201A"/>
    <w:rsid w:val="00676C3C"/>
    <w:rsid w:val="00693642"/>
    <w:rsid w:val="006E5742"/>
    <w:rsid w:val="00717F58"/>
    <w:rsid w:val="00732CDE"/>
    <w:rsid w:val="00760737"/>
    <w:rsid w:val="00850A7A"/>
    <w:rsid w:val="0085228C"/>
    <w:rsid w:val="0087504A"/>
    <w:rsid w:val="00907105"/>
    <w:rsid w:val="00923CEA"/>
    <w:rsid w:val="00986935"/>
    <w:rsid w:val="009A25A0"/>
    <w:rsid w:val="009E142A"/>
    <w:rsid w:val="00A4344B"/>
    <w:rsid w:val="00A52BC1"/>
    <w:rsid w:val="00AA419D"/>
    <w:rsid w:val="00B36B3D"/>
    <w:rsid w:val="00B6642C"/>
    <w:rsid w:val="00B83512"/>
    <w:rsid w:val="00BA460C"/>
    <w:rsid w:val="00C02A70"/>
    <w:rsid w:val="00C06DAA"/>
    <w:rsid w:val="00CD480A"/>
    <w:rsid w:val="00D20723"/>
    <w:rsid w:val="00D22D80"/>
    <w:rsid w:val="00D319AD"/>
    <w:rsid w:val="00D56518"/>
    <w:rsid w:val="00E37A9E"/>
    <w:rsid w:val="00EF6B7C"/>
    <w:rsid w:val="00F65436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4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A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hovna@muzeumkol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ekonomka</cp:lastModifiedBy>
  <cp:revision>3</cp:revision>
  <cp:lastPrinted>2008-01-03T08:21:00Z</cp:lastPrinted>
  <dcterms:created xsi:type="dcterms:W3CDTF">2018-01-19T12:09:00Z</dcterms:created>
  <dcterms:modified xsi:type="dcterms:W3CDTF">2018-01-22T13:47:00Z</dcterms:modified>
</cp:coreProperties>
</file>