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OBJ200 - 68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2016-2-068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Infomatic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Bucharova 1186/16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15500 Praha 515, Praha 5 - Smíchov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24828441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20.07.2016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084599/2016</w:t>
      </w:r>
    </w:p>
    <w:p>
      <w:pPr>
        <w:pStyle w:val="Row12"/>
      </w:pPr>
      <w:r>
        <w:rPr>
          <w:noProof/>
          <w:lang w:val="cs-CZ" w:eastAsia="cs-CZ"/>
        </w:rPr>
        <w:pict>
          <v:rect id="_x0000_s40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rect id="_x0000_s52" strokeweight="1pt" strokecolor="#FFFFFF" fillcolor="#E5E5E5" style="position:absolute;left:17pt;top:19pt;width:544pt;height:12pt;z-index:-251658221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17pt;width:0pt;height:17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4pt;margin-top:17pt;width:549pt;height:0pt;z-index:-251658219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563pt;margin-top:17pt;width:0pt;height:17pt;z-index:-251658218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14pt;margin-top:19pt;width:0pt;height:116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563pt;margin-top:19pt;width:0pt;height:116pt;z-index:-251658216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Dobrý den,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na základě cenové nabídky ze dne 20.07.2016 u vás objednáváme prodloužení servisní podpory na období 01.09.2016 až 31.08.2017 pro: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1x FUJITSU fi-6770A (OnSite servis 12M)</w:t>
      </w:r>
    </w:p>
    <w:p>
      <w:pPr>
        <w:pStyle w:val="Row19"/>
      </w:pPr>
      <w:r>
        <w:tab/>
      </w:r>
      <w:r>
        <w:rPr>
          <w:rStyle w:val="Text3"/>
        </w:rPr>
        <w:t>2 x Panasonic KV-S4065CW (OnSite servis 12M)</w:t>
      </w:r>
    </w:p>
    <w:p>
      <w:pPr>
        <w:pStyle w:val="Row19"/>
      </w:pPr>
      <w:r>
        <w:tab/>
      </w:r>
      <w:r>
        <w:rPr>
          <w:rStyle w:val="Text3"/>
        </w:rPr>
        <w:t>2x Fujitsu fi-6240 (SWAPit 12M)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Podrobné podmínky servisu jsou v příloze nabídky.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14pt;margin-top:13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cena objednávky je 95.134 Kč bez DPH.</w: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563pt;margin-top:13pt;width:0pt;height:14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9" type="#_x0000_t202" stroked="f" fillcolor="#FFFFFF" style="position:absolute;margin-left:378pt;margin-top:5pt;width:94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115 115.00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14pt;margin-top:17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7pt;width:0pt;height:119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Prodloužení servisní podpory - skenery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115 115.00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3pt;margin-top:17pt;width:0pt;height:119pt;z-index:-251658210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86" type="#_x0000_t202" stroked="f" fillcolor="#FFFFFF" style="position:absolute;margin-left:425pt;margin-top:8pt;width:113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115 115.00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291pt;margin-top:20pt;width:269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2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margin-left:291pt;margin-top:5pt;width:269pt;height:0pt;z-index:-251658207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3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331pt;margin-top:34pt;width:180pt;height:0pt;z-index:-251658206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4"/>
      </w:pPr>
      <w:r>
        <w:tab/>
      </w:r>
      <w:r>
        <w:rPr>
          <w:rStyle w:val="Text3"/>
        </w:rPr>
        <w:t>Zavadilová Martina, Bc.</w:t>
      </w:r>
    </w:p>
    <w:p>
      <w:pPr>
        <w:pStyle w:val="Row25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14pt;margin-top:32pt;width:550pt;height:0pt;z-index:-25165820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ředitelka SOP</w:t>
      </w:r>
    </w:p>
    <w:p>
      <w:pPr>
        <w:pStyle w:val="Row9"/>
      </w:pPr>
    </w:p>
    <w:p>
      <w:pPr>
        <w:pStyle w:val="Row9"/>
      </w:pPr>
    </w:p>
    <w:p>
      <w:pPr>
        <w:pStyle w:val="Row23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6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6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6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2" o:connectortype="straight" strokeweight="1pt" strokecolor="#000000" style="position:absolute;margin-left:14pt;margin-top:-5pt;width:550pt;height:0pt;z-index:-251658204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2016-2-068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20"/>
      <w:tabs>
        <w:tab w:val="left" w:pos="850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20"/>
      <w:tabs>
        <w:tab w:val="left" w:pos="390"/>
        <w:tab w:val="left" w:pos="5670"/>
        <w:tab w:val="left" w:pos="6885"/>
        <w:tab w:val="left" w:pos="8775"/>
        <w:tab w:val="left" w:pos="10215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8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left" w:pos="360"/>
        <w:tab w:val="right" w:pos="7755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60"/>
      <w:tabs>
        <w:tab w:val="left" w:pos="360"/>
        <w:tab w:val="left" w:pos="5820"/>
        <w:tab w:val="left" w:pos="107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dmasek</dc:creator>
  <cp:keywords/>
  <dc:description/>
  <cp:lastModifiedBy>dmasek</cp:lastModifiedBy>
  <cp:revision>1</cp:revision>
  <dcterms:created xsi:type="dcterms:W3CDTF">2016-10-20T12:22:43Z</dcterms:created>
  <dcterms:modified xsi:type="dcterms:W3CDTF">2016-10-20T12:22:43Z</dcterms:modified>
  <cp:category/>
</cp:coreProperties>
</file>