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06342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06342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7704FF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b/>
          <w:sz w:val="24"/>
          <w:szCs w:val="20"/>
          <w:lang w:eastAsia="cs-CZ"/>
        </w:rPr>
        <w:t>Ing. Petr Čelustka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Čsl. </w:t>
      </w:r>
      <w:proofErr w:type="gramStart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letců</w:t>
      </w:r>
      <w:proofErr w:type="gramEnd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 10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750 02 Přerov I - město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73275026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6111220874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ČSOB Přerov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234862690/0300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777 670 500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F86158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F86158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10.1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926A37">
        <w:rPr>
          <w:rFonts w:asciiTheme="minorHAnsi" w:eastAsia="Times New Roman" w:hAnsiTheme="minorHAnsi"/>
          <w:b/>
          <w:sz w:val="24"/>
          <w:szCs w:val="24"/>
          <w:lang w:eastAsia="cs-CZ"/>
        </w:rPr>
        <w:t>31.</w:t>
      </w:r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6633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fakturaci k 15. dni v měsíci a k poslednímu dni v měsíci.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C78E3">
        <w:rPr>
          <w:rFonts w:asciiTheme="minorHAnsi" w:eastAsia="Times New Roman" w:hAnsiTheme="minorHAnsi"/>
          <w:sz w:val="24"/>
          <w:szCs w:val="20"/>
          <w:lang w:eastAsia="cs-CZ"/>
        </w:rPr>
        <w:t>10.</w:t>
      </w:r>
      <w:r w:rsidR="00106342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</w:t>
      </w:r>
      <w:r w:rsidR="00106342">
        <w:rPr>
          <w:rFonts w:asciiTheme="minorHAnsi" w:eastAsia="Times New Roman" w:hAnsiTheme="minorHAnsi"/>
          <w:sz w:val="24"/>
          <w:szCs w:val="20"/>
          <w:lang w:eastAsia="cs-CZ"/>
        </w:rPr>
        <w:t>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B6" w:rsidRDefault="00A27AB6" w:rsidP="002241B2">
      <w:pPr>
        <w:spacing w:after="0" w:line="240" w:lineRule="auto"/>
      </w:pPr>
      <w:r>
        <w:separator/>
      </w:r>
    </w:p>
  </w:endnote>
  <w:endnote w:type="continuationSeparator" w:id="0">
    <w:p w:rsidR="00A27AB6" w:rsidRDefault="00A27AB6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B6" w:rsidRDefault="00A27AB6" w:rsidP="002241B2">
      <w:pPr>
        <w:spacing w:after="0" w:line="240" w:lineRule="auto"/>
      </w:pPr>
      <w:r>
        <w:separator/>
      </w:r>
    </w:p>
  </w:footnote>
  <w:footnote w:type="continuationSeparator" w:id="0">
    <w:p w:rsidR="00A27AB6" w:rsidRDefault="00A27AB6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738A7"/>
    <w:rsid w:val="000F3A96"/>
    <w:rsid w:val="000F7333"/>
    <w:rsid w:val="00106342"/>
    <w:rsid w:val="00127F34"/>
    <w:rsid w:val="00191F1B"/>
    <w:rsid w:val="001B3523"/>
    <w:rsid w:val="001C36C9"/>
    <w:rsid w:val="0021397A"/>
    <w:rsid w:val="002241B2"/>
    <w:rsid w:val="00243038"/>
    <w:rsid w:val="00295F86"/>
    <w:rsid w:val="00341B8C"/>
    <w:rsid w:val="00357C3E"/>
    <w:rsid w:val="00365F33"/>
    <w:rsid w:val="003840BC"/>
    <w:rsid w:val="0038699A"/>
    <w:rsid w:val="003B7AC7"/>
    <w:rsid w:val="003D62F9"/>
    <w:rsid w:val="004054A5"/>
    <w:rsid w:val="00454495"/>
    <w:rsid w:val="00455BC9"/>
    <w:rsid w:val="004F35E3"/>
    <w:rsid w:val="005671C1"/>
    <w:rsid w:val="00571B7D"/>
    <w:rsid w:val="005933E6"/>
    <w:rsid w:val="005A26B2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E66EA"/>
    <w:rsid w:val="00752500"/>
    <w:rsid w:val="00756965"/>
    <w:rsid w:val="007704FF"/>
    <w:rsid w:val="00774CD6"/>
    <w:rsid w:val="00775B51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26A37"/>
    <w:rsid w:val="0097150A"/>
    <w:rsid w:val="009754A1"/>
    <w:rsid w:val="009A70D9"/>
    <w:rsid w:val="009B36EC"/>
    <w:rsid w:val="009B7AF6"/>
    <w:rsid w:val="009E785C"/>
    <w:rsid w:val="009F2130"/>
    <w:rsid w:val="00A02B34"/>
    <w:rsid w:val="00A02C72"/>
    <w:rsid w:val="00A12767"/>
    <w:rsid w:val="00A27AB6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7313"/>
    <w:rsid w:val="00C77BB3"/>
    <w:rsid w:val="00CA5082"/>
    <w:rsid w:val="00CF4A8F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6673C"/>
    <w:rsid w:val="00F739FB"/>
    <w:rsid w:val="00F86158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726C-5BA1-4C06-A5AF-3D8B5AC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2017-04-13T07:41:00Z</cp:lastPrinted>
  <dcterms:created xsi:type="dcterms:W3CDTF">2018-01-21T20:50:00Z</dcterms:created>
  <dcterms:modified xsi:type="dcterms:W3CDTF">2018-01-21T20:50:00Z</dcterms:modified>
</cp:coreProperties>
</file>