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13" w:rsidRPr="00550A92" w:rsidRDefault="00E20B14" w:rsidP="00550A92">
      <w:pPr>
        <w:spacing w:after="0" w:line="240" w:lineRule="auto"/>
        <w:jc w:val="center"/>
        <w:rPr>
          <w:sz w:val="36"/>
          <w:szCs w:val="36"/>
        </w:rPr>
      </w:pPr>
      <w:r w:rsidRPr="00550A92">
        <w:rPr>
          <w:sz w:val="36"/>
          <w:szCs w:val="36"/>
        </w:rPr>
        <w:t>Smlouva komisionářská</w:t>
      </w:r>
    </w:p>
    <w:p w:rsidR="00E20B14" w:rsidRDefault="00E20B14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Pr="00550A92" w:rsidRDefault="00550A92" w:rsidP="00550A92">
      <w:pPr>
        <w:spacing w:after="0" w:line="240" w:lineRule="auto"/>
        <w:rPr>
          <w:sz w:val="24"/>
          <w:szCs w:val="24"/>
        </w:rPr>
      </w:pPr>
    </w:p>
    <w:p w:rsidR="00E20B14" w:rsidRPr="00550A92" w:rsidRDefault="00E20B14" w:rsidP="00550A92">
      <w:pPr>
        <w:spacing w:after="0" w:line="240" w:lineRule="auto"/>
        <w:jc w:val="center"/>
        <w:rPr>
          <w:sz w:val="24"/>
          <w:szCs w:val="24"/>
        </w:rPr>
      </w:pPr>
      <w:r w:rsidRPr="00550A92">
        <w:rPr>
          <w:sz w:val="24"/>
          <w:szCs w:val="24"/>
        </w:rPr>
        <w:t>I.</w:t>
      </w:r>
    </w:p>
    <w:p w:rsidR="00E20B14" w:rsidRPr="00550A92" w:rsidRDefault="00E20B14" w:rsidP="00550A92">
      <w:pPr>
        <w:spacing w:after="0" w:line="240" w:lineRule="auto"/>
        <w:jc w:val="center"/>
        <w:rPr>
          <w:i/>
          <w:sz w:val="24"/>
          <w:szCs w:val="24"/>
        </w:rPr>
      </w:pPr>
      <w:r w:rsidRPr="00550A92">
        <w:rPr>
          <w:i/>
          <w:sz w:val="24"/>
          <w:szCs w:val="24"/>
        </w:rPr>
        <w:t>Smluvní strany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</w:p>
    <w:p w:rsidR="00E20B14" w:rsidRPr="00550A92" w:rsidRDefault="00E20B14" w:rsidP="00550A92">
      <w:pPr>
        <w:spacing w:after="0" w:line="240" w:lineRule="auto"/>
        <w:rPr>
          <w:sz w:val="24"/>
          <w:szCs w:val="24"/>
          <w:u w:val="single"/>
        </w:rPr>
      </w:pPr>
      <w:r w:rsidRPr="00550A92">
        <w:rPr>
          <w:sz w:val="24"/>
          <w:szCs w:val="24"/>
          <w:u w:val="single"/>
        </w:rPr>
        <w:t>Komisionář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Bc. Petra Hubená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Mezilesí 2073/8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193 00 Praha 9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IČO: 66033365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DIČ: 009-7653290513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  <w:u w:val="single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  <w:u w:val="single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  <w:u w:val="single"/>
        </w:rPr>
      </w:pPr>
    </w:p>
    <w:p w:rsidR="00E20B14" w:rsidRPr="00550A92" w:rsidRDefault="00E20B14" w:rsidP="00550A92">
      <w:pPr>
        <w:spacing w:after="0" w:line="240" w:lineRule="auto"/>
        <w:rPr>
          <w:sz w:val="24"/>
          <w:szCs w:val="24"/>
          <w:u w:val="single"/>
        </w:rPr>
      </w:pPr>
      <w:r w:rsidRPr="00550A92">
        <w:rPr>
          <w:sz w:val="24"/>
          <w:szCs w:val="24"/>
          <w:u w:val="single"/>
        </w:rPr>
        <w:t>Komitent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Základní škola „Ústavní“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Hlivická 400/1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181 00 Praha 8 – Bohnice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IČO: 60433337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Zastoupená p. řed. Mgr. Petrem Zmekem</w:t>
      </w:r>
    </w:p>
    <w:p w:rsidR="00E20B14" w:rsidRDefault="00E20B14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Pr="00550A92" w:rsidRDefault="00550A92" w:rsidP="00550A92">
      <w:pPr>
        <w:spacing w:after="0" w:line="240" w:lineRule="auto"/>
        <w:rPr>
          <w:sz w:val="24"/>
          <w:szCs w:val="24"/>
        </w:rPr>
      </w:pPr>
    </w:p>
    <w:p w:rsidR="00E20B14" w:rsidRPr="00550A92" w:rsidRDefault="00E20B14" w:rsidP="00550A92">
      <w:pPr>
        <w:spacing w:after="0" w:line="240" w:lineRule="auto"/>
        <w:jc w:val="center"/>
        <w:rPr>
          <w:sz w:val="24"/>
          <w:szCs w:val="24"/>
        </w:rPr>
      </w:pPr>
      <w:r w:rsidRPr="00550A92">
        <w:rPr>
          <w:sz w:val="24"/>
          <w:szCs w:val="24"/>
        </w:rPr>
        <w:t>II.</w:t>
      </w:r>
    </w:p>
    <w:p w:rsidR="00E20B14" w:rsidRPr="00550A92" w:rsidRDefault="00E20B14" w:rsidP="00550A92">
      <w:pPr>
        <w:spacing w:after="0" w:line="240" w:lineRule="auto"/>
        <w:jc w:val="center"/>
        <w:rPr>
          <w:i/>
          <w:sz w:val="24"/>
          <w:szCs w:val="24"/>
        </w:rPr>
      </w:pPr>
      <w:r w:rsidRPr="00550A92">
        <w:rPr>
          <w:i/>
          <w:sz w:val="24"/>
          <w:szCs w:val="24"/>
        </w:rPr>
        <w:t>Předmět smlouvy</w:t>
      </w:r>
    </w:p>
    <w:p w:rsidR="00E20B14" w:rsidRPr="00550A92" w:rsidRDefault="00E20B14" w:rsidP="00550A92">
      <w:pPr>
        <w:spacing w:after="0" w:line="240" w:lineRule="auto"/>
        <w:rPr>
          <w:i/>
          <w:sz w:val="24"/>
          <w:szCs w:val="24"/>
        </w:rPr>
      </w:pP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Komisionář se zavazuje, že vlastním jménem za podmínek této smlouvy zařídí na účet komitenta následující služby:</w:t>
      </w:r>
    </w:p>
    <w:p w:rsidR="00E20B14" w:rsidRPr="00550A92" w:rsidRDefault="00E20B14" w:rsidP="00550A9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zpracování kompletního účetnictví</w:t>
      </w:r>
    </w:p>
    <w:p w:rsidR="00E20B14" w:rsidRPr="00550A92" w:rsidRDefault="00E20B14" w:rsidP="00550A9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styk s bankou v oblasti úhrady faktur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Přesné rozpracování předmětu smlouvy je uvedeno v příloze č. 1</w:t>
      </w:r>
    </w:p>
    <w:p w:rsidR="00E20B14" w:rsidRDefault="00E20B14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Pr="00550A92" w:rsidRDefault="00550A92" w:rsidP="00550A92">
      <w:pPr>
        <w:spacing w:after="0" w:line="240" w:lineRule="auto"/>
        <w:rPr>
          <w:sz w:val="24"/>
          <w:szCs w:val="24"/>
        </w:rPr>
      </w:pPr>
    </w:p>
    <w:p w:rsidR="00E20B14" w:rsidRPr="00550A92" w:rsidRDefault="00E20B14" w:rsidP="00550A92">
      <w:pPr>
        <w:spacing w:after="0" w:line="240" w:lineRule="auto"/>
        <w:jc w:val="center"/>
        <w:rPr>
          <w:sz w:val="24"/>
          <w:szCs w:val="24"/>
        </w:rPr>
      </w:pPr>
      <w:r w:rsidRPr="00550A92">
        <w:rPr>
          <w:sz w:val="24"/>
          <w:szCs w:val="24"/>
        </w:rPr>
        <w:lastRenderedPageBreak/>
        <w:t>III.</w:t>
      </w:r>
    </w:p>
    <w:p w:rsidR="00E20B14" w:rsidRDefault="00E20B14" w:rsidP="00550A92">
      <w:pPr>
        <w:spacing w:after="0" w:line="240" w:lineRule="auto"/>
        <w:jc w:val="center"/>
        <w:rPr>
          <w:i/>
          <w:sz w:val="24"/>
          <w:szCs w:val="24"/>
        </w:rPr>
      </w:pPr>
      <w:r w:rsidRPr="00550A92">
        <w:rPr>
          <w:i/>
          <w:sz w:val="24"/>
          <w:szCs w:val="24"/>
        </w:rPr>
        <w:t>Doba plnění</w:t>
      </w:r>
    </w:p>
    <w:p w:rsidR="00550A92" w:rsidRPr="00550A92" w:rsidRDefault="00550A92" w:rsidP="00550A92">
      <w:pPr>
        <w:spacing w:after="0" w:line="240" w:lineRule="auto"/>
        <w:jc w:val="center"/>
        <w:rPr>
          <w:i/>
          <w:sz w:val="24"/>
          <w:szCs w:val="24"/>
        </w:rPr>
      </w:pPr>
    </w:p>
    <w:p w:rsidR="00E20B14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Komisionář se zavazuje, že činnost podle čl. II bude pro komitenta vykonávat od účinnosti této smlouvy tj. od 4. ledna 1999 na dobu neurčitou s 3 měsíční výpovědní lhůtou, nabývající účinku 30. března a 30 září kalendářního roku.</w:t>
      </w:r>
    </w:p>
    <w:p w:rsidR="00550A92" w:rsidRPr="00550A92" w:rsidRDefault="00550A92" w:rsidP="00550A92">
      <w:pPr>
        <w:spacing w:after="0" w:line="240" w:lineRule="auto"/>
        <w:rPr>
          <w:sz w:val="24"/>
          <w:szCs w:val="24"/>
        </w:rPr>
      </w:pP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</w:p>
    <w:p w:rsidR="00E20B14" w:rsidRPr="00550A92" w:rsidRDefault="00E20B14" w:rsidP="00550A92">
      <w:pPr>
        <w:spacing w:after="0" w:line="240" w:lineRule="auto"/>
        <w:jc w:val="center"/>
        <w:rPr>
          <w:sz w:val="24"/>
          <w:szCs w:val="24"/>
        </w:rPr>
      </w:pPr>
      <w:r w:rsidRPr="00550A92">
        <w:rPr>
          <w:sz w:val="24"/>
          <w:szCs w:val="24"/>
        </w:rPr>
        <w:t>IV.</w:t>
      </w:r>
    </w:p>
    <w:p w:rsidR="00E20B14" w:rsidRDefault="00E20B14" w:rsidP="00550A92">
      <w:pPr>
        <w:spacing w:after="0" w:line="240" w:lineRule="auto"/>
        <w:jc w:val="center"/>
        <w:rPr>
          <w:i/>
          <w:sz w:val="24"/>
          <w:szCs w:val="24"/>
        </w:rPr>
      </w:pPr>
      <w:r w:rsidRPr="00550A92">
        <w:rPr>
          <w:i/>
          <w:sz w:val="24"/>
          <w:szCs w:val="24"/>
        </w:rPr>
        <w:t>Cena za komisionářskou činnost</w:t>
      </w:r>
    </w:p>
    <w:p w:rsidR="00550A92" w:rsidRPr="00550A92" w:rsidRDefault="00550A92" w:rsidP="00550A92">
      <w:pPr>
        <w:spacing w:after="0" w:line="240" w:lineRule="auto"/>
        <w:jc w:val="center"/>
        <w:rPr>
          <w:i/>
          <w:sz w:val="24"/>
          <w:szCs w:val="24"/>
        </w:rPr>
      </w:pPr>
    </w:p>
    <w:p w:rsidR="00E20B14" w:rsidRPr="00550A92" w:rsidRDefault="00E20B14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Za činnost podle čl. II obdrží komisionář měsíčně částku Kč 8.250,- Kč. Komitent se tímto zavazuje za dohodnutou cenu poskytnout komisionáři k občasnému užívání část kanceláře č. 218, počítač a tiskárnu, telefon a běžnou dodávku energií současně využívaných výchovnou poradkyní mající sídlo v téže kanceláři. Tyto platby budou uhrazeny do 10. dne po skončení kalendářního měsíce. Smluvní pokuta je stanovena 1% z dlužné částky za každý den prodlení.</w:t>
      </w:r>
    </w:p>
    <w:p w:rsidR="00E20B14" w:rsidRDefault="00E20B14" w:rsidP="00550A92">
      <w:pPr>
        <w:spacing w:after="0" w:line="240" w:lineRule="auto"/>
        <w:rPr>
          <w:sz w:val="24"/>
          <w:szCs w:val="24"/>
        </w:rPr>
      </w:pPr>
    </w:p>
    <w:p w:rsidR="00550A92" w:rsidRPr="00550A92" w:rsidRDefault="00550A92" w:rsidP="00550A92">
      <w:pPr>
        <w:spacing w:after="0" w:line="240" w:lineRule="auto"/>
        <w:rPr>
          <w:sz w:val="24"/>
          <w:szCs w:val="24"/>
        </w:rPr>
      </w:pPr>
    </w:p>
    <w:p w:rsidR="00E20B14" w:rsidRPr="00550A92" w:rsidRDefault="00E20B14" w:rsidP="00550A92">
      <w:pPr>
        <w:spacing w:after="0" w:line="240" w:lineRule="auto"/>
        <w:jc w:val="center"/>
        <w:rPr>
          <w:sz w:val="24"/>
          <w:szCs w:val="24"/>
        </w:rPr>
      </w:pPr>
      <w:r w:rsidRPr="00550A92">
        <w:rPr>
          <w:sz w:val="24"/>
          <w:szCs w:val="24"/>
        </w:rPr>
        <w:t>V.</w:t>
      </w:r>
    </w:p>
    <w:p w:rsidR="00E20B14" w:rsidRPr="00550A92" w:rsidRDefault="00E20B14" w:rsidP="00550A92">
      <w:pPr>
        <w:spacing w:after="0" w:line="240" w:lineRule="auto"/>
        <w:jc w:val="center"/>
        <w:rPr>
          <w:i/>
          <w:sz w:val="24"/>
          <w:szCs w:val="24"/>
        </w:rPr>
      </w:pPr>
      <w:r w:rsidRPr="00550A92">
        <w:rPr>
          <w:i/>
          <w:sz w:val="24"/>
          <w:szCs w:val="24"/>
        </w:rPr>
        <w:t>Práva a povinnosti smluvních stran</w:t>
      </w:r>
    </w:p>
    <w:p w:rsidR="00E20B14" w:rsidRPr="00550A92" w:rsidRDefault="00E20B14" w:rsidP="00550A92">
      <w:pPr>
        <w:spacing w:after="0" w:line="240" w:lineRule="auto"/>
        <w:rPr>
          <w:sz w:val="24"/>
          <w:szCs w:val="24"/>
          <w:u w:val="single"/>
        </w:rPr>
      </w:pPr>
      <w:r w:rsidRPr="00550A92">
        <w:rPr>
          <w:sz w:val="24"/>
          <w:szCs w:val="24"/>
          <w:u w:val="single"/>
        </w:rPr>
        <w:t>Povinnosti komisionáře:</w:t>
      </w:r>
    </w:p>
    <w:p w:rsidR="00E20B14" w:rsidRPr="00550A92" w:rsidRDefault="00E20B14" w:rsidP="00550A92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Komisionář je povinen jednat osobně a je oprávněn pro zajišťování předmětné činnosti použít i jiných subjektů, které uzná za vhodné.</w:t>
      </w:r>
    </w:p>
    <w:p w:rsidR="00E20B14" w:rsidRPr="00550A92" w:rsidRDefault="00E20B14" w:rsidP="00550A92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Pokud tento subjekt poruší závazek ze smlouvy, odpovídá komisionář stejně jako kdyby porušil závazek sám.</w:t>
      </w:r>
    </w:p>
    <w:p w:rsidR="00E20B14" w:rsidRPr="00550A92" w:rsidRDefault="00E20B14" w:rsidP="00550A92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V případě, kdy se komisionář odchýlí od pokynů komitenta podle § 578 odst. 2 Obchodního zákoníku, musí komitent odmítnout účinnost takového jednání komisionáře nejpozději do 10-ti dnů od prokazatelného uvědomění, jinak je komitent jednáním komisionáře v konečných účincích vázán.</w:t>
      </w:r>
    </w:p>
    <w:p w:rsidR="00E20B14" w:rsidRPr="00550A92" w:rsidRDefault="00E20B14" w:rsidP="00550A92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Povinností komisionáře není převzetí plnění ze závazků uzavřených s třetí stranou.</w:t>
      </w:r>
    </w:p>
    <w:p w:rsidR="00E20B14" w:rsidRDefault="00E20B14" w:rsidP="00550A92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Povinností komisionáře je pravidelně seznamovat komitenta s ekonomicko-technickým stavem předmětné činnosti, a to v termínech specifikovaných v příloze č. 1, dále pak operativně projednávat aktuální provozní záležitosti.</w:t>
      </w:r>
    </w:p>
    <w:p w:rsidR="00550A92" w:rsidRPr="00550A92" w:rsidRDefault="00550A92" w:rsidP="00550A92">
      <w:pPr>
        <w:pStyle w:val="Odstavecseseznamem"/>
        <w:spacing w:after="0" w:line="240" w:lineRule="auto"/>
        <w:rPr>
          <w:sz w:val="24"/>
          <w:szCs w:val="24"/>
        </w:rPr>
      </w:pPr>
    </w:p>
    <w:p w:rsidR="00E20B14" w:rsidRPr="00550A92" w:rsidRDefault="00E20B14" w:rsidP="00550A92">
      <w:pPr>
        <w:spacing w:after="0" w:line="240" w:lineRule="auto"/>
        <w:rPr>
          <w:sz w:val="24"/>
          <w:szCs w:val="24"/>
          <w:u w:val="single"/>
        </w:rPr>
      </w:pPr>
      <w:r w:rsidRPr="00550A92">
        <w:rPr>
          <w:sz w:val="24"/>
          <w:szCs w:val="24"/>
          <w:u w:val="single"/>
        </w:rPr>
        <w:t>Povinnosti komitenta:</w:t>
      </w:r>
    </w:p>
    <w:p w:rsidR="00550A92" w:rsidRDefault="00E20B14" w:rsidP="00550A92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Komitent je povinen předkládat veškeré podklady a dokumentaci vyplývající z příloh smlouvy v dohodnutých časových termínech komisionáři. Pokud tuto povinnost poruší, komisionář není odpovědný za úplnost a včasné zpracování předmětu smlouvy.</w:t>
      </w: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P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P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Pr="00550A92" w:rsidRDefault="00550A92" w:rsidP="00550A92">
      <w:pPr>
        <w:spacing w:after="0" w:line="240" w:lineRule="auto"/>
        <w:jc w:val="center"/>
        <w:rPr>
          <w:sz w:val="24"/>
          <w:szCs w:val="24"/>
        </w:rPr>
      </w:pPr>
      <w:r w:rsidRPr="00550A92">
        <w:rPr>
          <w:sz w:val="24"/>
          <w:szCs w:val="24"/>
        </w:rPr>
        <w:t>VI.</w:t>
      </w:r>
    </w:p>
    <w:p w:rsidR="00550A92" w:rsidRDefault="00550A92" w:rsidP="00550A92">
      <w:pPr>
        <w:spacing w:after="0" w:line="240" w:lineRule="auto"/>
        <w:jc w:val="center"/>
        <w:rPr>
          <w:i/>
          <w:sz w:val="24"/>
          <w:szCs w:val="24"/>
        </w:rPr>
      </w:pPr>
      <w:r w:rsidRPr="00550A92">
        <w:rPr>
          <w:i/>
          <w:sz w:val="24"/>
          <w:szCs w:val="24"/>
        </w:rPr>
        <w:t>Závěrečná ustanovení</w:t>
      </w:r>
    </w:p>
    <w:p w:rsidR="00550A92" w:rsidRPr="00550A92" w:rsidRDefault="00550A92" w:rsidP="00550A92">
      <w:pPr>
        <w:spacing w:after="0" w:line="240" w:lineRule="auto"/>
        <w:jc w:val="center"/>
        <w:rPr>
          <w:i/>
          <w:sz w:val="24"/>
          <w:szCs w:val="24"/>
        </w:rPr>
      </w:pPr>
    </w:p>
    <w:p w:rsidR="00550A92" w:rsidRPr="00550A92" w:rsidRDefault="00550A92" w:rsidP="00550A92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Obsah smlouvy lze měnit, doplňovat či rušit jen po písemném souhlasu obou stran.</w:t>
      </w:r>
    </w:p>
    <w:p w:rsidR="00550A92" w:rsidRPr="00550A92" w:rsidRDefault="00550A92" w:rsidP="00550A92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Smlouva nabývá platnosti dnem podpisu obou stran.</w:t>
      </w:r>
    </w:p>
    <w:p w:rsidR="00550A92" w:rsidRPr="00550A92" w:rsidRDefault="00550A92" w:rsidP="00550A92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Smlouva je vyhotovena ve třech kopiích, z nichž každá má platnost originálu.</w:t>
      </w: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Pr="00550A92" w:rsidRDefault="00550A92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V Praze dne 4.1.1999</w:t>
      </w:r>
    </w:p>
    <w:p w:rsidR="00550A92" w:rsidRP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Default="00550A92" w:rsidP="00550A9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Pr="00550A92" w:rsidRDefault="00550A92" w:rsidP="00550A92">
      <w:pPr>
        <w:spacing w:after="0" w:line="240" w:lineRule="auto"/>
        <w:rPr>
          <w:sz w:val="24"/>
          <w:szCs w:val="24"/>
        </w:rPr>
      </w:pPr>
    </w:p>
    <w:p w:rsidR="00550A92" w:rsidRPr="00550A92" w:rsidRDefault="00550A92" w:rsidP="00550A92">
      <w:pPr>
        <w:spacing w:after="0" w:line="240" w:lineRule="auto"/>
        <w:rPr>
          <w:sz w:val="24"/>
          <w:szCs w:val="24"/>
        </w:rPr>
      </w:pPr>
      <w:r w:rsidRPr="00550A92">
        <w:rPr>
          <w:sz w:val="24"/>
          <w:szCs w:val="24"/>
        </w:rPr>
        <w:t>komitent</w:t>
      </w:r>
      <w:r w:rsidRPr="00550A92">
        <w:rPr>
          <w:sz w:val="24"/>
          <w:szCs w:val="24"/>
        </w:rPr>
        <w:tab/>
      </w:r>
      <w:r w:rsidRPr="00550A92">
        <w:rPr>
          <w:sz w:val="24"/>
          <w:szCs w:val="24"/>
        </w:rPr>
        <w:tab/>
      </w:r>
      <w:r w:rsidRPr="00550A92">
        <w:rPr>
          <w:sz w:val="24"/>
          <w:szCs w:val="24"/>
        </w:rPr>
        <w:tab/>
      </w:r>
      <w:r w:rsidRPr="00550A92">
        <w:rPr>
          <w:sz w:val="24"/>
          <w:szCs w:val="24"/>
        </w:rPr>
        <w:tab/>
      </w:r>
      <w:r w:rsidRPr="00550A92">
        <w:rPr>
          <w:sz w:val="24"/>
          <w:szCs w:val="24"/>
        </w:rPr>
        <w:tab/>
      </w:r>
      <w:r w:rsidRPr="00550A92">
        <w:rPr>
          <w:sz w:val="24"/>
          <w:szCs w:val="24"/>
        </w:rPr>
        <w:tab/>
      </w:r>
      <w:r w:rsidRPr="00550A92">
        <w:rPr>
          <w:sz w:val="24"/>
          <w:szCs w:val="24"/>
        </w:rPr>
        <w:tab/>
      </w:r>
      <w:r w:rsidRPr="00550A92">
        <w:rPr>
          <w:sz w:val="24"/>
          <w:szCs w:val="24"/>
        </w:rPr>
        <w:tab/>
      </w:r>
      <w:r w:rsidRPr="00550A92">
        <w:rPr>
          <w:sz w:val="24"/>
          <w:szCs w:val="24"/>
        </w:rPr>
        <w:tab/>
      </w:r>
      <w:r w:rsidRPr="00550A92">
        <w:rPr>
          <w:sz w:val="24"/>
          <w:szCs w:val="24"/>
        </w:rPr>
        <w:tab/>
        <w:t>komisionář</w:t>
      </w:r>
    </w:p>
    <w:sectPr w:rsidR="00550A92" w:rsidRPr="00550A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F6" w:rsidRDefault="000B03F6" w:rsidP="00550A92">
      <w:pPr>
        <w:spacing w:after="0" w:line="240" w:lineRule="auto"/>
      </w:pPr>
      <w:r>
        <w:separator/>
      </w:r>
    </w:p>
  </w:endnote>
  <w:endnote w:type="continuationSeparator" w:id="0">
    <w:p w:rsidR="000B03F6" w:rsidRDefault="000B03F6" w:rsidP="0055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450554"/>
      <w:docPartObj>
        <w:docPartGallery w:val="Page Numbers (Bottom of Page)"/>
        <w:docPartUnique/>
      </w:docPartObj>
    </w:sdtPr>
    <w:sdtContent>
      <w:p w:rsidR="00550A92" w:rsidRDefault="00550A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50A92" w:rsidRDefault="00550A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F6" w:rsidRDefault="000B03F6" w:rsidP="00550A92">
      <w:pPr>
        <w:spacing w:after="0" w:line="240" w:lineRule="auto"/>
      </w:pPr>
      <w:r>
        <w:separator/>
      </w:r>
    </w:p>
  </w:footnote>
  <w:footnote w:type="continuationSeparator" w:id="0">
    <w:p w:rsidR="000B03F6" w:rsidRDefault="000B03F6" w:rsidP="0055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F3C"/>
    <w:multiLevelType w:val="hybridMultilevel"/>
    <w:tmpl w:val="0E483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78C5"/>
    <w:multiLevelType w:val="hybridMultilevel"/>
    <w:tmpl w:val="D97E6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7B45"/>
    <w:multiLevelType w:val="hybridMultilevel"/>
    <w:tmpl w:val="7A269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519C"/>
    <w:multiLevelType w:val="hybridMultilevel"/>
    <w:tmpl w:val="1D163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14"/>
    <w:rsid w:val="000B03F6"/>
    <w:rsid w:val="00541A13"/>
    <w:rsid w:val="00550A92"/>
    <w:rsid w:val="00E2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D7CB-6FD4-48AF-8C2C-B76D262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B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A92"/>
  </w:style>
  <w:style w:type="paragraph" w:styleId="Zpat">
    <w:name w:val="footer"/>
    <w:basedOn w:val="Normln"/>
    <w:link w:val="ZpatChar"/>
    <w:uiPriority w:val="99"/>
    <w:unhideWhenUsed/>
    <w:rsid w:val="0055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2018-01-20T06:01:00Z</dcterms:created>
  <dcterms:modified xsi:type="dcterms:W3CDTF">2018-01-20T06:18:00Z</dcterms:modified>
</cp:coreProperties>
</file>