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1E21BF" w:rsidP="001E21BF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Smlouva o Roznášce </w:t>
      </w:r>
      <w:r w:rsidR="00233226">
        <w:rPr>
          <w:rFonts w:ascii="Arial" w:hAnsi="Arial" w:cs="Arial"/>
          <w:b/>
          <w:sz w:val="36"/>
        </w:rPr>
        <w:t>informačních/</w:t>
      </w:r>
      <w:r>
        <w:rPr>
          <w:rFonts w:ascii="Arial" w:hAnsi="Arial" w:cs="Arial"/>
          <w:b/>
          <w:sz w:val="36"/>
        </w:rPr>
        <w:t xml:space="preserve">propagačních materiálů </w:t>
      </w:r>
    </w:p>
    <w:p w:rsidR="001E21BF" w:rsidRDefault="001E21BF" w:rsidP="001E21BF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982707-0328/2015</w:t>
      </w:r>
      <w:r w:rsidR="00201930">
        <w:rPr>
          <w:rFonts w:ascii="Arial" w:hAnsi="Arial" w:cs="Arial"/>
          <w:b/>
          <w:sz w:val="36"/>
        </w:rPr>
        <w:t>, E</w:t>
      </w:r>
      <w:r w:rsidR="00201930" w:rsidRPr="00201930">
        <w:rPr>
          <w:rFonts w:ascii="Arial" w:hAnsi="Arial" w:cs="Arial"/>
          <w:b/>
          <w:sz w:val="36"/>
        </w:rPr>
        <w:t>2018/00563</w:t>
      </w:r>
    </w:p>
    <w:p w:rsidR="001E21BF" w:rsidRDefault="001E21BF" w:rsidP="001E21B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Miroslav Štěpán, Obchodní ředitel regionu, Obchod SM 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</w:p>
    <w:p w:rsidR="001E21BF" w:rsidRDefault="001E21BF" w:rsidP="001E21B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1E21BF" w:rsidRDefault="001E21BF" w:rsidP="001E21BF">
      <w:pPr>
        <w:numPr>
          <w:ilvl w:val="0"/>
          <w:numId w:val="0"/>
        </w:numPr>
        <w:spacing w:after="0" w:line="240" w:lineRule="auto"/>
        <w:ind w:left="142"/>
      </w:pPr>
    </w:p>
    <w:p w:rsidR="001E21BF" w:rsidRDefault="001E21BF" w:rsidP="001E21B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Město Petřvald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Gen. Svobody 511, </w:t>
      </w:r>
      <w:proofErr w:type="gramStart"/>
      <w:r>
        <w:t>735 41  Petřvald</w:t>
      </w:r>
      <w:proofErr w:type="gramEnd"/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3358">
        <w:t>00</w:t>
      </w:r>
      <w:r>
        <w:t>297593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CZ00297593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Jiří </w:t>
      </w:r>
      <w:proofErr w:type="spellStart"/>
      <w:r>
        <w:t>Lukša</w:t>
      </w:r>
      <w:proofErr w:type="spellEnd"/>
      <w:r>
        <w:t>, starosta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za</w:t>
      </w:r>
      <w:r w:rsidR="00683358">
        <w:t>psán/a v obchodním rejstříku:</w:t>
      </w:r>
      <w:r w:rsidR="00683358">
        <w:tab/>
      </w:r>
      <w:r w:rsidR="00683358">
        <w:tab/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spořitelna, a.s.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27-1721679329/0800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Město Petřvald, Gen. Svobody 511, </w:t>
      </w:r>
      <w:proofErr w:type="gramStart"/>
      <w:r>
        <w:t>735 41  Petřvald</w:t>
      </w:r>
      <w:proofErr w:type="gramEnd"/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  <w:t>B 88 35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16072001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  <w:r>
        <w:t>(dále jen "Objednatel")</w:t>
      </w:r>
    </w:p>
    <w:p w:rsidR="001E21BF" w:rsidRDefault="001E21BF" w:rsidP="001E21BF">
      <w:pPr>
        <w:numPr>
          <w:ilvl w:val="0"/>
          <w:numId w:val="0"/>
        </w:numPr>
        <w:spacing w:before="50" w:after="70" w:line="240" w:lineRule="auto"/>
        <w:ind w:left="142"/>
      </w:pPr>
    </w:p>
    <w:p w:rsidR="001E21BF" w:rsidRDefault="001E21BF" w:rsidP="0041749D">
      <w:pPr>
        <w:numPr>
          <w:ilvl w:val="0"/>
          <w:numId w:val="0"/>
        </w:numPr>
        <w:spacing w:before="160" w:after="200" w:line="276" w:lineRule="auto"/>
        <w:ind w:left="142"/>
        <w:jc w:val="both"/>
      </w:pPr>
      <w:r>
        <w:t>dále jednotlivě jako "Smluvní strana", nebo společně jako "Smluvní strany" uzavírají v souladu s ustanovením § 1746 odst. 2 zákona č. 89/2012 Sb., občanského zákoníku, ve znění pozdějších předpisů (dále jen "Občanský zákoník"), Smlouvu o Roznášce informačních/propagačních materiálů (dále jen "Smlouva").(dále jen "Smlouva").</w:t>
      </w:r>
    </w:p>
    <w:p w:rsidR="001E21BF" w:rsidRPr="001E21BF" w:rsidRDefault="001E21BF" w:rsidP="001E21B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Účel a předmět Smlouvy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Předmětem Smlouvy je úprava vzájemných práv a povinností, zejména pak závazek ČP zabezpečit realizaci služby Roznáška informačních/propagačních materiálů (dále jen "RIPM") v lokalitách, počtech a termínech dle jednotlivých potvrzených zakázek Objednatele a povinnost Objednatele zaplatit za objednanou službu řádně a včas ujednanou cenu.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Není-li ve Smlouvě výslovně ujednáno jinak, práva a povinnosti z uzavřené Smlouvy vyplývají z Obchodních podmínek služby RIPM (dále jen "Obchodní podmínky"), platných v den předání informačních/propagačních materiálů.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V souladu s § 1751 občanského zákoníku jsou nedílnou součástí této Smlouvy Obchodní podmínky a Poštovní podmínky České pošty, </w:t>
      </w:r>
      <w:proofErr w:type="spellStart"/>
      <w:r>
        <w:t>s.p</w:t>
      </w:r>
      <w:proofErr w:type="spellEnd"/>
      <w:r>
        <w:t xml:space="preserve">. - Ceník poštovních služeb a ostatních služeb poskytovaných Českou poštou,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v části upravující ceny služby RIPM (dále jen "Ceník"). Podpisem této Smlouvy Objednatel potvrzuje, že se seznámil s obsahem a významem dokumentů uvedených v předchozí větě, že mu byl text těchto dokumentů dostatečně vysvětlen a že výslovně s jejich zněním souhlasí. 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ČP je oprávněna provádět v přiměřeném rozsahu změny Obchodních podmínek a Ceníku. ČP Objednateli poskytne informace o změně Obchodních podmínek a Ceníku včetně informace o dni účinnosti změn nejméně 30 dní před dnem účinnosti změn, a to zpřístupněním této informace na všech poštách v ČR a na internetové adrese http://www.ceskaposta.cz/. ČP může poskytnout informace o změně včetně nového znění Obchodních podmínek a Ceníku i jinými prostředky komunikace ujednanými s Objednatelem nebo jejich zasláním na adresu Objednatele uvedenou v záhlaví této Smlouvy.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Objednatel je povinen se s novým zněním Obchodních podmínek a Ceníku seznámit.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Pokud Objednatel písemně nevypoví tuto Smlouvu nejpozději 1 pracovní den před navrhovaným dnem účinnosti nového znění Obchodních podmínek a Ceníku, platí, že změnu Obchodních podmínek a Ceníku přijal s účinností ode dne účinnosti stanoveného ČP. Změny Obchodních podmínek a Ceníku se týkají jak nově, tak dříve ujednaných závazkových vztahů, pokud ČP nestanoví v Obchodních podmínkách a Ceníku jinak.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Pokud Objednatel písemně odmítne návrh na změnu Obchodních podmínek a Ceníku, současně s tímto oznámením o odmítnutí navrhovaných změn vypovídá tuto Smlouvu. Výpovědní doba počíná běžet dnem doručení výpovědi druhé straně, přičemž skončí ke dni účinnosti změny Obchodních podmínek a Ceníku. Výpověď musí být doručena druhé smluvní straně přede dnem, kdy má navrhovaná změna nabýt účinnosti.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Výpověď a oznámení o odmítnutí navrhovaných změn Obchodních podmínek a Ceníku učiněné Objednatelem musí mít písemnou formu</w:t>
      </w:r>
      <w:r w:rsidR="00683358">
        <w:t xml:space="preserve"> </w:t>
      </w:r>
      <w:r>
        <w:t>a musí být doručeny ČP osobně, poštou, kurýrní službou nebo jiným dohodnutým způsobem umožňujícím přepravu nebo přenos a prokazatelné doručení. ČP se s Objednatelem může též dohodnout, že výpověď a oznámení o odmítnutí navrhovaných změn budou doručovány faxem nebo prostřednictvím elektronické pošty.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ČP a Objednatel se odchylně od výše uvedeného dohodli, že je ČP oprávněna provést s okamžitou účinností jednostrannou změnu Obchodních podmínek a Ceníku, je-li tato změna výhradně ve prospěch Objednatele.</w:t>
      </w:r>
    </w:p>
    <w:p w:rsidR="001E21BF" w:rsidRPr="001E21BF" w:rsidRDefault="001E21BF" w:rsidP="001E21B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Popis RIPM a vymezení okruhu příjemců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Objednatel je povinen před každou jednotlivou zakázkou předat ČP vyplněný Zakázkový list v elektronické podobě. Vzor Zakázkového listu je přiložen jako Příloha č. 1 k této Smlouvě. Součástí Zakázkového listu je distribuční seznam dodávacích pošt včetně jejich PSČ, množství </w:t>
      </w:r>
      <w:r>
        <w:lastRenderedPageBreak/>
        <w:t xml:space="preserve">informačních/propagačních materiálů určené na každou dodávací poštu a zařazení obce do příslušného pásma. 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Zakázkou se pro účely této Smlouvy rozumí každé jednotlivé podání stejného druhu RIPM, stejné hmotnosti a termínu doručení uvedeného v Zakázkovém listu předaných (podaných) informačních/propagačních materiálů (dále jen "Zakázkový list").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ČP poskytuje informace o zařazení lokalit (obcí) do příslušných pásem, počtu domácností podle dodávacích pošt a přiřazení obcí a jejich částí k dodávacím poštám na internetové adrese http://www.ceskaposta.cz/.</w:t>
      </w:r>
    </w:p>
    <w:p w:rsidR="001E21BF" w:rsidRPr="001E21BF" w:rsidRDefault="001E21BF" w:rsidP="001E21B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Místo a způsob podání</w:t>
      </w:r>
    </w:p>
    <w:p w:rsidR="001E21BF" w:rsidRP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rPr>
          <w:b/>
        </w:rPr>
        <w:t xml:space="preserve">Podací místo: Petřvald u Karviné, Gen. Svobody 929, PSČ </w:t>
      </w:r>
      <w:proofErr w:type="gramStart"/>
      <w:r>
        <w:rPr>
          <w:b/>
        </w:rPr>
        <w:t>735 41  Petřvald</w:t>
      </w:r>
      <w:proofErr w:type="gramEnd"/>
    </w:p>
    <w:p w:rsidR="001E21BF" w:rsidRDefault="001E21BF" w:rsidP="001E21BF">
      <w:pPr>
        <w:numPr>
          <w:ilvl w:val="2"/>
          <w:numId w:val="50"/>
        </w:numPr>
        <w:spacing w:after="120"/>
        <w:ind w:left="624" w:hanging="624"/>
        <w:jc w:val="both"/>
      </w:pPr>
      <w:r>
        <w:t>Mezní čas předání RIPM je do 16:00 hod.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Pro každou zakázku Objednatel předá ČP Zakázkový list spolu s distribučním seznamem v elektronické podobě, a to nejpozději 3 pracovní dny před návozem informačních/propagačních materiálů materiálu ke zpracování, na e-mailovou adresu </w:t>
      </w:r>
      <w:r w:rsidR="004F444A">
        <w:t>x</w:t>
      </w:r>
      <w:r>
        <w:t>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ČP Zakázkový list Objednateli potvrdí nebo sdělí Objednateli podmínky, za jakých zakázku přijme.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V případě, že skutečná hmotnost informačních/propagačních materiálů nebude odpovídat hmotnosti informačních/propagačních materiálů uvedené v Zakázkovém listu, oznámí ČP telefonicky Objednateli skutečnou hmotnost. Realizace zakázky bude pozdržena do obdržení elektronického (na e-mail: </w:t>
      </w:r>
      <w:r w:rsidR="004F444A">
        <w:t>x</w:t>
      </w:r>
      <w:bookmarkStart w:id="0" w:name="_GoBack"/>
      <w:bookmarkEnd w:id="0"/>
      <w:r>
        <w:t>) souhlasu Objednatele se skutečnou hmotností a z ní vyplývající ceny dle Čl. 5, bod 5.1 této Smlouvy. Rozdíl ceny bude doplacen dle ujednaného způsobu úhrady.</w:t>
      </w:r>
    </w:p>
    <w:p w:rsidR="001E21BF" w:rsidRDefault="001E21BF" w:rsidP="001E21BF">
      <w:pPr>
        <w:numPr>
          <w:ilvl w:val="2"/>
          <w:numId w:val="50"/>
        </w:numPr>
        <w:spacing w:after="120"/>
        <w:ind w:left="624" w:hanging="624"/>
        <w:jc w:val="both"/>
      </w:pPr>
      <w:r>
        <w:t>Stejný postup bude uplatněn i v případě zjištění jiných nesrovnalostí uvedených v Zakázkovém listu.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V případě, že bude materiál předán na paletách, Objednatel zajistí, že bude odebrán zpět stejný počet a typ palet, a to podle způsobu a ve lhůtě dohodnuté s podacím místem. V případě jednorázových palet, u kterých nebude Objednatelem požadováno vrácení, budou palety ponechány na POSTSERVISU/POSTKOMPLETU k volnému využití. V případě ztráty nebo zničení jednorázových palet není ČP povinna Objednateli hradit jakékoli náhrady.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Objednatel před podáním opatří balík/svazek informačních/propagačních materiálů podací nálepkou s čárovým kódem (dále jen "ČK") některým z následujících způsobů:</w:t>
      </w:r>
    </w:p>
    <w:p w:rsidR="001E21BF" w:rsidRDefault="001E21BF" w:rsidP="001E21BF">
      <w:pPr>
        <w:numPr>
          <w:ilvl w:val="3"/>
          <w:numId w:val="50"/>
        </w:numPr>
        <w:spacing w:after="120"/>
        <w:jc w:val="both"/>
      </w:pPr>
      <w:r>
        <w:t>Podací nálepkou s ČK, jejíž potisk je generován ze softwaru ČP (dále jen "podací nálepka ČP") a která je vydávána ze strany ČP zdarma v potřebném počtu</w:t>
      </w:r>
      <w:r w:rsidR="00683358">
        <w:t xml:space="preserve"> </w:t>
      </w:r>
      <w:r>
        <w:t>po uzavření této Smlouvy a dále na základě písemné, e-mailové nebo faxové objednávky (výjimečně i telefonické objednávky, která musí být následně potvrzena některým z předcházejících způsobů objednání). Podací nálepky ČP jsou předávány Objednateli na kotouči. Podací nálepka ČP bude umístěna na jednom balíku/svazku a ostatní balíky/svazky k jedné zakázce budou</w:t>
      </w:r>
      <w:r w:rsidR="00683358">
        <w:t xml:space="preserve"> </w:t>
      </w:r>
      <w:r>
        <w:t>Objednatelem označeny buď podacím číslem s ČK nebo pouze jeho přepisem (alfanumerický přepis). Tedy v rámci jedné zakázky bude totožný přepis čárového kódu v číselné podobě</w:t>
      </w:r>
      <w:r w:rsidR="00683358">
        <w:t xml:space="preserve"> </w:t>
      </w:r>
      <w:r>
        <w:t>uveden na všech balících/svazcích.</w:t>
      </w:r>
    </w:p>
    <w:p w:rsidR="001E21BF" w:rsidRDefault="001E21BF" w:rsidP="001E21BF">
      <w:pPr>
        <w:numPr>
          <w:ilvl w:val="2"/>
          <w:numId w:val="50"/>
        </w:numPr>
        <w:spacing w:after="120"/>
        <w:ind w:left="624" w:hanging="624"/>
        <w:jc w:val="both"/>
      </w:pPr>
      <w:r>
        <w:t>Vzor podací nálepky s ČK a její umístění na adresním štítku je v Příloze č. 2.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Objednatel bude používat podací nálepky ČP vzestupně v pořadí jejich podacích čísel (číslo na štítku ČP bez poslední číslice, která je kontrolní).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lastRenderedPageBreak/>
        <w:t>Potištěné podací nálepky s čárovým kódem ČP objednává Objednatel v předstihu 20 pracovních dní na e-mailu: nalepky.podavatel.sm@cpost.cz prostřednictvím objednávkového formuláře, kde je zvolen způsob jejich převzetí.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Podací nálepky ČP jsou zúčtovatelným tiskopisem. Objednatel zajistí jejich ochranu a odpovídá ČP za škodu vzniklou jejich případným zneužitím. Nevyužité, poškozené či jinak znehodnocené podací nálepky ČP vrátí Objednatel bez zbytečného odkladu ČP.</w:t>
      </w:r>
    </w:p>
    <w:p w:rsidR="001E21BF" w:rsidRPr="001E21BF" w:rsidRDefault="001E21BF" w:rsidP="001E21B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Dodání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ČP se</w:t>
      </w:r>
      <w:r w:rsidR="00683358">
        <w:t xml:space="preserve"> </w:t>
      </w:r>
      <w:r>
        <w:t>zavazuje dodržet termíny zahájení a ukončení RIPM uváděné v jednotlivých potvrzených Zakázkových listech nebo dokladech stvrzujících podání prostřednictvím Souboru RIPM s výjimkou ustanovení Čl. 3 bodu 3.4.</w:t>
      </w:r>
    </w:p>
    <w:p w:rsidR="001E21BF" w:rsidRPr="001E21BF" w:rsidRDefault="001E21BF" w:rsidP="001E21B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Cena a způsob úhrady</w:t>
      </w:r>
    </w:p>
    <w:p w:rsidR="001E21BF" w:rsidRP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rPr>
          <w:b/>
        </w:rPr>
        <w:t>Cena služby RIPM bude pro konkrétní zakázku vycházet z Ceníku platného v den převzetí informačních/propagačních materiálů.</w:t>
      </w:r>
    </w:p>
    <w:p w:rsidR="001E21BF" w:rsidRDefault="001E21BF" w:rsidP="001E21BF">
      <w:pPr>
        <w:numPr>
          <w:ilvl w:val="2"/>
          <w:numId w:val="50"/>
        </w:numPr>
        <w:spacing w:after="120"/>
        <w:ind w:left="624" w:hanging="624"/>
        <w:jc w:val="both"/>
      </w:pPr>
      <w:r>
        <w:t>ČP si vyhrazuje právo tento Ceník měnit v souladu s ustanovením Čl. 1 bod 1.4 a násl. této Smlouvy. K ceně služby bude připočtena DPH dle platných právních předpisů.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Způsob úhrady ceny služby byl sjednán:</w:t>
      </w:r>
    </w:p>
    <w:p w:rsidR="001E21BF" w:rsidRPr="00683358" w:rsidRDefault="001E21BF" w:rsidP="001E21BF">
      <w:pPr>
        <w:numPr>
          <w:ilvl w:val="3"/>
          <w:numId w:val="50"/>
        </w:numPr>
        <w:spacing w:after="120"/>
        <w:jc w:val="both"/>
        <w:rPr>
          <w:b/>
        </w:rPr>
      </w:pPr>
      <w:r w:rsidRPr="00683358">
        <w:rPr>
          <w:b/>
        </w:rPr>
        <w:t>na základě faktury</w:t>
      </w:r>
    </w:p>
    <w:p w:rsidR="001E21BF" w:rsidRDefault="001E21BF" w:rsidP="001E21BF">
      <w:pPr>
        <w:numPr>
          <w:ilvl w:val="4"/>
          <w:numId w:val="50"/>
        </w:numPr>
        <w:spacing w:after="120"/>
        <w:jc w:val="both"/>
      </w:pPr>
      <w:r>
        <w:t>převodem z účtu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Faktury - daňové doklady bude ČP vystavovat </w:t>
      </w:r>
      <w:r w:rsidRPr="00683358">
        <w:rPr>
          <w:b/>
        </w:rPr>
        <w:t>měsíčně</w:t>
      </w:r>
      <w:r>
        <w:t xml:space="preserve"> s lhůtou splatnosti </w:t>
      </w:r>
      <w:r w:rsidR="004F444A">
        <w:rPr>
          <w:b/>
        </w:rPr>
        <w:t>x</w:t>
      </w:r>
      <w:r w:rsidRPr="00683358">
        <w:rPr>
          <w:b/>
        </w:rPr>
        <w:t xml:space="preserve"> dní</w:t>
      </w:r>
      <w:r>
        <w:t xml:space="preserve"> ode dne jejich vystavení. </w:t>
      </w:r>
    </w:p>
    <w:p w:rsidR="001E21BF" w:rsidRDefault="001E21BF" w:rsidP="001E21BF">
      <w:pPr>
        <w:numPr>
          <w:ilvl w:val="2"/>
          <w:numId w:val="50"/>
        </w:numPr>
        <w:spacing w:after="120"/>
        <w:ind w:left="624" w:hanging="624"/>
        <w:jc w:val="both"/>
      </w:pPr>
      <w:r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 Náhrada škody, která vznikla nesplněním povinnosti k úhradě ceny, není kryta úroky z prodlení.</w:t>
      </w:r>
    </w:p>
    <w:p w:rsidR="001E21BF" w:rsidRPr="00683358" w:rsidRDefault="001E21BF" w:rsidP="001E21BF">
      <w:pPr>
        <w:numPr>
          <w:ilvl w:val="2"/>
          <w:numId w:val="50"/>
        </w:numPr>
        <w:spacing w:after="120"/>
        <w:ind w:left="624" w:hanging="624"/>
        <w:jc w:val="both"/>
        <w:rPr>
          <w:b/>
        </w:rPr>
      </w:pPr>
      <w:r>
        <w:t xml:space="preserve">Faktury - daňové doklady budou zasílány na adresu: </w:t>
      </w:r>
      <w:r w:rsidRPr="00683358">
        <w:rPr>
          <w:b/>
        </w:rPr>
        <w:t xml:space="preserve">Město Petřvald, Gen. Svobody 511, </w:t>
      </w:r>
      <w:proofErr w:type="gramStart"/>
      <w:r w:rsidRPr="00683358">
        <w:rPr>
          <w:b/>
        </w:rPr>
        <w:t>735 41  Petřvald</w:t>
      </w:r>
      <w:proofErr w:type="gramEnd"/>
    </w:p>
    <w:p w:rsidR="001E21BF" w:rsidRDefault="001E21BF" w:rsidP="001E21BF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ID CČK složky: </w:t>
      </w:r>
      <w:r w:rsidRPr="00683358">
        <w:rPr>
          <w:b/>
        </w:rPr>
        <w:t>16072001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Pokud Odesílatel nevyrovná své závazky vůči ČP ve lhůtě splatnosti stanovené podle čl. 5, bodu 5.3 této Dohody, vyhrazuje si ČP právo po dobu prodlení Odesílatele s úhradou jeho závazků nepřevzít zásilky dle podmínek této Dohody, případně podmínit převzetí zásilek dle podmínek této Dohody podáním zásilek na ČP stanoveném podacím místě a platbou v hotovosti předem.</w:t>
      </w:r>
    </w:p>
    <w:p w:rsidR="001E21BF" w:rsidRPr="001E21BF" w:rsidRDefault="001E21BF" w:rsidP="001E21B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Ostatní ujednání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Kontaktními osobami za Objednatele jsou:</w:t>
      </w:r>
    </w:p>
    <w:p w:rsidR="001E21BF" w:rsidRPr="007019E0" w:rsidRDefault="004F444A" w:rsidP="001E21BF">
      <w:pPr>
        <w:numPr>
          <w:ilvl w:val="5"/>
          <w:numId w:val="50"/>
        </w:numPr>
        <w:spacing w:after="120"/>
        <w:jc w:val="both"/>
        <w:rPr>
          <w:b/>
        </w:rPr>
      </w:pPr>
      <w:r>
        <w:rPr>
          <w:b/>
        </w:rPr>
        <w:t>x</w:t>
      </w:r>
    </w:p>
    <w:p w:rsidR="001E21BF" w:rsidRDefault="001E21BF" w:rsidP="001E21BF">
      <w:pPr>
        <w:numPr>
          <w:ilvl w:val="2"/>
          <w:numId w:val="50"/>
        </w:numPr>
        <w:spacing w:after="120"/>
        <w:ind w:left="624" w:hanging="624"/>
        <w:jc w:val="both"/>
      </w:pPr>
      <w:r>
        <w:t>Kontaktními osobami za ČP jsou:</w:t>
      </w:r>
    </w:p>
    <w:p w:rsidR="001E21BF" w:rsidRPr="00683358" w:rsidRDefault="004F444A" w:rsidP="001E21BF">
      <w:pPr>
        <w:numPr>
          <w:ilvl w:val="5"/>
          <w:numId w:val="50"/>
        </w:numPr>
        <w:spacing w:after="120"/>
        <w:jc w:val="both"/>
        <w:rPr>
          <w:b/>
        </w:rPr>
      </w:pPr>
      <w:r>
        <w:rPr>
          <w:b/>
        </w:rPr>
        <w:lastRenderedPageBreak/>
        <w:t>x</w:t>
      </w:r>
    </w:p>
    <w:p w:rsidR="001E21BF" w:rsidRPr="00683358" w:rsidRDefault="004F444A" w:rsidP="004F444A">
      <w:pPr>
        <w:numPr>
          <w:ilvl w:val="5"/>
          <w:numId w:val="50"/>
        </w:numPr>
        <w:spacing w:after="120"/>
        <w:jc w:val="both"/>
        <w:rPr>
          <w:b/>
        </w:rPr>
      </w:pPr>
      <w:r>
        <w:rPr>
          <w:b/>
        </w:rPr>
        <w:t>x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O všech změnách kontaktních osob a spojení, které jsou uvedeny v článku 3, bodu 3.2, 3.4 a 3.7, v článku 5, bodu 5.7 a v článku 6, bodu 6.1 tohoto článku, se budou strany Smlouvy neprodleně písemně informovat. Tyto změny nejsou důvodem k sepsání Dodatku.</w:t>
      </w:r>
    </w:p>
    <w:p w:rsidR="001E21BF" w:rsidRPr="001E21BF" w:rsidRDefault="001E21BF" w:rsidP="001E21B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Tato Smlouva se uzavírá na dobu určitou </w:t>
      </w:r>
      <w:r w:rsidRPr="00683358">
        <w:rPr>
          <w:b/>
        </w:rPr>
        <w:t xml:space="preserve">do </w:t>
      </w:r>
      <w:proofErr w:type="gramStart"/>
      <w:r w:rsidRPr="00683358">
        <w:rPr>
          <w:b/>
        </w:rPr>
        <w:t>31.1.2018</w:t>
      </w:r>
      <w:proofErr w:type="gramEnd"/>
      <w:r w:rsidRPr="00683358">
        <w:rPr>
          <w:b/>
        </w:rPr>
        <w:t>.</w:t>
      </w:r>
      <w:r>
        <w:t xml:space="preserve"> Každá ze stran může Smlouvu vypovědět i bez udání důvodů s tím, že výpovědní doba 1 měsíc začne běžet dnem následujícím po doručení výpovědi druhé smluvní straně. Výpověď musí být učiněna písemně.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ČP si vyhrazuje právo odstoupit od této Smlouvy, jestliže Objednatel přes upozornění nedodržuje sjednané podmínky. Toto upozornění ČP písemně oznámí Objednateli na jeho poslední známou adresu s tím, že je Objednatel povinen ve lhůtě 15 dnů napravit zjištěné nedostatky. V případě marného uplynutí této lhůty má ČP právo od této Smlouvy odstoupit.</w:t>
      </w:r>
    </w:p>
    <w:p w:rsidR="001E21BF" w:rsidRDefault="001E21BF" w:rsidP="001E21BF">
      <w:pPr>
        <w:numPr>
          <w:ilvl w:val="2"/>
          <w:numId w:val="50"/>
        </w:numPr>
        <w:spacing w:after="120"/>
        <w:ind w:left="624" w:hanging="624"/>
        <w:jc w:val="both"/>
      </w:pPr>
      <w:r>
        <w:t>Od této Smlouvy je možné odstoupit také v důsledku zahájení insolvenčního řízení na Objednatele nebo kdykoliv v jeho průběhu. V takovém případě není Objednateli poskytnuta dodatečná lhůta 15 dnů a ČP je oprávněna odstoupit od této Smlouvy bez předchozího upozornění.</w:t>
      </w:r>
    </w:p>
    <w:p w:rsidR="001E21BF" w:rsidRDefault="001E21BF" w:rsidP="001E21BF">
      <w:pPr>
        <w:numPr>
          <w:ilvl w:val="2"/>
          <w:numId w:val="50"/>
        </w:numPr>
        <w:spacing w:after="120"/>
        <w:ind w:left="624" w:hanging="624"/>
        <w:jc w:val="both"/>
      </w:pPr>
      <w:r>
        <w:t>Odstoupení od této Smlouvy je vždy účinné a Smlouva se ruší ke dni doručení písemného oznámení o odstoupení druhé straně Smlouvy. Vzájemná plnění poskytnutá stranami Smlouvy do odstoupení se nevrací a Objednatel je povinen uhradit cenu služeb, poskytnutých ČP do odstoupení.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Není-li stanoveno jinak, může být tato Smlouva měněna pouze vzestupně očíslovanými písemnými dodatky ke Smlouvě podepsanými oběma Smluvními stranami.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Pokud by bylo kterékoli ustanovení této Smlouvy zcela nebo zčásti neplatné nebo jestliže některá otázka není touto Smlouvou upravována, zbývající ustanovení Smlouvy nejsou tímto dotčena.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Tato </w:t>
      </w:r>
      <w:r w:rsidRPr="00683358">
        <w:rPr>
          <w:b/>
        </w:rPr>
        <w:t xml:space="preserve">Smlouva je vyhotovena ve 2 (slovy: dvou) </w:t>
      </w:r>
      <w:proofErr w:type="gramStart"/>
      <w:r w:rsidRPr="00683358">
        <w:rPr>
          <w:b/>
        </w:rPr>
        <w:t>stejnopisech</w:t>
      </w:r>
      <w:proofErr w:type="gramEnd"/>
      <w:r w:rsidRPr="00683358">
        <w:rPr>
          <w:b/>
        </w:rPr>
        <w:t xml:space="preserve"> </w:t>
      </w:r>
      <w:r>
        <w:t>s platností originálu, z nichž každá Smluvní strana obdrží po jednom.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Práva a povinnosti plynoucí z této Smlouvy pro každou ze stran přecházejí na jejich právní nástupce.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Vztahy neupravené touto Smlouvou se řídí platným právním řádem ČR.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Oprávnění k podpisu této Smlouvy Objednatel dokládá:</w:t>
      </w:r>
    </w:p>
    <w:p w:rsidR="001E21BF" w:rsidRDefault="001E21BF" w:rsidP="001E21BF">
      <w:pPr>
        <w:numPr>
          <w:ilvl w:val="3"/>
          <w:numId w:val="50"/>
        </w:numPr>
        <w:spacing w:after="120"/>
        <w:jc w:val="both"/>
      </w:pPr>
      <w:r>
        <w:t>aktuálním výpisem z obchodního rejstříku nebo jeho ověřenou kopií (ne staršími 6 měsíců)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Smlouva je </w:t>
      </w:r>
      <w:r w:rsidR="00683358">
        <w:t xml:space="preserve">platná </w:t>
      </w:r>
      <w:r>
        <w:t>dnem podpisu oběma Smluvními stranami</w:t>
      </w:r>
      <w:r w:rsidR="00683358" w:rsidRPr="00683358">
        <w:t xml:space="preserve"> </w:t>
      </w:r>
      <w:r w:rsidR="00683358">
        <w:t xml:space="preserve">a účinná </w:t>
      </w:r>
      <w:r w:rsidR="00683358" w:rsidRPr="00683358">
        <w:rPr>
          <w:b/>
        </w:rPr>
        <w:t xml:space="preserve">od </w:t>
      </w:r>
      <w:proofErr w:type="gramStart"/>
      <w:r w:rsidR="00683358" w:rsidRPr="00683358">
        <w:rPr>
          <w:b/>
        </w:rPr>
        <w:t>1.2.2015</w:t>
      </w:r>
      <w:proofErr w:type="gramEnd"/>
      <w:r w:rsidRPr="00683358">
        <w:rPr>
          <w:b/>
        </w:rPr>
        <w:t>.</w:t>
      </w:r>
    </w:p>
    <w:p w:rsidR="001E21BF" w:rsidRDefault="001E21BF" w:rsidP="001E21BF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683358" w:rsidRDefault="00683358" w:rsidP="00683358">
      <w:pPr>
        <w:numPr>
          <w:ilvl w:val="0"/>
          <w:numId w:val="0"/>
        </w:numPr>
        <w:ind w:left="983" w:hanging="303"/>
      </w:pPr>
    </w:p>
    <w:p w:rsidR="00683358" w:rsidRDefault="00683358" w:rsidP="00683358">
      <w:pPr>
        <w:numPr>
          <w:ilvl w:val="0"/>
          <w:numId w:val="0"/>
        </w:numPr>
        <w:ind w:left="983" w:hanging="303"/>
      </w:pPr>
    </w:p>
    <w:p w:rsidR="001E21BF" w:rsidRDefault="001E21BF" w:rsidP="001E21BF">
      <w:pPr>
        <w:numPr>
          <w:ilvl w:val="0"/>
          <w:numId w:val="0"/>
        </w:numPr>
        <w:spacing w:after="120"/>
        <w:jc w:val="both"/>
      </w:pPr>
      <w:r>
        <w:rPr>
          <w:b/>
          <w:u w:val="single"/>
        </w:rPr>
        <w:t>Příloha:</w:t>
      </w:r>
    </w:p>
    <w:p w:rsidR="001E21BF" w:rsidRDefault="001E21BF" w:rsidP="001E21BF">
      <w:pPr>
        <w:numPr>
          <w:ilvl w:val="0"/>
          <w:numId w:val="0"/>
        </w:numPr>
        <w:spacing w:after="120"/>
        <w:jc w:val="both"/>
      </w:pPr>
      <w:r>
        <w:lastRenderedPageBreak/>
        <w:t>Příloha č. 1 - Zakázkový list podaných propagačních materiálů (Vzor)</w:t>
      </w:r>
    </w:p>
    <w:p w:rsidR="001E21BF" w:rsidRDefault="001E21BF" w:rsidP="001E21BF">
      <w:pPr>
        <w:numPr>
          <w:ilvl w:val="0"/>
          <w:numId w:val="0"/>
        </w:numPr>
        <w:spacing w:before="120" w:after="120"/>
        <w:jc w:val="both"/>
      </w:pPr>
      <w:r>
        <w:t>Příloha č. 2 - Vzor adresního štítku balíku (svazku)s informačními (RIM) / propagačními (RPM) materiály</w:t>
      </w:r>
    </w:p>
    <w:p w:rsidR="001E21BF" w:rsidRDefault="001E21BF" w:rsidP="001E21BF">
      <w:pPr>
        <w:numPr>
          <w:ilvl w:val="0"/>
          <w:numId w:val="0"/>
        </w:numPr>
        <w:spacing w:before="120" w:after="120"/>
        <w:jc w:val="both"/>
      </w:pPr>
    </w:p>
    <w:p w:rsidR="001E21BF" w:rsidRDefault="001E21BF" w:rsidP="001E21BF">
      <w:pPr>
        <w:numPr>
          <w:ilvl w:val="0"/>
          <w:numId w:val="0"/>
        </w:numPr>
        <w:spacing w:before="120" w:after="120"/>
        <w:jc w:val="both"/>
      </w:pPr>
    </w:p>
    <w:p w:rsidR="001E21BF" w:rsidRDefault="001E21BF" w:rsidP="001E21BF">
      <w:pPr>
        <w:numPr>
          <w:ilvl w:val="0"/>
          <w:numId w:val="0"/>
        </w:numPr>
        <w:spacing w:after="120"/>
        <w:jc w:val="both"/>
        <w:sectPr w:rsidR="001E21BF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1E21BF" w:rsidRDefault="001E21BF" w:rsidP="001E21BF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683358">
        <w:t>Ostravě</w:t>
      </w:r>
      <w:r>
        <w:t xml:space="preserve"> dne </w:t>
      </w:r>
    </w:p>
    <w:p w:rsidR="00683358" w:rsidRDefault="00683358" w:rsidP="001E21BF">
      <w:pPr>
        <w:numPr>
          <w:ilvl w:val="0"/>
          <w:numId w:val="0"/>
        </w:numPr>
        <w:spacing w:after="120"/>
        <w:jc w:val="both"/>
      </w:pPr>
    </w:p>
    <w:p w:rsidR="001E21BF" w:rsidRDefault="001E21BF" w:rsidP="001E21BF">
      <w:pPr>
        <w:numPr>
          <w:ilvl w:val="0"/>
          <w:numId w:val="0"/>
        </w:numPr>
        <w:spacing w:after="120"/>
        <w:jc w:val="both"/>
      </w:pPr>
      <w:r>
        <w:t>Za ČP:</w:t>
      </w:r>
    </w:p>
    <w:p w:rsidR="001E21BF" w:rsidRDefault="001E21BF" w:rsidP="001E21BF">
      <w:pPr>
        <w:numPr>
          <w:ilvl w:val="0"/>
          <w:numId w:val="0"/>
        </w:numPr>
        <w:spacing w:after="120"/>
        <w:jc w:val="both"/>
      </w:pPr>
    </w:p>
    <w:p w:rsidR="001E21BF" w:rsidRDefault="001E21BF" w:rsidP="001E21B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1E21BF" w:rsidRDefault="001E21BF" w:rsidP="001E21BF">
      <w:pPr>
        <w:numPr>
          <w:ilvl w:val="0"/>
          <w:numId w:val="0"/>
        </w:numPr>
        <w:spacing w:after="120"/>
        <w:jc w:val="center"/>
      </w:pPr>
      <w:r>
        <w:t>Ing. Miroslav Štěpán</w:t>
      </w:r>
    </w:p>
    <w:p w:rsidR="001E21BF" w:rsidRDefault="001E21BF" w:rsidP="001E21BF">
      <w:pPr>
        <w:numPr>
          <w:ilvl w:val="0"/>
          <w:numId w:val="0"/>
        </w:numPr>
        <w:spacing w:after="120"/>
        <w:jc w:val="center"/>
      </w:pPr>
      <w:r>
        <w:t xml:space="preserve">Obchodní ředitel regionu, Obchod SM </w:t>
      </w:r>
    </w:p>
    <w:p w:rsidR="001E21BF" w:rsidRDefault="001E21BF" w:rsidP="001E21BF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………………………… dne </w:t>
      </w:r>
    </w:p>
    <w:p w:rsidR="001E21BF" w:rsidRDefault="001E21BF" w:rsidP="001E21BF">
      <w:pPr>
        <w:numPr>
          <w:ilvl w:val="0"/>
          <w:numId w:val="0"/>
        </w:numPr>
        <w:spacing w:after="120"/>
      </w:pPr>
    </w:p>
    <w:p w:rsidR="001E21BF" w:rsidRDefault="001E21BF" w:rsidP="001E21BF">
      <w:pPr>
        <w:numPr>
          <w:ilvl w:val="0"/>
          <w:numId w:val="0"/>
        </w:numPr>
        <w:spacing w:after="120"/>
      </w:pPr>
      <w:r>
        <w:t>Za Objednatele:</w:t>
      </w:r>
    </w:p>
    <w:p w:rsidR="001E21BF" w:rsidRDefault="001E21BF" w:rsidP="001E21BF">
      <w:pPr>
        <w:numPr>
          <w:ilvl w:val="0"/>
          <w:numId w:val="0"/>
        </w:numPr>
        <w:spacing w:after="120"/>
      </w:pPr>
    </w:p>
    <w:p w:rsidR="001E21BF" w:rsidRDefault="001E21BF" w:rsidP="001E21B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1E21BF" w:rsidRDefault="001E21BF" w:rsidP="001E21BF">
      <w:pPr>
        <w:numPr>
          <w:ilvl w:val="0"/>
          <w:numId w:val="0"/>
        </w:numPr>
        <w:spacing w:after="120"/>
        <w:jc w:val="center"/>
      </w:pPr>
      <w:r>
        <w:t xml:space="preserve">Ing. Jiří </w:t>
      </w:r>
      <w:proofErr w:type="spellStart"/>
      <w:r>
        <w:t>Lukša</w:t>
      </w:r>
      <w:proofErr w:type="spellEnd"/>
    </w:p>
    <w:p w:rsidR="001E21BF" w:rsidRPr="001E21BF" w:rsidRDefault="001E21BF" w:rsidP="001E21BF">
      <w:pPr>
        <w:numPr>
          <w:ilvl w:val="0"/>
          <w:numId w:val="0"/>
        </w:numPr>
        <w:spacing w:after="120"/>
        <w:jc w:val="center"/>
      </w:pPr>
      <w:r>
        <w:t>starosta</w:t>
      </w:r>
    </w:p>
    <w:sectPr w:rsidR="001E21BF" w:rsidRPr="001E21BF" w:rsidSect="001E21B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C9" w:rsidRDefault="00CA01C9">
      <w:r>
        <w:separator/>
      </w:r>
    </w:p>
  </w:endnote>
  <w:endnote w:type="continuationSeparator" w:id="0">
    <w:p w:rsidR="00CA01C9" w:rsidRDefault="00C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4F444A">
      <w:rPr>
        <w:noProof/>
        <w:sz w:val="18"/>
        <w:szCs w:val="18"/>
      </w:rPr>
      <w:t>6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4F444A">
      <w:rPr>
        <w:noProof/>
        <w:sz w:val="18"/>
        <w:szCs w:val="18"/>
      </w:rPr>
      <w:t>6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C9" w:rsidRDefault="00CA01C9">
      <w:r>
        <w:separator/>
      </w:r>
    </w:p>
  </w:footnote>
  <w:footnote w:type="continuationSeparator" w:id="0">
    <w:p w:rsidR="00CA01C9" w:rsidRDefault="00CA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2A1F7" wp14:editId="1B8C67F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1E21BF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Smlouva o Roznášce </w:t>
    </w:r>
    <w:r w:rsidR="00233226">
      <w:rPr>
        <w:rFonts w:ascii="Arial" w:hAnsi="Arial" w:cs="Arial"/>
        <w:szCs w:val="22"/>
      </w:rPr>
      <w:t>informačních/</w:t>
    </w:r>
    <w:r>
      <w:rPr>
        <w:rFonts w:ascii="Arial" w:hAnsi="Arial" w:cs="Arial"/>
        <w:szCs w:val="22"/>
      </w:rPr>
      <w:t xml:space="preserve">propagačních materiálů 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41194F3" wp14:editId="318BCE6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1E21BF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982707-0328/2015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B7ADC26" wp14:editId="135C929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0E28588E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E21BF"/>
    <w:rsid w:val="001F095F"/>
    <w:rsid w:val="001F7A96"/>
    <w:rsid w:val="001F7E8A"/>
    <w:rsid w:val="002012CB"/>
    <w:rsid w:val="00201902"/>
    <w:rsid w:val="00201930"/>
    <w:rsid w:val="002179B7"/>
    <w:rsid w:val="0022261D"/>
    <w:rsid w:val="00233226"/>
    <w:rsid w:val="00236591"/>
    <w:rsid w:val="00243BC2"/>
    <w:rsid w:val="00245DC0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1749D"/>
    <w:rsid w:val="00420226"/>
    <w:rsid w:val="00441B17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4F444A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3358"/>
    <w:rsid w:val="006A1CCC"/>
    <w:rsid w:val="006B0A38"/>
    <w:rsid w:val="006B667A"/>
    <w:rsid w:val="006C76EE"/>
    <w:rsid w:val="006E37CD"/>
    <w:rsid w:val="006E74DE"/>
    <w:rsid w:val="007019E0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E362B"/>
    <w:rsid w:val="008E6BF7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C6CF-3BC6-4C23-9EB1-FAF2632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6</Pages>
  <Words>1943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Řeháková Jana</cp:lastModifiedBy>
  <cp:revision>3</cp:revision>
  <cp:lastPrinted>2015-03-27T13:12:00Z</cp:lastPrinted>
  <dcterms:created xsi:type="dcterms:W3CDTF">2018-01-18T13:17:00Z</dcterms:created>
  <dcterms:modified xsi:type="dcterms:W3CDTF">2018-01-18T13:18:00Z</dcterms:modified>
</cp:coreProperties>
</file>