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B0" w:rsidRPr="004F5409" w:rsidRDefault="00776FB0" w:rsidP="00BA63CE">
      <w:pPr>
        <w:pStyle w:val="Pedformtovantext"/>
        <w:rPr>
          <w:rFonts w:ascii="Times New Roman" w:hAnsi="Times New Roman" w:cs="Times New Roman"/>
        </w:rPr>
      </w:pPr>
      <w:r w:rsidRPr="004F54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Příloha</w:t>
      </w:r>
      <w:r w:rsidR="00AE55D8" w:rsidRPr="004F54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č. </w:t>
      </w:r>
      <w:r w:rsidR="00BA63CE" w:rsidRPr="004F54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</w:t>
      </w:r>
    </w:p>
    <w:p w:rsidR="00776FB0" w:rsidRDefault="00776FB0" w:rsidP="00776FB0">
      <w:pPr>
        <w:pStyle w:val="Pedformtovantext"/>
      </w:pPr>
    </w:p>
    <w:p w:rsidR="00776FB0" w:rsidRDefault="00776FB0" w:rsidP="00776FB0">
      <w:pPr>
        <w:pStyle w:val="Pedformtovantext"/>
        <w:rPr>
          <w:rFonts w:ascii="Arial" w:hAnsi="Arial" w:cs="Arial"/>
          <w:b/>
          <w:bCs/>
          <w:sz w:val="32"/>
          <w:szCs w:val="32"/>
          <w:u w:val="single"/>
        </w:rPr>
      </w:pPr>
    </w:p>
    <w:p w:rsidR="00776FB0" w:rsidRPr="004F5409" w:rsidRDefault="00776FB0" w:rsidP="00776FB0">
      <w:pPr>
        <w:pStyle w:val="Pedformtovantext"/>
        <w:rPr>
          <w:rFonts w:ascii="Times New Roman" w:hAnsi="Times New Roman" w:cs="Times New Roman"/>
          <w:b/>
          <w:bCs/>
          <w:sz w:val="24"/>
          <w:szCs w:val="24"/>
        </w:rPr>
      </w:pPr>
      <w:r w:rsidRPr="004F5409">
        <w:rPr>
          <w:rFonts w:ascii="Times New Roman" w:hAnsi="Times New Roman" w:cs="Times New Roman"/>
          <w:b/>
          <w:bCs/>
          <w:sz w:val="32"/>
          <w:szCs w:val="32"/>
          <w:u w:val="single"/>
        </w:rPr>
        <w:t>Specifikace hlasových služeb</w:t>
      </w:r>
      <w:r w:rsidR="003A0CC4" w:rsidRPr="004F540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a </w:t>
      </w:r>
      <w:r w:rsidRPr="004F540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služeb barevných </w:t>
      </w:r>
      <w:r w:rsidR="003A0CC4" w:rsidRPr="004F540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telefonních </w:t>
      </w:r>
      <w:r w:rsidRPr="004F5409">
        <w:rPr>
          <w:rFonts w:ascii="Times New Roman" w:hAnsi="Times New Roman" w:cs="Times New Roman"/>
          <w:b/>
          <w:bCs/>
          <w:sz w:val="32"/>
          <w:szCs w:val="32"/>
          <w:u w:val="single"/>
        </w:rPr>
        <w:t>čísel</w:t>
      </w:r>
    </w:p>
    <w:p w:rsidR="00776FB0" w:rsidRPr="004F5409" w:rsidRDefault="00776FB0" w:rsidP="00776FB0">
      <w:pPr>
        <w:pStyle w:val="Pedformtova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FB0" w:rsidRPr="004F5409" w:rsidRDefault="00776FB0" w:rsidP="0045367D">
      <w:pPr>
        <w:widowControl/>
        <w:tabs>
          <w:tab w:val="left" w:pos="426"/>
        </w:tabs>
        <w:suppressAutoHyphens w:val="0"/>
        <w:spacing w:after="120" w:line="276" w:lineRule="auto"/>
        <w:jc w:val="both"/>
      </w:pPr>
      <w:r w:rsidRPr="004F5409">
        <w:t xml:space="preserve">V oblasti </w:t>
      </w:r>
      <w:r w:rsidR="003A0CC4" w:rsidRPr="004F5409">
        <w:t xml:space="preserve">hlasových služeb a služeb barevných telefonních čísel </w:t>
      </w:r>
      <w:r w:rsidRPr="004F5409">
        <w:t xml:space="preserve">je poptávána dodávka komplexního portfolia </w:t>
      </w:r>
      <w:r w:rsidR="003A0CC4" w:rsidRPr="004F5409">
        <w:t xml:space="preserve">hlasových služeb a služeb barevných telefonních čísel </w:t>
      </w:r>
      <w:r w:rsidRPr="004F5409">
        <w:t>v garantované kvalitě dle požadavků definovaných touto zadávací dokumentací.</w:t>
      </w:r>
    </w:p>
    <w:p w:rsidR="00776FB0" w:rsidRPr="004F5409" w:rsidRDefault="00776FB0" w:rsidP="0045367D">
      <w:pPr>
        <w:widowControl/>
        <w:tabs>
          <w:tab w:val="left" w:pos="426"/>
        </w:tabs>
        <w:suppressAutoHyphens w:val="0"/>
        <w:spacing w:after="120" w:line="276" w:lineRule="auto"/>
        <w:jc w:val="both"/>
      </w:pPr>
      <w:r w:rsidRPr="004F5409">
        <w:t xml:space="preserve">Všechny technické parametry služeb uvedené v této zadávací dokumentaci jsou zadavatelem stanoveny jako </w:t>
      </w:r>
      <w:r w:rsidRPr="004F5409">
        <w:rPr>
          <w:b/>
        </w:rPr>
        <w:t>minimální požadované</w:t>
      </w:r>
      <w:r w:rsidRPr="004F5409">
        <w:t>.</w:t>
      </w:r>
    </w:p>
    <w:p w:rsidR="003A0CC4" w:rsidRPr="004F5409" w:rsidRDefault="003A0CC4" w:rsidP="0045367D">
      <w:pPr>
        <w:widowControl/>
        <w:tabs>
          <w:tab w:val="left" w:pos="426"/>
        </w:tabs>
        <w:suppressAutoHyphens w:val="0"/>
        <w:spacing w:after="120" w:line="276" w:lineRule="auto"/>
        <w:jc w:val="both"/>
      </w:pPr>
    </w:p>
    <w:p w:rsidR="00B315B1" w:rsidRPr="004F5409" w:rsidRDefault="00B315B1" w:rsidP="0045367D">
      <w:pPr>
        <w:spacing w:after="120"/>
        <w:jc w:val="both"/>
      </w:pPr>
      <w:r w:rsidRPr="004F5409">
        <w:rPr>
          <w:b/>
          <w:u w:val="single"/>
        </w:rPr>
        <w:t>Hlasové služby</w:t>
      </w:r>
      <w:r w:rsidR="00A67D11" w:rsidRPr="004F5409">
        <w:rPr>
          <w:b/>
          <w:u w:val="single"/>
        </w:rPr>
        <w:t xml:space="preserve"> a služby barevných telefonních čísel</w:t>
      </w:r>
    </w:p>
    <w:p w:rsidR="00B315B1" w:rsidRPr="004F5409" w:rsidRDefault="00B315B1" w:rsidP="0045367D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after="120" w:line="276" w:lineRule="auto"/>
        <w:ind w:left="0" w:firstLine="0"/>
        <w:jc w:val="both"/>
      </w:pPr>
      <w:r w:rsidRPr="004F5409">
        <w:rPr>
          <w:b/>
        </w:rPr>
        <w:t>Poskytování telefonních hlasových služeb</w:t>
      </w:r>
      <w:r w:rsidRPr="004F5409">
        <w:t xml:space="preserve"> pro kontaktní místa zadavatele</w:t>
      </w:r>
      <w:r w:rsidR="004E7E05" w:rsidRPr="004F5409">
        <w:t xml:space="preserve"> (viz. příloha č. 2</w:t>
      </w:r>
      <w:r w:rsidR="00A67D11" w:rsidRPr="004F5409">
        <w:t xml:space="preserve">), </w:t>
      </w:r>
      <w:r w:rsidRPr="004F5409">
        <w:t>tj. zabezpečení příchozích a odchozích telefonních volání</w:t>
      </w:r>
      <w:r w:rsidR="00A67D11" w:rsidRPr="004F5409">
        <w:t xml:space="preserve"> a zajištění provozu barevných telefonních čísel (viz příloha č. 3)</w:t>
      </w:r>
      <w:r w:rsidRPr="004F5409">
        <w:t>.</w:t>
      </w:r>
    </w:p>
    <w:p w:rsidR="00B315B1" w:rsidRPr="004F5409" w:rsidRDefault="00B315B1" w:rsidP="0045367D">
      <w:pPr>
        <w:spacing w:after="120"/>
        <w:jc w:val="both"/>
      </w:pPr>
      <w:r w:rsidRPr="004F5409">
        <w:t>Zadavatel požaduje, aby prostřednictvím všech telefonních přípojek měl zajištěn přístup k veřejně dostupným telefonním službám poskytovaným dodavatelem i jinými poskytovateli služeb elektronických komunikací.</w:t>
      </w:r>
    </w:p>
    <w:p w:rsidR="00B315B1" w:rsidRPr="004F5409" w:rsidRDefault="00B315B1" w:rsidP="0045367D">
      <w:pPr>
        <w:tabs>
          <w:tab w:val="left" w:pos="426"/>
        </w:tabs>
        <w:spacing w:after="120"/>
        <w:jc w:val="both"/>
      </w:pPr>
      <w:r w:rsidRPr="004F5409">
        <w:t>Zadavatel bude nepřetržitě a v plně automatickém režimu uskutečňovat:</w:t>
      </w:r>
    </w:p>
    <w:p w:rsidR="00B315B1" w:rsidRPr="004F5409" w:rsidRDefault="00B315B1" w:rsidP="0045367D">
      <w:pPr>
        <w:pStyle w:val="fous"/>
        <w:numPr>
          <w:ilvl w:val="0"/>
          <w:numId w:val="3"/>
        </w:numPr>
        <w:tabs>
          <w:tab w:val="left" w:pos="426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4F5409">
        <w:rPr>
          <w:rFonts w:ascii="Times New Roman" w:hAnsi="Times New Roman"/>
          <w:sz w:val="24"/>
        </w:rPr>
        <w:t>volání k číslům tísňového volání;</w:t>
      </w:r>
    </w:p>
    <w:p w:rsidR="00B315B1" w:rsidRPr="004F5409" w:rsidRDefault="00B315B1" w:rsidP="0045367D">
      <w:pPr>
        <w:pStyle w:val="fous"/>
        <w:numPr>
          <w:ilvl w:val="0"/>
          <w:numId w:val="3"/>
        </w:numPr>
        <w:tabs>
          <w:tab w:val="left" w:pos="426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4F5409">
        <w:rPr>
          <w:rFonts w:ascii="Times New Roman" w:hAnsi="Times New Roman"/>
          <w:sz w:val="24"/>
        </w:rPr>
        <w:t>místní volání v rámci telefonních obvodů v lokalitách zadavatele;</w:t>
      </w:r>
    </w:p>
    <w:p w:rsidR="00B315B1" w:rsidRPr="004F5409" w:rsidRDefault="00B315B1" w:rsidP="0045367D">
      <w:pPr>
        <w:pStyle w:val="fous"/>
        <w:numPr>
          <w:ilvl w:val="0"/>
          <w:numId w:val="3"/>
        </w:numPr>
        <w:tabs>
          <w:tab w:val="left" w:pos="426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4F5409">
        <w:rPr>
          <w:rFonts w:ascii="Times New Roman" w:hAnsi="Times New Roman"/>
          <w:sz w:val="24"/>
        </w:rPr>
        <w:t>dálková (meziměstská) volání do ostatních telefonních obvodů na území České republiky;</w:t>
      </w:r>
    </w:p>
    <w:p w:rsidR="00B315B1" w:rsidRPr="004F5409" w:rsidRDefault="00B315B1" w:rsidP="0045367D">
      <w:pPr>
        <w:pStyle w:val="fous"/>
        <w:numPr>
          <w:ilvl w:val="0"/>
          <w:numId w:val="3"/>
        </w:numPr>
        <w:tabs>
          <w:tab w:val="left" w:pos="426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4F5409">
        <w:rPr>
          <w:rFonts w:ascii="Times New Roman" w:hAnsi="Times New Roman"/>
          <w:sz w:val="24"/>
        </w:rPr>
        <w:t>mezinárodní volání do automatizované části mezinárodní telekomunikační sítě;</w:t>
      </w:r>
    </w:p>
    <w:p w:rsidR="00B315B1" w:rsidRPr="004F5409" w:rsidRDefault="00B315B1" w:rsidP="0045367D">
      <w:pPr>
        <w:pStyle w:val="fous"/>
        <w:numPr>
          <w:ilvl w:val="0"/>
          <w:numId w:val="3"/>
        </w:numPr>
        <w:tabs>
          <w:tab w:val="left" w:pos="426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4F5409">
        <w:rPr>
          <w:rFonts w:ascii="Times New Roman" w:hAnsi="Times New Roman"/>
          <w:sz w:val="24"/>
        </w:rPr>
        <w:t>faxovou komunikaci a přenos dat v hovorovém pásmu;</w:t>
      </w:r>
    </w:p>
    <w:p w:rsidR="00B315B1" w:rsidRPr="004F5409" w:rsidRDefault="00B315B1" w:rsidP="0045367D">
      <w:pPr>
        <w:pStyle w:val="fous"/>
        <w:numPr>
          <w:ilvl w:val="0"/>
          <w:numId w:val="3"/>
        </w:numPr>
        <w:tabs>
          <w:tab w:val="left" w:pos="426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4F5409">
        <w:rPr>
          <w:rFonts w:ascii="Times New Roman" w:hAnsi="Times New Roman"/>
          <w:sz w:val="24"/>
        </w:rPr>
        <w:t>volání na negeografická telefonní čísla (např. Zelené linky, Modré linky, atd.);</w:t>
      </w:r>
    </w:p>
    <w:p w:rsidR="00B315B1" w:rsidRPr="004F5409" w:rsidRDefault="00B315B1" w:rsidP="0045367D">
      <w:pPr>
        <w:pStyle w:val="fous"/>
        <w:numPr>
          <w:ilvl w:val="0"/>
          <w:numId w:val="3"/>
        </w:numPr>
        <w:tabs>
          <w:tab w:val="left" w:pos="426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4F5409">
        <w:rPr>
          <w:rFonts w:ascii="Times New Roman" w:hAnsi="Times New Roman"/>
          <w:sz w:val="24"/>
        </w:rPr>
        <w:t>volání do neveřejných sítí;</w:t>
      </w:r>
    </w:p>
    <w:p w:rsidR="00B315B1" w:rsidRPr="004F5409" w:rsidRDefault="00B315B1" w:rsidP="0045367D">
      <w:pPr>
        <w:pStyle w:val="fous"/>
        <w:numPr>
          <w:ilvl w:val="0"/>
          <w:numId w:val="3"/>
        </w:numPr>
        <w:tabs>
          <w:tab w:val="left" w:pos="426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4F5409">
        <w:rPr>
          <w:rFonts w:ascii="Times New Roman" w:hAnsi="Times New Roman"/>
          <w:sz w:val="24"/>
        </w:rPr>
        <w:t>volání do sítí jiných poskytovatelů služeb včetně mobilních sítí při volání mimo i v rámci zadavatele</w:t>
      </w:r>
      <w:r w:rsidR="00A652BD">
        <w:rPr>
          <w:rFonts w:ascii="Times New Roman" w:hAnsi="Times New Roman"/>
          <w:sz w:val="24"/>
        </w:rPr>
        <w:t>.</w:t>
      </w:r>
    </w:p>
    <w:p w:rsidR="00B315B1" w:rsidRPr="004F5409" w:rsidRDefault="00B315B1" w:rsidP="0045367D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after="120" w:line="276" w:lineRule="auto"/>
        <w:ind w:left="0" w:firstLine="0"/>
        <w:jc w:val="both"/>
      </w:pPr>
      <w:r w:rsidRPr="004F5409">
        <w:rPr>
          <w:b/>
        </w:rPr>
        <w:t>Zadavatel požaduje</w:t>
      </w:r>
      <w:r w:rsidRPr="004F5409">
        <w:t xml:space="preserve"> na digitálních přípojkách typu </w:t>
      </w:r>
      <w:proofErr w:type="spellStart"/>
      <w:r w:rsidRPr="004F5409">
        <w:t>euroISDN</w:t>
      </w:r>
      <w:proofErr w:type="spellEnd"/>
      <w:r w:rsidRPr="004F5409">
        <w:t xml:space="preserve"> zabezpečit tyto standardní doplňkové služby:</w:t>
      </w:r>
    </w:p>
    <w:p w:rsidR="00B315B1" w:rsidRPr="004F5409" w:rsidRDefault="00B315B1" w:rsidP="0045367D">
      <w:pPr>
        <w:pStyle w:val="fous"/>
        <w:numPr>
          <w:ilvl w:val="0"/>
          <w:numId w:val="4"/>
        </w:numPr>
        <w:tabs>
          <w:tab w:val="left" w:pos="426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4F5409">
        <w:rPr>
          <w:rFonts w:ascii="Times New Roman" w:hAnsi="Times New Roman"/>
          <w:sz w:val="24"/>
        </w:rPr>
        <w:t xml:space="preserve">zobrazení identifikace volajícího (CLIP = </w:t>
      </w:r>
      <w:proofErr w:type="spellStart"/>
      <w:r w:rsidRPr="004F5409">
        <w:rPr>
          <w:rFonts w:ascii="Times New Roman" w:hAnsi="Times New Roman"/>
          <w:sz w:val="24"/>
        </w:rPr>
        <w:t>Calling</w:t>
      </w:r>
      <w:proofErr w:type="spellEnd"/>
      <w:r w:rsidRPr="004F5409">
        <w:rPr>
          <w:rFonts w:ascii="Times New Roman" w:hAnsi="Times New Roman"/>
          <w:sz w:val="24"/>
        </w:rPr>
        <w:t xml:space="preserve"> Line </w:t>
      </w:r>
      <w:proofErr w:type="spellStart"/>
      <w:r w:rsidRPr="004F5409">
        <w:rPr>
          <w:rFonts w:ascii="Times New Roman" w:hAnsi="Times New Roman"/>
          <w:sz w:val="24"/>
        </w:rPr>
        <w:t>Identification</w:t>
      </w:r>
      <w:proofErr w:type="spellEnd"/>
      <w:r w:rsidRPr="004F5409">
        <w:rPr>
          <w:rFonts w:ascii="Times New Roman" w:hAnsi="Times New Roman"/>
          <w:sz w:val="24"/>
        </w:rPr>
        <w:t xml:space="preserve"> </w:t>
      </w:r>
      <w:proofErr w:type="spellStart"/>
      <w:r w:rsidRPr="004F5409">
        <w:rPr>
          <w:rFonts w:ascii="Times New Roman" w:hAnsi="Times New Roman"/>
          <w:sz w:val="24"/>
        </w:rPr>
        <w:t>Presentation</w:t>
      </w:r>
      <w:proofErr w:type="spellEnd"/>
      <w:r w:rsidRPr="004F5409">
        <w:rPr>
          <w:rFonts w:ascii="Times New Roman" w:hAnsi="Times New Roman"/>
          <w:sz w:val="24"/>
        </w:rPr>
        <w:t>);</w:t>
      </w:r>
    </w:p>
    <w:p w:rsidR="00B315B1" w:rsidRPr="004F5409" w:rsidRDefault="00B315B1" w:rsidP="0045367D">
      <w:pPr>
        <w:pStyle w:val="fous"/>
        <w:numPr>
          <w:ilvl w:val="0"/>
          <w:numId w:val="4"/>
        </w:numPr>
        <w:tabs>
          <w:tab w:val="left" w:pos="426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4F5409">
        <w:rPr>
          <w:rFonts w:ascii="Times New Roman" w:hAnsi="Times New Roman"/>
          <w:sz w:val="24"/>
        </w:rPr>
        <w:t xml:space="preserve">potlačení přenosu telefonního čísla k volanému (CLIR = </w:t>
      </w:r>
      <w:proofErr w:type="spellStart"/>
      <w:r w:rsidRPr="004F5409">
        <w:rPr>
          <w:rFonts w:ascii="Times New Roman" w:hAnsi="Times New Roman"/>
          <w:sz w:val="24"/>
        </w:rPr>
        <w:t>Calling</w:t>
      </w:r>
      <w:proofErr w:type="spellEnd"/>
      <w:r w:rsidRPr="004F5409">
        <w:rPr>
          <w:rFonts w:ascii="Times New Roman" w:hAnsi="Times New Roman"/>
          <w:sz w:val="24"/>
        </w:rPr>
        <w:t xml:space="preserve"> Line </w:t>
      </w:r>
      <w:proofErr w:type="spellStart"/>
      <w:r w:rsidRPr="004F5409">
        <w:rPr>
          <w:rFonts w:ascii="Times New Roman" w:hAnsi="Times New Roman"/>
          <w:sz w:val="24"/>
        </w:rPr>
        <w:t>Identification</w:t>
      </w:r>
      <w:proofErr w:type="spellEnd"/>
      <w:r w:rsidRPr="004F5409">
        <w:rPr>
          <w:rFonts w:ascii="Times New Roman" w:hAnsi="Times New Roman"/>
          <w:sz w:val="24"/>
        </w:rPr>
        <w:t xml:space="preserve"> </w:t>
      </w:r>
      <w:proofErr w:type="spellStart"/>
      <w:r w:rsidRPr="004F5409">
        <w:rPr>
          <w:rFonts w:ascii="Times New Roman" w:hAnsi="Times New Roman"/>
          <w:sz w:val="24"/>
        </w:rPr>
        <w:t>Restriction</w:t>
      </w:r>
      <w:proofErr w:type="spellEnd"/>
      <w:r w:rsidRPr="004F5409">
        <w:rPr>
          <w:rFonts w:ascii="Times New Roman" w:hAnsi="Times New Roman"/>
          <w:sz w:val="24"/>
        </w:rPr>
        <w:t>) pro jednotlivá volání nebo trvale pro všechna volání;</w:t>
      </w:r>
    </w:p>
    <w:p w:rsidR="00B315B1" w:rsidRPr="004F5409" w:rsidRDefault="00B315B1" w:rsidP="0045367D">
      <w:pPr>
        <w:pStyle w:val="fous"/>
        <w:numPr>
          <w:ilvl w:val="0"/>
          <w:numId w:val="4"/>
        </w:numPr>
        <w:tabs>
          <w:tab w:val="left" w:pos="426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4F5409">
        <w:rPr>
          <w:rFonts w:ascii="Times New Roman" w:hAnsi="Times New Roman"/>
          <w:sz w:val="24"/>
        </w:rPr>
        <w:t>omezení odchozích volání řízené sítí (OCB-NC = </w:t>
      </w:r>
      <w:proofErr w:type="spellStart"/>
      <w:r w:rsidRPr="004F5409">
        <w:rPr>
          <w:rFonts w:ascii="Times New Roman" w:hAnsi="Times New Roman"/>
          <w:sz w:val="24"/>
        </w:rPr>
        <w:t>Outgoing</w:t>
      </w:r>
      <w:proofErr w:type="spellEnd"/>
      <w:r w:rsidRPr="004F5409">
        <w:rPr>
          <w:rFonts w:ascii="Times New Roman" w:hAnsi="Times New Roman"/>
          <w:sz w:val="24"/>
        </w:rPr>
        <w:t xml:space="preserve"> </w:t>
      </w:r>
      <w:proofErr w:type="spellStart"/>
      <w:r w:rsidRPr="004F5409">
        <w:rPr>
          <w:rFonts w:ascii="Times New Roman" w:hAnsi="Times New Roman"/>
          <w:sz w:val="24"/>
        </w:rPr>
        <w:t>Call</w:t>
      </w:r>
      <w:proofErr w:type="spellEnd"/>
      <w:r w:rsidRPr="004F5409">
        <w:rPr>
          <w:rFonts w:ascii="Times New Roman" w:hAnsi="Times New Roman"/>
          <w:sz w:val="24"/>
        </w:rPr>
        <w:t xml:space="preserve"> </w:t>
      </w:r>
      <w:proofErr w:type="spellStart"/>
      <w:r w:rsidRPr="004F5409">
        <w:rPr>
          <w:rFonts w:ascii="Times New Roman" w:hAnsi="Times New Roman"/>
          <w:sz w:val="24"/>
        </w:rPr>
        <w:t>Barring</w:t>
      </w:r>
      <w:proofErr w:type="spellEnd"/>
      <w:r w:rsidRPr="004F5409">
        <w:rPr>
          <w:rFonts w:ascii="Times New Roman" w:hAnsi="Times New Roman"/>
          <w:sz w:val="24"/>
        </w:rPr>
        <w:t xml:space="preserve"> Network </w:t>
      </w:r>
      <w:proofErr w:type="spellStart"/>
      <w:r w:rsidRPr="004F5409">
        <w:rPr>
          <w:rFonts w:ascii="Times New Roman" w:hAnsi="Times New Roman"/>
          <w:sz w:val="24"/>
        </w:rPr>
        <w:t>Controlled</w:t>
      </w:r>
      <w:proofErr w:type="spellEnd"/>
      <w:r w:rsidRPr="004F5409">
        <w:rPr>
          <w:rFonts w:ascii="Times New Roman" w:hAnsi="Times New Roman"/>
          <w:sz w:val="24"/>
        </w:rPr>
        <w:t>);</w:t>
      </w:r>
    </w:p>
    <w:p w:rsidR="00B315B1" w:rsidRPr="004F5409" w:rsidRDefault="00B315B1" w:rsidP="0045367D">
      <w:pPr>
        <w:pStyle w:val="fous"/>
        <w:numPr>
          <w:ilvl w:val="0"/>
          <w:numId w:val="4"/>
        </w:numPr>
        <w:tabs>
          <w:tab w:val="left" w:pos="426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4F5409">
        <w:rPr>
          <w:rFonts w:ascii="Times New Roman" w:hAnsi="Times New Roman"/>
          <w:sz w:val="24"/>
        </w:rPr>
        <w:t>identifikace zlomyslných nebo obtěžujících volání (MCID = </w:t>
      </w:r>
      <w:proofErr w:type="spellStart"/>
      <w:r w:rsidRPr="004F5409">
        <w:rPr>
          <w:rFonts w:ascii="Times New Roman" w:hAnsi="Times New Roman"/>
          <w:sz w:val="24"/>
        </w:rPr>
        <w:t>Malicious</w:t>
      </w:r>
      <w:proofErr w:type="spellEnd"/>
      <w:r w:rsidRPr="004F5409">
        <w:rPr>
          <w:rFonts w:ascii="Times New Roman" w:hAnsi="Times New Roman"/>
          <w:sz w:val="24"/>
        </w:rPr>
        <w:t xml:space="preserve"> </w:t>
      </w:r>
      <w:proofErr w:type="spellStart"/>
      <w:r w:rsidRPr="004F5409">
        <w:rPr>
          <w:rFonts w:ascii="Times New Roman" w:hAnsi="Times New Roman"/>
          <w:sz w:val="24"/>
        </w:rPr>
        <w:t>Call</w:t>
      </w:r>
      <w:proofErr w:type="spellEnd"/>
      <w:r w:rsidRPr="004F5409">
        <w:rPr>
          <w:rFonts w:ascii="Times New Roman" w:hAnsi="Times New Roman"/>
          <w:sz w:val="24"/>
        </w:rPr>
        <w:t xml:space="preserve"> </w:t>
      </w:r>
      <w:proofErr w:type="spellStart"/>
      <w:r w:rsidRPr="004F5409">
        <w:rPr>
          <w:rFonts w:ascii="Times New Roman" w:hAnsi="Times New Roman"/>
          <w:sz w:val="24"/>
        </w:rPr>
        <w:t>Identification</w:t>
      </w:r>
      <w:proofErr w:type="spellEnd"/>
      <w:r w:rsidRPr="004F5409">
        <w:rPr>
          <w:rFonts w:ascii="Times New Roman" w:hAnsi="Times New Roman"/>
          <w:sz w:val="24"/>
        </w:rPr>
        <w:t>).</w:t>
      </w:r>
    </w:p>
    <w:p w:rsidR="00B315B1" w:rsidRPr="004F5409" w:rsidRDefault="00B315B1" w:rsidP="0045367D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after="120" w:line="276" w:lineRule="auto"/>
        <w:ind w:left="0" w:firstLine="0"/>
        <w:jc w:val="both"/>
      </w:pPr>
      <w:r w:rsidRPr="004F5409">
        <w:rPr>
          <w:b/>
        </w:rPr>
        <w:t>Zadavatel požaduje</w:t>
      </w:r>
      <w:r w:rsidRPr="004F5409">
        <w:t xml:space="preserve">, aby dodavatel bezplatně umožnil převod telefonních čísel na nové poskytovatele služeb. </w:t>
      </w:r>
    </w:p>
    <w:p w:rsidR="00B315B1" w:rsidRPr="004F5409" w:rsidRDefault="00B315B1" w:rsidP="0045367D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after="120" w:line="276" w:lineRule="auto"/>
        <w:ind w:left="0" w:firstLine="0"/>
        <w:jc w:val="both"/>
      </w:pPr>
      <w:r w:rsidRPr="004F5409">
        <w:rPr>
          <w:b/>
        </w:rPr>
        <w:t>Zadavatel požaduje</w:t>
      </w:r>
      <w:r w:rsidRPr="004F5409">
        <w:t>, aby dodavatel poskytoval přístup k elektronickému vyúčtování za poskytnuté služby přes Internet.</w:t>
      </w:r>
    </w:p>
    <w:p w:rsidR="00B315B1" w:rsidRPr="004F5409" w:rsidRDefault="00B315B1" w:rsidP="0045367D">
      <w:pPr>
        <w:tabs>
          <w:tab w:val="left" w:pos="426"/>
        </w:tabs>
        <w:spacing w:after="120"/>
        <w:jc w:val="both"/>
      </w:pPr>
      <w:r w:rsidRPr="004F5409">
        <w:t xml:space="preserve">Základní požadavky zadavatele na </w:t>
      </w:r>
      <w:r w:rsidRPr="004F5409">
        <w:rPr>
          <w:b/>
          <w:bCs/>
        </w:rPr>
        <w:t>obsah</w:t>
      </w:r>
      <w:r w:rsidRPr="004F5409">
        <w:t xml:space="preserve"> elektronického vyúčtování:</w:t>
      </w:r>
    </w:p>
    <w:p w:rsidR="00B315B1" w:rsidRPr="004F5409" w:rsidRDefault="00B315B1" w:rsidP="0045367D">
      <w:pPr>
        <w:pStyle w:val="fous"/>
        <w:numPr>
          <w:ilvl w:val="0"/>
          <w:numId w:val="5"/>
        </w:numPr>
        <w:tabs>
          <w:tab w:val="left" w:pos="426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4F5409">
        <w:rPr>
          <w:rFonts w:ascii="Times New Roman" w:hAnsi="Times New Roman"/>
          <w:sz w:val="24"/>
        </w:rPr>
        <w:t>elektronické kopie vystavených platebních dokladů (faktur);</w:t>
      </w:r>
    </w:p>
    <w:p w:rsidR="00B315B1" w:rsidRPr="004F5409" w:rsidRDefault="00B315B1" w:rsidP="0045367D">
      <w:pPr>
        <w:pStyle w:val="fous"/>
        <w:numPr>
          <w:ilvl w:val="0"/>
          <w:numId w:val="5"/>
        </w:numPr>
        <w:tabs>
          <w:tab w:val="left" w:pos="426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4F5409">
        <w:rPr>
          <w:rFonts w:ascii="Times New Roman" w:hAnsi="Times New Roman"/>
          <w:sz w:val="24"/>
        </w:rPr>
        <w:lastRenderedPageBreak/>
        <w:t>rozpis jednotlivých položek z platebních dokladů;</w:t>
      </w:r>
    </w:p>
    <w:p w:rsidR="00B315B1" w:rsidRPr="004F5409" w:rsidRDefault="00B315B1" w:rsidP="0045367D">
      <w:pPr>
        <w:pStyle w:val="fous"/>
        <w:numPr>
          <w:ilvl w:val="0"/>
          <w:numId w:val="5"/>
        </w:numPr>
        <w:tabs>
          <w:tab w:val="left" w:pos="426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4F5409">
        <w:rPr>
          <w:rFonts w:ascii="Times New Roman" w:hAnsi="Times New Roman"/>
          <w:sz w:val="24"/>
        </w:rPr>
        <w:t>podrobný výpis uskutečněných spojení obsahující telefonní číslo, ze kterého bylo spojení uskutečněno, datum a čas spojení, označení typu a směru spojení, volané číslo, skutečnou délku spojení nebo počet jednotek, cenu spojení a účtovanou cenu spojení po započtení volných jednotek.</w:t>
      </w:r>
    </w:p>
    <w:p w:rsidR="00B315B1" w:rsidRPr="004F5409" w:rsidRDefault="00B315B1" w:rsidP="0045367D">
      <w:pPr>
        <w:keepNext/>
        <w:spacing w:after="120"/>
        <w:jc w:val="both"/>
      </w:pPr>
      <w:r w:rsidRPr="004F5409">
        <w:rPr>
          <w:bCs/>
        </w:rPr>
        <w:t>Další požadavky</w:t>
      </w:r>
      <w:r w:rsidRPr="004F5409">
        <w:t xml:space="preserve"> zadavatele k vlastnostem a funkcím elektronickému vyúčtování:</w:t>
      </w:r>
    </w:p>
    <w:p w:rsidR="00B315B1" w:rsidRPr="004F5409" w:rsidRDefault="00B315B1" w:rsidP="0045367D">
      <w:pPr>
        <w:pStyle w:val="fous"/>
        <w:numPr>
          <w:ilvl w:val="0"/>
          <w:numId w:val="6"/>
        </w:numPr>
        <w:tabs>
          <w:tab w:val="left" w:pos="426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4F5409">
        <w:rPr>
          <w:rFonts w:ascii="Times New Roman" w:hAnsi="Times New Roman"/>
          <w:sz w:val="24"/>
        </w:rPr>
        <w:t>přidělování přístupových práv a definici roli uživatelů a jejich pravomocí;</w:t>
      </w:r>
    </w:p>
    <w:p w:rsidR="00B315B1" w:rsidRPr="004F5409" w:rsidRDefault="00B315B1" w:rsidP="0045367D">
      <w:pPr>
        <w:pStyle w:val="fous"/>
        <w:numPr>
          <w:ilvl w:val="0"/>
          <w:numId w:val="6"/>
        </w:numPr>
        <w:tabs>
          <w:tab w:val="left" w:pos="426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4F5409">
        <w:rPr>
          <w:rFonts w:ascii="Times New Roman" w:hAnsi="Times New Roman"/>
          <w:sz w:val="24"/>
        </w:rPr>
        <w:t xml:space="preserve">možnost exportu dat ve formátu </w:t>
      </w:r>
      <w:r w:rsidR="00DC1E30">
        <w:rPr>
          <w:rFonts w:ascii="Times New Roman" w:hAnsi="Times New Roman"/>
          <w:sz w:val="24"/>
        </w:rPr>
        <w:t xml:space="preserve">XLS nebo </w:t>
      </w:r>
      <w:r w:rsidRPr="004F5409">
        <w:rPr>
          <w:rFonts w:ascii="Times New Roman" w:hAnsi="Times New Roman"/>
          <w:sz w:val="24"/>
        </w:rPr>
        <w:t>CSV;</w:t>
      </w:r>
    </w:p>
    <w:p w:rsidR="00B315B1" w:rsidRPr="004F5409" w:rsidRDefault="00B315B1" w:rsidP="0045367D">
      <w:pPr>
        <w:pStyle w:val="fous"/>
        <w:numPr>
          <w:ilvl w:val="0"/>
          <w:numId w:val="6"/>
        </w:numPr>
        <w:tabs>
          <w:tab w:val="left" w:pos="426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4F5409">
        <w:rPr>
          <w:rFonts w:ascii="Times New Roman" w:hAnsi="Times New Roman"/>
          <w:sz w:val="24"/>
        </w:rPr>
        <w:t>uchovávání detailních výpisů po dobu nejméně 2 měsíců;</w:t>
      </w:r>
    </w:p>
    <w:p w:rsidR="00B315B1" w:rsidRPr="004F5409" w:rsidRDefault="00B315B1" w:rsidP="0045367D">
      <w:pPr>
        <w:pStyle w:val="fous"/>
        <w:numPr>
          <w:ilvl w:val="0"/>
          <w:numId w:val="6"/>
        </w:numPr>
        <w:tabs>
          <w:tab w:val="left" w:pos="426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4F5409">
        <w:rPr>
          <w:rFonts w:ascii="Times New Roman" w:hAnsi="Times New Roman"/>
          <w:sz w:val="24"/>
        </w:rPr>
        <w:t>archivace elektronických kopií faktur po dobu nejméně 6 měsíců.</w:t>
      </w:r>
    </w:p>
    <w:p w:rsidR="00B315B1" w:rsidRPr="004F5409" w:rsidRDefault="00B315B1" w:rsidP="0045367D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after="120" w:line="276" w:lineRule="auto"/>
        <w:ind w:left="0" w:firstLine="0"/>
        <w:jc w:val="both"/>
      </w:pPr>
      <w:r w:rsidRPr="004F5409">
        <w:rPr>
          <w:b/>
        </w:rPr>
        <w:t>Zadavatel požaduje</w:t>
      </w:r>
      <w:r w:rsidRPr="004F5409">
        <w:t xml:space="preserve"> ochranu proti snahám o zneužívání veškerých telefonních přípojek a pobočkových telefonních ústředen včetně neoprávněného odposlechu. Ochrana musí včas a účinně čelit, respektive minimalizovat možné ztráty plynoucí z neoprávněného používání telekomunikačního řešení. Dodavatel v nabídce </w:t>
      </w:r>
      <w:bookmarkStart w:id="0" w:name="OLE_LINK2"/>
      <w:r w:rsidRPr="004F5409">
        <w:t>popíše způsob ochrany, poskytované služby v oblasti ochrany, podmínk</w:t>
      </w:r>
      <w:bookmarkEnd w:id="0"/>
      <w:r w:rsidRPr="004F5409">
        <w:t>y ochrany.</w:t>
      </w:r>
      <w:bookmarkStart w:id="1" w:name="OLE_LINK3"/>
    </w:p>
    <w:p w:rsidR="00B315B1" w:rsidRPr="004F5409" w:rsidRDefault="00B315B1" w:rsidP="0045367D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after="120" w:line="276" w:lineRule="auto"/>
        <w:ind w:left="0" w:firstLine="0"/>
        <w:jc w:val="both"/>
      </w:pPr>
      <w:r w:rsidRPr="004F5409">
        <w:rPr>
          <w:b/>
        </w:rPr>
        <w:t>Zadavatel od uchazeče požaduje</w:t>
      </w:r>
      <w:r w:rsidRPr="004F5409">
        <w:t xml:space="preserve"> vysokou kvalitu technického řešení. Proto požaduje pro přípojky ISDN30 a ISDN2 dodržení kvality služeb. Dodavatel v nabídce navrhne jím garantovanou dostupnost služby, dobu odezvy a dobu obnovení služby. </w:t>
      </w:r>
      <w:bookmarkEnd w:id="1"/>
    </w:p>
    <w:p w:rsidR="00B315B1" w:rsidRPr="004F5409" w:rsidRDefault="00B315B1" w:rsidP="0045367D">
      <w:pPr>
        <w:pStyle w:val="perex"/>
        <w:numPr>
          <w:ilvl w:val="0"/>
          <w:numId w:val="1"/>
        </w:numPr>
        <w:tabs>
          <w:tab w:val="left" w:pos="426"/>
        </w:tabs>
        <w:spacing w:before="0" w:beforeAutospacing="0" w:after="120" w:afterAutospacing="0" w:line="276" w:lineRule="auto"/>
        <w:ind w:left="0" w:firstLine="0"/>
        <w:jc w:val="both"/>
        <w:rPr>
          <w:bCs/>
        </w:rPr>
      </w:pPr>
      <w:r w:rsidRPr="004F5409">
        <w:rPr>
          <w:b/>
        </w:rPr>
        <w:t>Zadavatel požaduje realizaci</w:t>
      </w:r>
      <w:r w:rsidRPr="004F5409">
        <w:t xml:space="preserve"> on-line monitoringu a reportingu příchozích hovorů na hlasové linky, a tím mít možnost odhalit slabá místa v příchozím provozu. Řešení musí splňovat min. následující parametry:</w:t>
      </w:r>
    </w:p>
    <w:p w:rsidR="00B315B1" w:rsidRPr="004F5409" w:rsidRDefault="00B315B1" w:rsidP="00B315B1">
      <w:pPr>
        <w:pStyle w:val="perex"/>
        <w:numPr>
          <w:ilvl w:val="0"/>
          <w:numId w:val="7"/>
        </w:numPr>
        <w:tabs>
          <w:tab w:val="left" w:pos="426"/>
        </w:tabs>
        <w:spacing w:before="0" w:beforeAutospacing="0" w:after="120" w:afterAutospacing="0" w:line="276" w:lineRule="auto"/>
        <w:ind w:left="0" w:firstLine="0"/>
        <w:rPr>
          <w:bCs/>
        </w:rPr>
      </w:pPr>
      <w:r w:rsidRPr="004F5409">
        <w:rPr>
          <w:bCs/>
        </w:rPr>
        <w:t>čas volání</w:t>
      </w:r>
      <w:r w:rsidR="00192284">
        <w:rPr>
          <w:bCs/>
        </w:rPr>
        <w:t>,</w:t>
      </w:r>
    </w:p>
    <w:p w:rsidR="00B315B1" w:rsidRPr="004F5409" w:rsidRDefault="00B315B1" w:rsidP="00B315B1">
      <w:pPr>
        <w:pStyle w:val="perex"/>
        <w:numPr>
          <w:ilvl w:val="0"/>
          <w:numId w:val="7"/>
        </w:numPr>
        <w:tabs>
          <w:tab w:val="left" w:pos="426"/>
        </w:tabs>
        <w:spacing w:before="0" w:beforeAutospacing="0" w:after="120" w:afterAutospacing="0" w:line="276" w:lineRule="auto"/>
        <w:ind w:left="0" w:firstLine="0"/>
        <w:rPr>
          <w:bCs/>
        </w:rPr>
      </w:pPr>
      <w:r w:rsidRPr="004F5409">
        <w:rPr>
          <w:bCs/>
        </w:rPr>
        <w:t>počet volání</w:t>
      </w:r>
      <w:r w:rsidR="00192284">
        <w:rPr>
          <w:bCs/>
        </w:rPr>
        <w:t>,</w:t>
      </w:r>
    </w:p>
    <w:p w:rsidR="00B315B1" w:rsidRPr="004F5409" w:rsidRDefault="00B315B1" w:rsidP="00B315B1">
      <w:pPr>
        <w:pStyle w:val="perex"/>
        <w:numPr>
          <w:ilvl w:val="0"/>
          <w:numId w:val="7"/>
        </w:numPr>
        <w:tabs>
          <w:tab w:val="left" w:pos="426"/>
        </w:tabs>
        <w:spacing w:before="0" w:beforeAutospacing="0" w:after="120" w:afterAutospacing="0" w:line="276" w:lineRule="auto"/>
        <w:ind w:left="0" w:firstLine="0"/>
        <w:rPr>
          <w:bCs/>
        </w:rPr>
      </w:pPr>
      <w:r w:rsidRPr="004F5409">
        <w:rPr>
          <w:bCs/>
        </w:rPr>
        <w:t>zodpovězená volání (v %)</w:t>
      </w:r>
      <w:r w:rsidR="00192284">
        <w:rPr>
          <w:bCs/>
        </w:rPr>
        <w:t>,</w:t>
      </w:r>
    </w:p>
    <w:p w:rsidR="00B315B1" w:rsidRPr="004F5409" w:rsidRDefault="00B315B1" w:rsidP="00B315B1">
      <w:pPr>
        <w:pStyle w:val="perex"/>
        <w:numPr>
          <w:ilvl w:val="0"/>
          <w:numId w:val="7"/>
        </w:numPr>
        <w:tabs>
          <w:tab w:val="left" w:pos="426"/>
        </w:tabs>
        <w:spacing w:before="0" w:beforeAutospacing="0" w:after="120" w:afterAutospacing="0" w:line="276" w:lineRule="auto"/>
        <w:ind w:left="0" w:firstLine="0"/>
        <w:rPr>
          <w:bCs/>
        </w:rPr>
      </w:pPr>
      <w:r w:rsidRPr="004F5409">
        <w:rPr>
          <w:bCs/>
        </w:rPr>
        <w:t>bez odpovědi (v %)</w:t>
      </w:r>
      <w:r w:rsidR="00192284">
        <w:rPr>
          <w:bCs/>
        </w:rPr>
        <w:t>,</w:t>
      </w:r>
    </w:p>
    <w:p w:rsidR="00B315B1" w:rsidRPr="004F5409" w:rsidRDefault="00B315B1" w:rsidP="00B315B1">
      <w:pPr>
        <w:pStyle w:val="perex"/>
        <w:numPr>
          <w:ilvl w:val="0"/>
          <w:numId w:val="7"/>
        </w:numPr>
        <w:tabs>
          <w:tab w:val="left" w:pos="426"/>
        </w:tabs>
        <w:spacing w:before="0" w:beforeAutospacing="0" w:after="120" w:afterAutospacing="0" w:line="276" w:lineRule="auto"/>
        <w:ind w:left="0" w:firstLine="0"/>
        <w:rPr>
          <w:bCs/>
        </w:rPr>
      </w:pPr>
      <w:r w:rsidRPr="004F5409">
        <w:rPr>
          <w:bCs/>
        </w:rPr>
        <w:t>volaný obsazen (v %)</w:t>
      </w:r>
      <w:r w:rsidR="00192284">
        <w:rPr>
          <w:bCs/>
        </w:rPr>
        <w:t>,</w:t>
      </w:r>
    </w:p>
    <w:p w:rsidR="00B315B1" w:rsidRPr="004F5409" w:rsidRDefault="00B315B1" w:rsidP="00B315B1">
      <w:pPr>
        <w:pStyle w:val="perex"/>
        <w:numPr>
          <w:ilvl w:val="0"/>
          <w:numId w:val="7"/>
        </w:numPr>
        <w:tabs>
          <w:tab w:val="left" w:pos="426"/>
        </w:tabs>
        <w:spacing w:before="0" w:beforeAutospacing="0" w:after="120" w:afterAutospacing="0" w:line="276" w:lineRule="auto"/>
        <w:ind w:left="0" w:firstLine="0"/>
        <w:rPr>
          <w:bCs/>
        </w:rPr>
      </w:pPr>
      <w:r w:rsidRPr="004F5409">
        <w:rPr>
          <w:bCs/>
        </w:rPr>
        <w:t>ostatní volání (v %)</w:t>
      </w:r>
      <w:r w:rsidR="00192284">
        <w:rPr>
          <w:bCs/>
        </w:rPr>
        <w:t>,</w:t>
      </w:r>
    </w:p>
    <w:p w:rsidR="00B315B1" w:rsidRPr="004F5409" w:rsidRDefault="00B315B1" w:rsidP="0045367D">
      <w:pPr>
        <w:pStyle w:val="perex"/>
        <w:numPr>
          <w:ilvl w:val="0"/>
          <w:numId w:val="7"/>
        </w:numPr>
        <w:tabs>
          <w:tab w:val="left" w:pos="426"/>
        </w:tabs>
        <w:spacing w:before="0" w:beforeAutospacing="0" w:after="120" w:afterAutospacing="0" w:line="276" w:lineRule="auto"/>
        <w:ind w:left="0" w:firstLine="0"/>
        <w:jc w:val="both"/>
        <w:rPr>
          <w:bCs/>
        </w:rPr>
      </w:pPr>
      <w:r w:rsidRPr="004F5409">
        <w:rPr>
          <w:bCs/>
        </w:rPr>
        <w:t>průměrná doba hovoru (v min)</w:t>
      </w:r>
      <w:r w:rsidR="00192284">
        <w:rPr>
          <w:bCs/>
        </w:rPr>
        <w:t>,</w:t>
      </w:r>
    </w:p>
    <w:p w:rsidR="00B315B1" w:rsidRPr="004F5409" w:rsidRDefault="00B315B1" w:rsidP="0045367D">
      <w:pPr>
        <w:pStyle w:val="perex"/>
        <w:numPr>
          <w:ilvl w:val="0"/>
          <w:numId w:val="7"/>
        </w:numPr>
        <w:tabs>
          <w:tab w:val="left" w:pos="426"/>
        </w:tabs>
        <w:spacing w:before="0" w:beforeAutospacing="0" w:after="120" w:afterAutospacing="0" w:line="276" w:lineRule="auto"/>
        <w:ind w:left="0" w:firstLine="0"/>
        <w:jc w:val="both"/>
        <w:rPr>
          <w:bCs/>
        </w:rPr>
      </w:pPr>
      <w:r w:rsidRPr="004F5409">
        <w:rPr>
          <w:bCs/>
        </w:rPr>
        <w:t>celková doba hovoru (v min)</w:t>
      </w:r>
      <w:r w:rsidR="00192284">
        <w:rPr>
          <w:bCs/>
        </w:rPr>
        <w:t>.</w:t>
      </w:r>
    </w:p>
    <w:p w:rsidR="00B315B1" w:rsidRPr="004F5409" w:rsidRDefault="00B315B1" w:rsidP="0045367D">
      <w:pPr>
        <w:spacing w:after="120"/>
        <w:jc w:val="both"/>
      </w:pPr>
      <w:r w:rsidRPr="004F5409">
        <w:t>Dodavatel popíše rozsah služeb, které bude v oblasti monitoringu a reportingu schopen zabezpečit. Popis bude předložen minimálně ve výše uvedeném členění.</w:t>
      </w:r>
    </w:p>
    <w:p w:rsidR="00B315B1" w:rsidRPr="004F5409" w:rsidRDefault="00B315B1" w:rsidP="0045367D">
      <w:pPr>
        <w:pStyle w:val="perex"/>
        <w:numPr>
          <w:ilvl w:val="0"/>
          <w:numId w:val="1"/>
        </w:numPr>
        <w:tabs>
          <w:tab w:val="left" w:pos="426"/>
        </w:tabs>
        <w:spacing w:before="0" w:beforeAutospacing="0" w:after="120" w:afterAutospacing="0" w:line="276" w:lineRule="auto"/>
        <w:ind w:left="0" w:firstLine="0"/>
        <w:jc w:val="both"/>
      </w:pPr>
      <w:r w:rsidRPr="004F5409">
        <w:rPr>
          <w:b/>
        </w:rPr>
        <w:t>Zadavatel požaduje</w:t>
      </w:r>
      <w:r w:rsidRPr="004F5409">
        <w:t xml:space="preserve"> ochranu proti zneužití telekomunikačních služeb. Zadavatel pod ochranou proti zneužívání rozumí monitorování provozu, na základě kterého bude zadavatel dodavatelem obratem upozorněn na vznik následujících nestandardních situací:</w:t>
      </w:r>
    </w:p>
    <w:p w:rsidR="00B315B1" w:rsidRPr="004F5409" w:rsidRDefault="00B315B1" w:rsidP="0045367D">
      <w:pPr>
        <w:pStyle w:val="Style4"/>
        <w:numPr>
          <w:ilvl w:val="0"/>
          <w:numId w:val="8"/>
        </w:numPr>
        <w:tabs>
          <w:tab w:val="left" w:pos="426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4F5409">
        <w:rPr>
          <w:rFonts w:ascii="Times New Roman" w:hAnsi="Times New Roman" w:cs="Times New Roman"/>
        </w:rPr>
        <w:t>nepovolené hovory do ciziny</w:t>
      </w:r>
      <w:r w:rsidR="00192284">
        <w:rPr>
          <w:rFonts w:ascii="Times New Roman" w:hAnsi="Times New Roman" w:cs="Times New Roman"/>
        </w:rPr>
        <w:t>,</w:t>
      </w:r>
    </w:p>
    <w:p w:rsidR="00B315B1" w:rsidRPr="004F5409" w:rsidRDefault="00B315B1" w:rsidP="0045367D">
      <w:pPr>
        <w:pStyle w:val="Style4"/>
        <w:numPr>
          <w:ilvl w:val="0"/>
          <w:numId w:val="8"/>
        </w:numPr>
        <w:tabs>
          <w:tab w:val="left" w:pos="426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4F5409">
        <w:rPr>
          <w:rFonts w:ascii="Times New Roman" w:hAnsi="Times New Roman" w:cs="Times New Roman"/>
        </w:rPr>
        <w:t>hovory do zakázaných a drahých tarifních pásem</w:t>
      </w:r>
      <w:r w:rsidR="00192284">
        <w:rPr>
          <w:rFonts w:ascii="Times New Roman" w:hAnsi="Times New Roman" w:cs="Times New Roman"/>
        </w:rPr>
        <w:t>,</w:t>
      </w:r>
    </w:p>
    <w:p w:rsidR="00B315B1" w:rsidRPr="004F5409" w:rsidRDefault="00B315B1" w:rsidP="0045367D">
      <w:pPr>
        <w:pStyle w:val="Style4"/>
        <w:numPr>
          <w:ilvl w:val="0"/>
          <w:numId w:val="8"/>
        </w:numPr>
        <w:tabs>
          <w:tab w:val="left" w:pos="426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4F5409">
        <w:rPr>
          <w:rFonts w:ascii="Times New Roman" w:hAnsi="Times New Roman" w:cs="Times New Roman"/>
        </w:rPr>
        <w:t>extrémně dlouhé (drahé) hovory</w:t>
      </w:r>
      <w:r w:rsidR="00192284">
        <w:rPr>
          <w:rFonts w:ascii="Times New Roman" w:hAnsi="Times New Roman" w:cs="Times New Roman"/>
        </w:rPr>
        <w:t>,</w:t>
      </w:r>
    </w:p>
    <w:p w:rsidR="00B315B1" w:rsidRPr="004F5409" w:rsidRDefault="00B315B1" w:rsidP="0045367D">
      <w:pPr>
        <w:pStyle w:val="Style4"/>
        <w:numPr>
          <w:ilvl w:val="0"/>
          <w:numId w:val="8"/>
        </w:numPr>
        <w:tabs>
          <w:tab w:val="left" w:pos="426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4F5409">
        <w:rPr>
          <w:rFonts w:ascii="Times New Roman" w:hAnsi="Times New Roman" w:cs="Times New Roman"/>
        </w:rPr>
        <w:t>hovory mimo povolené časové intervaly</w:t>
      </w:r>
      <w:r w:rsidR="00192284">
        <w:rPr>
          <w:rFonts w:ascii="Times New Roman" w:hAnsi="Times New Roman" w:cs="Times New Roman"/>
        </w:rPr>
        <w:t>,</w:t>
      </w:r>
    </w:p>
    <w:p w:rsidR="00B315B1" w:rsidRPr="004F5409" w:rsidRDefault="00B315B1" w:rsidP="0045367D">
      <w:pPr>
        <w:pStyle w:val="Style4"/>
        <w:numPr>
          <w:ilvl w:val="0"/>
          <w:numId w:val="8"/>
        </w:numPr>
        <w:tabs>
          <w:tab w:val="left" w:pos="426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4F5409">
        <w:rPr>
          <w:rFonts w:ascii="Times New Roman" w:hAnsi="Times New Roman" w:cs="Times New Roman"/>
        </w:rPr>
        <w:t>častá a opakovaná volání na stejná čísla</w:t>
      </w:r>
      <w:r w:rsidR="00192284">
        <w:rPr>
          <w:rFonts w:ascii="Times New Roman" w:hAnsi="Times New Roman" w:cs="Times New Roman"/>
        </w:rPr>
        <w:t>,</w:t>
      </w:r>
    </w:p>
    <w:p w:rsidR="00B315B1" w:rsidRPr="004F5409" w:rsidRDefault="00B315B1" w:rsidP="0045367D">
      <w:pPr>
        <w:pStyle w:val="Style4"/>
        <w:numPr>
          <w:ilvl w:val="0"/>
          <w:numId w:val="8"/>
        </w:numPr>
        <w:tabs>
          <w:tab w:val="left" w:pos="426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4F5409">
        <w:rPr>
          <w:rFonts w:ascii="Times New Roman" w:hAnsi="Times New Roman" w:cs="Times New Roman"/>
        </w:rPr>
        <w:t>případy napadení pobočkové ústředny tranzitním voláním na účet zadavatele</w:t>
      </w:r>
      <w:r w:rsidR="00192284">
        <w:rPr>
          <w:rFonts w:ascii="Times New Roman" w:hAnsi="Times New Roman" w:cs="Times New Roman"/>
        </w:rPr>
        <w:t>,</w:t>
      </w:r>
    </w:p>
    <w:p w:rsidR="00B315B1" w:rsidRPr="004F5409" w:rsidRDefault="00B315B1" w:rsidP="0045367D">
      <w:pPr>
        <w:pStyle w:val="Style4"/>
        <w:numPr>
          <w:ilvl w:val="0"/>
          <w:numId w:val="8"/>
        </w:numPr>
        <w:tabs>
          <w:tab w:val="left" w:pos="426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4F5409">
        <w:rPr>
          <w:rFonts w:ascii="Times New Roman" w:hAnsi="Times New Roman" w:cs="Times New Roman"/>
        </w:rPr>
        <w:lastRenderedPageBreak/>
        <w:t>vyhodnocování provozu oproti nastavenému d</w:t>
      </w:r>
      <w:r w:rsidR="00192284">
        <w:rPr>
          <w:rFonts w:ascii="Times New Roman" w:hAnsi="Times New Roman" w:cs="Times New Roman"/>
        </w:rPr>
        <w:t>ennímu/týdennímu profilu volání.</w:t>
      </w:r>
    </w:p>
    <w:p w:rsidR="00B315B1" w:rsidRPr="004F5409" w:rsidRDefault="00B315B1" w:rsidP="0045367D">
      <w:pPr>
        <w:tabs>
          <w:tab w:val="left" w:pos="426"/>
        </w:tabs>
        <w:spacing w:after="120"/>
        <w:jc w:val="both"/>
      </w:pPr>
      <w:r w:rsidRPr="004F5409">
        <w:t>Dodavatel popíše způsob ochrany, rizika nabízeného řešení ochrany a podmínek funkčnosti ochrany.</w:t>
      </w:r>
    </w:p>
    <w:p w:rsidR="00B315B1" w:rsidRPr="004F5409" w:rsidRDefault="00B315B1" w:rsidP="0045367D">
      <w:pPr>
        <w:widowControl/>
        <w:numPr>
          <w:ilvl w:val="0"/>
          <w:numId w:val="1"/>
        </w:numPr>
        <w:tabs>
          <w:tab w:val="left" w:pos="0"/>
          <w:tab w:val="left" w:pos="426"/>
        </w:tabs>
        <w:suppressAutoHyphens w:val="0"/>
        <w:spacing w:after="120" w:line="276" w:lineRule="auto"/>
        <w:ind w:left="0" w:firstLine="0"/>
        <w:jc w:val="both"/>
      </w:pPr>
      <w:r w:rsidRPr="004F5409">
        <w:t xml:space="preserve">Zadavatel je uživatelem telefonních ústředen - viz příloha č. </w:t>
      </w:r>
      <w:r w:rsidR="00AF2B78" w:rsidRPr="004F5409">
        <w:t>1</w:t>
      </w:r>
      <w:r w:rsidRPr="004F5409">
        <w:t xml:space="preserve"> a požaduje na ISDN linkách, které jsou zakončeny na pobočkových ústřednách (viz příloha č. </w:t>
      </w:r>
      <w:r w:rsidR="002D76EB" w:rsidRPr="004F5409">
        <w:t>1</w:t>
      </w:r>
      <w:r w:rsidRPr="004F5409">
        <w:t>) zachování plnohodnotných ISDN linek včetně datového přenosu pro vzdálený přístup k ústřednám z důvodů vzdálené správy pobočkových ústředen.</w:t>
      </w:r>
    </w:p>
    <w:p w:rsidR="00B315B1" w:rsidRPr="004F5409" w:rsidRDefault="00B315B1" w:rsidP="0045367D">
      <w:pPr>
        <w:tabs>
          <w:tab w:val="left" w:pos="426"/>
        </w:tabs>
        <w:spacing w:after="120"/>
        <w:jc w:val="both"/>
      </w:pPr>
      <w:r w:rsidRPr="004F5409">
        <w:t>Zadavatel dále požaduje:</w:t>
      </w:r>
    </w:p>
    <w:p w:rsidR="00B315B1" w:rsidRPr="004F5409" w:rsidRDefault="00B315B1" w:rsidP="0045367D">
      <w:pPr>
        <w:widowControl/>
        <w:numPr>
          <w:ilvl w:val="0"/>
          <w:numId w:val="9"/>
        </w:numPr>
        <w:tabs>
          <w:tab w:val="left" w:pos="426"/>
          <w:tab w:val="left" w:pos="709"/>
        </w:tabs>
        <w:suppressAutoHyphens w:val="0"/>
        <w:spacing w:after="120" w:line="276" w:lineRule="auto"/>
        <w:ind w:left="0" w:firstLine="0"/>
        <w:jc w:val="both"/>
      </w:pPr>
      <w:r w:rsidRPr="004F5409">
        <w:t>připojení ústředen musí splňovat nároky dané současnými kapacitami ISDN linek uvedenými v technické specifikaci</w:t>
      </w:r>
      <w:r w:rsidR="002D76EB" w:rsidRPr="004F5409">
        <w:t>,</w:t>
      </w:r>
    </w:p>
    <w:p w:rsidR="00B315B1" w:rsidRDefault="00B315B1" w:rsidP="0045367D">
      <w:pPr>
        <w:widowControl/>
        <w:numPr>
          <w:ilvl w:val="0"/>
          <w:numId w:val="9"/>
        </w:numPr>
        <w:tabs>
          <w:tab w:val="left" w:pos="426"/>
          <w:tab w:val="left" w:pos="709"/>
        </w:tabs>
        <w:suppressAutoHyphens w:val="0"/>
        <w:spacing w:after="120" w:line="276" w:lineRule="auto"/>
        <w:ind w:left="0" w:firstLine="0"/>
        <w:jc w:val="both"/>
      </w:pPr>
      <w:r w:rsidRPr="004F5409">
        <w:t xml:space="preserve">připojení stávajících analogových zařízení uvedených v příloze č. </w:t>
      </w:r>
      <w:r w:rsidR="002D76EB" w:rsidRPr="004F5409">
        <w:t>2</w:t>
      </w:r>
      <w:r w:rsidRPr="004F5409">
        <w:t xml:space="preserve"> musí být na kvalitativní úrovni technologií HTS/ISDN (zajištění spolehlivého bezeztrátového přenosu faxových zpr</w:t>
      </w:r>
      <w:r w:rsidR="002D76EB" w:rsidRPr="004F5409">
        <w:t>áv a spolehlivé funkčnosti EZS),</w:t>
      </w:r>
    </w:p>
    <w:p w:rsidR="002D11BB" w:rsidRPr="0025217E" w:rsidRDefault="002D11BB" w:rsidP="0045367D">
      <w:pPr>
        <w:widowControl/>
        <w:numPr>
          <w:ilvl w:val="0"/>
          <w:numId w:val="9"/>
        </w:numPr>
        <w:tabs>
          <w:tab w:val="left" w:pos="426"/>
          <w:tab w:val="left" w:pos="709"/>
        </w:tabs>
        <w:suppressAutoHyphens w:val="0"/>
        <w:spacing w:after="120" w:line="276" w:lineRule="auto"/>
        <w:ind w:left="0" w:firstLine="0"/>
        <w:jc w:val="both"/>
      </w:pPr>
      <w:r w:rsidRPr="0025217E">
        <w:t>zadavatel vylučuje přenos hlasových slu</w:t>
      </w:r>
      <w:r w:rsidR="00F12887" w:rsidRPr="0025217E">
        <w:t>žeb na základě VOIP technologie</w:t>
      </w:r>
      <w:r w:rsidR="0025217E" w:rsidRPr="0025217E">
        <w:t xml:space="preserve"> (požadujeme přenos hlasu na technologii TDM)</w:t>
      </w:r>
      <w:r w:rsidR="00F12887" w:rsidRPr="0025217E">
        <w:t>,</w:t>
      </w:r>
    </w:p>
    <w:p w:rsidR="00F12887" w:rsidRPr="0025217E" w:rsidRDefault="00F12887" w:rsidP="0045367D">
      <w:pPr>
        <w:widowControl/>
        <w:numPr>
          <w:ilvl w:val="0"/>
          <w:numId w:val="9"/>
        </w:numPr>
        <w:tabs>
          <w:tab w:val="left" w:pos="426"/>
          <w:tab w:val="left" w:pos="709"/>
        </w:tabs>
        <w:suppressAutoHyphens w:val="0"/>
        <w:spacing w:after="120" w:line="276" w:lineRule="auto"/>
        <w:ind w:left="0" w:firstLine="0"/>
        <w:jc w:val="both"/>
      </w:pPr>
      <w:r w:rsidRPr="0025217E">
        <w:t xml:space="preserve">přenosové vedení u telefonních linek (mimo </w:t>
      </w:r>
      <w:r w:rsidR="003B1376" w:rsidRPr="0025217E">
        <w:t>ředitelství</w:t>
      </w:r>
      <w:r w:rsidRPr="0025217E">
        <w:t>) musí zůstat zachováno na metalické infrastruktuře,</w:t>
      </w:r>
    </w:p>
    <w:p w:rsidR="00B315B1" w:rsidRPr="003B1376" w:rsidRDefault="00B315B1" w:rsidP="0045367D">
      <w:pPr>
        <w:widowControl/>
        <w:numPr>
          <w:ilvl w:val="0"/>
          <w:numId w:val="9"/>
        </w:numPr>
        <w:tabs>
          <w:tab w:val="left" w:pos="426"/>
          <w:tab w:val="left" w:pos="709"/>
        </w:tabs>
        <w:suppressAutoHyphens w:val="0"/>
        <w:spacing w:after="120" w:line="276" w:lineRule="auto"/>
        <w:ind w:left="0" w:firstLine="0"/>
        <w:jc w:val="both"/>
      </w:pPr>
      <w:r w:rsidRPr="003B1376">
        <w:t xml:space="preserve">v rámci přenositelnosti čísel zachovat stávající číslovací plán, který je uveden v příloze č. </w:t>
      </w:r>
      <w:r w:rsidR="002D76EB" w:rsidRPr="003B1376">
        <w:t>2</w:t>
      </w:r>
      <w:r w:rsidR="00DB2FA3" w:rsidRPr="003B1376">
        <w:t xml:space="preserve"> a 3</w:t>
      </w:r>
      <w:r w:rsidRPr="003B1376">
        <w:t xml:space="preserve"> (v době realizace bude vybraný dodavatel přihlížet k aktuálnímu stavu)</w:t>
      </w:r>
      <w:r w:rsidR="00F12887" w:rsidRPr="003B1376">
        <w:t>,</w:t>
      </w:r>
    </w:p>
    <w:p w:rsidR="00F12887" w:rsidRPr="003B1376" w:rsidRDefault="00F12887" w:rsidP="00F12887">
      <w:pPr>
        <w:widowControl/>
        <w:numPr>
          <w:ilvl w:val="0"/>
          <w:numId w:val="9"/>
        </w:numPr>
        <w:tabs>
          <w:tab w:val="left" w:pos="426"/>
          <w:tab w:val="left" w:pos="709"/>
        </w:tabs>
        <w:suppressAutoHyphens w:val="0"/>
        <w:spacing w:after="120" w:line="276" w:lineRule="auto"/>
        <w:ind w:left="0" w:firstLine="0"/>
        <w:jc w:val="both"/>
      </w:pPr>
      <w:r w:rsidRPr="003B1376">
        <w:t>vyúčtování hlasových služeb (hovorné a paušální platby za provoz pevných linek) musí zajišťovat uchazeč.</w:t>
      </w:r>
    </w:p>
    <w:p w:rsidR="00F12887" w:rsidRPr="004F5409" w:rsidRDefault="00F12887" w:rsidP="003B1376">
      <w:pPr>
        <w:widowControl/>
        <w:tabs>
          <w:tab w:val="left" w:pos="426"/>
        </w:tabs>
        <w:suppressAutoHyphens w:val="0"/>
        <w:spacing w:after="120" w:line="276" w:lineRule="auto"/>
        <w:jc w:val="both"/>
      </w:pPr>
    </w:p>
    <w:p w:rsidR="00B315B1" w:rsidRPr="004F5409" w:rsidRDefault="00B315B1" w:rsidP="0045367D">
      <w:pPr>
        <w:spacing w:after="120"/>
        <w:jc w:val="both"/>
        <w:rPr>
          <w:b/>
          <w:u w:val="single"/>
        </w:rPr>
      </w:pPr>
      <w:r w:rsidRPr="004F5409">
        <w:rPr>
          <w:b/>
          <w:u w:val="single"/>
        </w:rPr>
        <w:t>Zákaznická podpora</w:t>
      </w:r>
    </w:p>
    <w:p w:rsidR="00B315B1" w:rsidRPr="004F5409" w:rsidRDefault="00B315B1" w:rsidP="0045367D">
      <w:pPr>
        <w:spacing w:after="120"/>
        <w:jc w:val="both"/>
      </w:pPr>
      <w:r w:rsidRPr="004F5409">
        <w:t xml:space="preserve">Dodavatel zajistí jednotné kontaktní místo - službu zákaznické podpory na telefonních číslech, která budou fungovat nonstop. </w:t>
      </w:r>
    </w:p>
    <w:p w:rsidR="00B315B1" w:rsidRPr="004F5409" w:rsidRDefault="00B315B1" w:rsidP="0045367D">
      <w:pPr>
        <w:spacing w:after="120"/>
        <w:jc w:val="both"/>
      </w:pPr>
      <w:r w:rsidRPr="004F5409">
        <w:t>Služba zákaznické podpory bude kontaktním místem pro pověřené zaměstnance zadavatele v záležitostech týkajících se:</w:t>
      </w:r>
    </w:p>
    <w:p w:rsidR="00B315B1" w:rsidRPr="004F5409" w:rsidRDefault="00B315B1" w:rsidP="0045367D">
      <w:pPr>
        <w:pStyle w:val="fous"/>
        <w:tabs>
          <w:tab w:val="left" w:pos="426"/>
          <w:tab w:val="left" w:pos="709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4F5409">
        <w:rPr>
          <w:rFonts w:ascii="Times New Roman" w:hAnsi="Times New Roman"/>
          <w:sz w:val="24"/>
        </w:rPr>
        <w:t>hlášení závad a poruch</w:t>
      </w:r>
      <w:r w:rsidR="00192284">
        <w:rPr>
          <w:rFonts w:ascii="Times New Roman" w:hAnsi="Times New Roman"/>
          <w:sz w:val="24"/>
        </w:rPr>
        <w:t>,</w:t>
      </w:r>
    </w:p>
    <w:p w:rsidR="00B315B1" w:rsidRPr="004F5409" w:rsidRDefault="00B315B1" w:rsidP="0045367D">
      <w:pPr>
        <w:pStyle w:val="fous"/>
        <w:tabs>
          <w:tab w:val="left" w:pos="426"/>
          <w:tab w:val="left" w:pos="709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4F5409">
        <w:rPr>
          <w:rFonts w:ascii="Times New Roman" w:hAnsi="Times New Roman"/>
          <w:sz w:val="24"/>
        </w:rPr>
        <w:t>podávání reklamací ke kvalitě poskytovaných služeb včetně vyúčtování</w:t>
      </w:r>
      <w:r w:rsidR="00192284">
        <w:rPr>
          <w:rFonts w:ascii="Times New Roman" w:hAnsi="Times New Roman"/>
          <w:sz w:val="24"/>
        </w:rPr>
        <w:t>,</w:t>
      </w:r>
    </w:p>
    <w:p w:rsidR="00B315B1" w:rsidRPr="004F5409" w:rsidRDefault="00B315B1" w:rsidP="0045367D">
      <w:pPr>
        <w:pStyle w:val="fous"/>
        <w:tabs>
          <w:tab w:val="left" w:pos="426"/>
          <w:tab w:val="left" w:pos="709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4F5409">
        <w:rPr>
          <w:rFonts w:ascii="Times New Roman" w:hAnsi="Times New Roman"/>
          <w:sz w:val="24"/>
        </w:rPr>
        <w:t>požadavků na informace a odborné konzultace k poskytovaným službám</w:t>
      </w:r>
      <w:r w:rsidR="00192284">
        <w:rPr>
          <w:rFonts w:ascii="Times New Roman" w:hAnsi="Times New Roman"/>
          <w:sz w:val="24"/>
        </w:rPr>
        <w:t>,</w:t>
      </w:r>
    </w:p>
    <w:p w:rsidR="00B315B1" w:rsidRPr="004F5409" w:rsidRDefault="00B315B1" w:rsidP="0045367D">
      <w:pPr>
        <w:pStyle w:val="fous"/>
        <w:tabs>
          <w:tab w:val="left" w:pos="426"/>
          <w:tab w:val="left" w:pos="709"/>
        </w:tabs>
        <w:spacing w:before="0" w:after="12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4F5409">
        <w:rPr>
          <w:rFonts w:ascii="Times New Roman" w:hAnsi="Times New Roman"/>
          <w:sz w:val="24"/>
        </w:rPr>
        <w:t>požadavků na zřizování, změny nebo rušení služeb.</w:t>
      </w:r>
    </w:p>
    <w:sectPr w:rsidR="00B315B1" w:rsidRPr="004F5409" w:rsidSect="00776FB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FEE"/>
    <w:multiLevelType w:val="hybridMultilevel"/>
    <w:tmpl w:val="456C93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FC10C1"/>
    <w:multiLevelType w:val="hybridMultilevel"/>
    <w:tmpl w:val="FD343678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03" w:tentative="1">
      <w:start w:val="1"/>
      <w:numFmt w:val="lowerLetter"/>
      <w:lvlText w:val="%2."/>
      <w:lvlJc w:val="left"/>
      <w:pPr>
        <w:ind w:left="1866" w:hanging="360"/>
      </w:pPr>
    </w:lvl>
    <w:lvl w:ilvl="2" w:tplc="04050005" w:tentative="1">
      <w:start w:val="1"/>
      <w:numFmt w:val="lowerRoman"/>
      <w:lvlText w:val="%3."/>
      <w:lvlJc w:val="right"/>
      <w:pPr>
        <w:ind w:left="2586" w:hanging="180"/>
      </w:pPr>
    </w:lvl>
    <w:lvl w:ilvl="3" w:tplc="04050001" w:tentative="1">
      <w:start w:val="1"/>
      <w:numFmt w:val="decimal"/>
      <w:lvlText w:val="%4."/>
      <w:lvlJc w:val="left"/>
      <w:pPr>
        <w:ind w:left="3306" w:hanging="360"/>
      </w:pPr>
    </w:lvl>
    <w:lvl w:ilvl="4" w:tplc="04050003" w:tentative="1">
      <w:start w:val="1"/>
      <w:numFmt w:val="lowerLetter"/>
      <w:lvlText w:val="%5."/>
      <w:lvlJc w:val="left"/>
      <w:pPr>
        <w:ind w:left="4026" w:hanging="360"/>
      </w:pPr>
    </w:lvl>
    <w:lvl w:ilvl="5" w:tplc="04050005" w:tentative="1">
      <w:start w:val="1"/>
      <w:numFmt w:val="lowerRoman"/>
      <w:lvlText w:val="%6."/>
      <w:lvlJc w:val="right"/>
      <w:pPr>
        <w:ind w:left="4746" w:hanging="180"/>
      </w:pPr>
    </w:lvl>
    <w:lvl w:ilvl="6" w:tplc="04050001" w:tentative="1">
      <w:start w:val="1"/>
      <w:numFmt w:val="decimal"/>
      <w:lvlText w:val="%7."/>
      <w:lvlJc w:val="left"/>
      <w:pPr>
        <w:ind w:left="5466" w:hanging="360"/>
      </w:pPr>
    </w:lvl>
    <w:lvl w:ilvl="7" w:tplc="04050003" w:tentative="1">
      <w:start w:val="1"/>
      <w:numFmt w:val="lowerLetter"/>
      <w:lvlText w:val="%8."/>
      <w:lvlJc w:val="left"/>
      <w:pPr>
        <w:ind w:left="6186" w:hanging="360"/>
      </w:pPr>
    </w:lvl>
    <w:lvl w:ilvl="8" w:tplc="0405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9F2525"/>
    <w:multiLevelType w:val="hybridMultilevel"/>
    <w:tmpl w:val="78C827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C12E19"/>
    <w:multiLevelType w:val="hybridMultilevel"/>
    <w:tmpl w:val="E3DC17BE"/>
    <w:lvl w:ilvl="0" w:tplc="243202AE">
      <w:start w:val="1"/>
      <w:numFmt w:val="bullet"/>
      <w:pStyle w:val="fous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  <w:i w:val="0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6316C552">
      <w:numFmt w:val="bullet"/>
      <w:lvlText w:val=""/>
      <w:lvlJc w:val="left"/>
      <w:pPr>
        <w:tabs>
          <w:tab w:val="num" w:pos="2444"/>
        </w:tabs>
        <w:ind w:left="2444" w:hanging="360"/>
      </w:pPr>
      <w:rPr>
        <w:rFonts w:ascii="Wingdings" w:eastAsia="Times New Roman" w:hAnsi="Wingdings" w:hint="default"/>
      </w:rPr>
    </w:lvl>
    <w:lvl w:ilvl="3" w:tplc="04050001">
      <w:start w:val="1"/>
      <w:numFmt w:val="bullet"/>
      <w:pStyle w:val="odrky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36AD4C9E"/>
    <w:multiLevelType w:val="hybridMultilevel"/>
    <w:tmpl w:val="C594792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3F6C5C6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BBCE533C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AC082CC0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510A4C46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A336DA1E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67F239F6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170C64FC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9AF2DE5A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3D26274B"/>
    <w:multiLevelType w:val="hybridMultilevel"/>
    <w:tmpl w:val="50F0632A"/>
    <w:lvl w:ilvl="0" w:tplc="B2E4719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A63CC006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1AE6733C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1A89CF8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55924F56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2A929EE8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953A6AD0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E08E970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1F149B90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5FCD05FA"/>
    <w:multiLevelType w:val="hybridMultilevel"/>
    <w:tmpl w:val="F99A0FFE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66A91E15"/>
    <w:multiLevelType w:val="hybridMultilevel"/>
    <w:tmpl w:val="91201B7C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66F80276"/>
    <w:multiLevelType w:val="hybridMultilevel"/>
    <w:tmpl w:val="4FA4ADDE"/>
    <w:lvl w:ilvl="0" w:tplc="54BE90C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071CF"/>
    <w:multiLevelType w:val="hybridMultilevel"/>
    <w:tmpl w:val="4D90E60C"/>
    <w:lvl w:ilvl="0" w:tplc="04050001">
      <w:start w:val="1"/>
      <w:numFmt w:val="upperLetter"/>
      <w:lvlText w:val="%1."/>
      <w:lvlJc w:val="left"/>
      <w:pPr>
        <w:ind w:left="1146" w:hanging="360"/>
      </w:pPr>
    </w:lvl>
    <w:lvl w:ilvl="1" w:tplc="04050003" w:tentative="1">
      <w:start w:val="1"/>
      <w:numFmt w:val="lowerLetter"/>
      <w:lvlText w:val="%2."/>
      <w:lvlJc w:val="left"/>
      <w:pPr>
        <w:ind w:left="1866" w:hanging="360"/>
      </w:pPr>
    </w:lvl>
    <w:lvl w:ilvl="2" w:tplc="04050005" w:tentative="1">
      <w:start w:val="1"/>
      <w:numFmt w:val="lowerRoman"/>
      <w:lvlText w:val="%3."/>
      <w:lvlJc w:val="right"/>
      <w:pPr>
        <w:ind w:left="2586" w:hanging="180"/>
      </w:pPr>
    </w:lvl>
    <w:lvl w:ilvl="3" w:tplc="04050001" w:tentative="1">
      <w:start w:val="1"/>
      <w:numFmt w:val="decimal"/>
      <w:lvlText w:val="%4."/>
      <w:lvlJc w:val="left"/>
      <w:pPr>
        <w:ind w:left="3306" w:hanging="360"/>
      </w:pPr>
    </w:lvl>
    <w:lvl w:ilvl="4" w:tplc="04050003" w:tentative="1">
      <w:start w:val="1"/>
      <w:numFmt w:val="lowerLetter"/>
      <w:lvlText w:val="%5."/>
      <w:lvlJc w:val="left"/>
      <w:pPr>
        <w:ind w:left="4026" w:hanging="360"/>
      </w:pPr>
    </w:lvl>
    <w:lvl w:ilvl="5" w:tplc="04050005" w:tentative="1">
      <w:start w:val="1"/>
      <w:numFmt w:val="lowerRoman"/>
      <w:lvlText w:val="%6."/>
      <w:lvlJc w:val="right"/>
      <w:pPr>
        <w:ind w:left="4746" w:hanging="180"/>
      </w:pPr>
    </w:lvl>
    <w:lvl w:ilvl="6" w:tplc="04050001" w:tentative="1">
      <w:start w:val="1"/>
      <w:numFmt w:val="decimal"/>
      <w:lvlText w:val="%7."/>
      <w:lvlJc w:val="left"/>
      <w:pPr>
        <w:ind w:left="5466" w:hanging="360"/>
      </w:pPr>
    </w:lvl>
    <w:lvl w:ilvl="7" w:tplc="04050003" w:tentative="1">
      <w:start w:val="1"/>
      <w:numFmt w:val="lowerLetter"/>
      <w:lvlText w:val="%8."/>
      <w:lvlJc w:val="left"/>
      <w:pPr>
        <w:ind w:left="6186" w:hanging="360"/>
      </w:pPr>
    </w:lvl>
    <w:lvl w:ilvl="8" w:tplc="04050005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6FB0"/>
    <w:rsid w:val="0011558D"/>
    <w:rsid w:val="00126852"/>
    <w:rsid w:val="00192284"/>
    <w:rsid w:val="001C03FB"/>
    <w:rsid w:val="0025217E"/>
    <w:rsid w:val="002D11BB"/>
    <w:rsid w:val="002D76EB"/>
    <w:rsid w:val="003A0CC4"/>
    <w:rsid w:val="003B1376"/>
    <w:rsid w:val="003E7214"/>
    <w:rsid w:val="0045367D"/>
    <w:rsid w:val="004E7E05"/>
    <w:rsid w:val="004F5409"/>
    <w:rsid w:val="005148E3"/>
    <w:rsid w:val="00523045"/>
    <w:rsid w:val="00700F27"/>
    <w:rsid w:val="00737A73"/>
    <w:rsid w:val="00776FB0"/>
    <w:rsid w:val="0085440E"/>
    <w:rsid w:val="00970852"/>
    <w:rsid w:val="009A2CF2"/>
    <w:rsid w:val="009C435C"/>
    <w:rsid w:val="00A652BD"/>
    <w:rsid w:val="00A67D11"/>
    <w:rsid w:val="00AE55D8"/>
    <w:rsid w:val="00AF2B78"/>
    <w:rsid w:val="00B315B1"/>
    <w:rsid w:val="00BA63CE"/>
    <w:rsid w:val="00C66649"/>
    <w:rsid w:val="00C73A1D"/>
    <w:rsid w:val="00CC65C9"/>
    <w:rsid w:val="00DB2FA3"/>
    <w:rsid w:val="00DC1E30"/>
    <w:rsid w:val="00E306E7"/>
    <w:rsid w:val="00EA1D19"/>
    <w:rsid w:val="00F12887"/>
    <w:rsid w:val="00FC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F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dformtovantext">
    <w:name w:val="Předformátovaný text"/>
    <w:basedOn w:val="Normln"/>
    <w:rsid w:val="00776FB0"/>
    <w:rPr>
      <w:rFonts w:ascii="Courier New" w:eastAsia="Courier New" w:hAnsi="Courier New" w:cs="Courier New"/>
      <w:sz w:val="20"/>
      <w:szCs w:val="20"/>
    </w:rPr>
  </w:style>
  <w:style w:type="paragraph" w:customStyle="1" w:styleId="Odsekzoznamu1">
    <w:name w:val="Odsek zoznamu1"/>
    <w:basedOn w:val="Normln"/>
    <w:uiPriority w:val="99"/>
    <w:rsid w:val="00B315B1"/>
    <w:pPr>
      <w:widowControl/>
      <w:suppressAutoHyphens w:val="0"/>
      <w:spacing w:after="120" w:line="276" w:lineRule="auto"/>
      <w:ind w:left="720"/>
      <w:jc w:val="both"/>
    </w:pPr>
    <w:rPr>
      <w:rFonts w:eastAsia="Times New Roman"/>
      <w:lang w:eastAsia="en-US"/>
    </w:rPr>
  </w:style>
  <w:style w:type="paragraph" w:customStyle="1" w:styleId="fous">
    <w:name w:val="fous"/>
    <w:basedOn w:val="Normln"/>
    <w:uiPriority w:val="99"/>
    <w:rsid w:val="00B315B1"/>
    <w:pPr>
      <w:keepLines/>
      <w:widowControl/>
      <w:numPr>
        <w:numId w:val="2"/>
      </w:numPr>
      <w:suppressAutoHyphens w:val="0"/>
      <w:spacing w:before="60"/>
      <w:ind w:left="993" w:hanging="453"/>
    </w:pPr>
    <w:rPr>
      <w:rFonts w:ascii="Arial" w:eastAsia="Times New Roman" w:hAnsi="Arial"/>
      <w:sz w:val="20"/>
      <w:lang w:eastAsia="cs-CZ"/>
    </w:rPr>
  </w:style>
  <w:style w:type="paragraph" w:customStyle="1" w:styleId="odrky">
    <w:name w:val="odrážky"/>
    <w:basedOn w:val="Normln"/>
    <w:uiPriority w:val="99"/>
    <w:rsid w:val="00B315B1"/>
    <w:pPr>
      <w:keepNext/>
      <w:keepLines/>
      <w:widowControl/>
      <w:numPr>
        <w:ilvl w:val="3"/>
        <w:numId w:val="2"/>
      </w:numPr>
      <w:tabs>
        <w:tab w:val="clear" w:pos="3164"/>
        <w:tab w:val="num" w:pos="1080"/>
      </w:tabs>
      <w:suppressAutoHyphens w:val="0"/>
      <w:spacing w:before="60"/>
      <w:ind w:left="1083" w:hanging="181"/>
    </w:pPr>
    <w:rPr>
      <w:rFonts w:eastAsia="Times New Roman"/>
      <w:sz w:val="22"/>
      <w:lang w:eastAsia="cs-CZ"/>
    </w:rPr>
  </w:style>
  <w:style w:type="paragraph" w:customStyle="1" w:styleId="perex">
    <w:name w:val="perex"/>
    <w:basedOn w:val="Normln"/>
    <w:rsid w:val="00B315B1"/>
    <w:pPr>
      <w:widowControl/>
      <w:suppressAutoHyphens w:val="0"/>
      <w:spacing w:before="100" w:beforeAutospacing="1" w:after="100" w:afterAutospacing="1"/>
    </w:pPr>
    <w:rPr>
      <w:rFonts w:eastAsia="Times New Roman"/>
      <w:lang w:eastAsia="cs-CZ"/>
    </w:rPr>
  </w:style>
  <w:style w:type="paragraph" w:customStyle="1" w:styleId="Style4">
    <w:name w:val="Style4"/>
    <w:basedOn w:val="Normln"/>
    <w:rsid w:val="00B315B1"/>
    <w:pPr>
      <w:widowControl/>
      <w:suppressAutoHyphens w:val="0"/>
      <w:autoSpaceDE w:val="0"/>
      <w:autoSpaceDN w:val="0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943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venglar-martin-1</dc:creator>
  <cp:keywords/>
  <dc:description/>
  <cp:lastModifiedBy>venglar-martin-1</cp:lastModifiedBy>
  <cp:revision>21</cp:revision>
  <dcterms:created xsi:type="dcterms:W3CDTF">2014-10-15T09:43:00Z</dcterms:created>
  <dcterms:modified xsi:type="dcterms:W3CDTF">2017-11-09T09:56:00Z</dcterms:modified>
</cp:coreProperties>
</file>