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70" w:rsidRDefault="002F4470" w:rsidP="002F4470">
      <w:pPr>
        <w:spacing w:before="120" w:line="240" w:lineRule="atLeast"/>
        <w:ind w:left="851" w:hanging="425"/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SMLOUVA  O  DÍLO </w:t>
      </w:r>
    </w:p>
    <w:p w:rsidR="002F4470" w:rsidRDefault="002F4470" w:rsidP="002F4470">
      <w:pPr>
        <w:spacing w:before="120" w:line="240" w:lineRule="atLeast"/>
        <w:ind w:left="851" w:hanging="425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uzavřená podle § 2586 a násl. zákona č. 89/2012 Sb., občanský zákoník,</w:t>
      </w:r>
    </w:p>
    <w:p w:rsidR="002F4470" w:rsidRDefault="002F4470" w:rsidP="002F4470">
      <w:pPr>
        <w:spacing w:before="120" w:line="240" w:lineRule="atLeast"/>
        <w:ind w:left="851" w:hanging="425"/>
        <w:contextualSpacing/>
        <w:jc w:val="center"/>
        <w:rPr>
          <w:b/>
          <w:caps/>
        </w:rPr>
      </w:pPr>
      <w:r>
        <w:rPr>
          <w:sz w:val="20"/>
          <w:szCs w:val="20"/>
        </w:rPr>
        <w:t xml:space="preserve">v platném znění (dále jen "Občanský zákoník") </w:t>
      </w:r>
    </w:p>
    <w:p w:rsidR="002F4470" w:rsidRDefault="002F4470" w:rsidP="002F4470">
      <w:pPr>
        <w:pStyle w:val="Nadpis1"/>
        <w:spacing w:before="0"/>
        <w:ind w:left="851" w:hanging="425"/>
        <w:jc w:val="center"/>
        <w:rPr>
          <w:rFonts w:asciiTheme="minorHAnsi" w:hAnsiTheme="minorHAnsi"/>
          <w:b/>
          <w:caps w:val="0"/>
          <w:sz w:val="22"/>
          <w:szCs w:val="22"/>
        </w:rPr>
      </w:pPr>
    </w:p>
    <w:p w:rsidR="002F4470" w:rsidRDefault="002F4470" w:rsidP="002F4470">
      <w:pPr>
        <w:spacing w:before="120" w:after="120"/>
        <w:ind w:left="851" w:hanging="425"/>
        <w:contextualSpacing/>
        <w:jc w:val="center"/>
        <w:rPr>
          <w:b/>
        </w:rPr>
      </w:pPr>
      <w:r>
        <w:rPr>
          <w:b/>
        </w:rPr>
        <w:t>SMLUVNÍ STRANY</w:t>
      </w:r>
    </w:p>
    <w:p w:rsidR="002F4470" w:rsidRDefault="002F4470" w:rsidP="002F4470">
      <w:pPr>
        <w:spacing w:before="120" w:after="120"/>
        <w:ind w:left="851" w:hanging="425"/>
        <w:contextualSpacing/>
        <w:jc w:val="center"/>
        <w:rPr>
          <w:b/>
          <w:spacing w:val="60"/>
        </w:rPr>
      </w:pPr>
    </w:p>
    <w:tbl>
      <w:tblPr>
        <w:tblStyle w:val="Prosttabulka1"/>
        <w:tblW w:w="0" w:type="auto"/>
        <w:tblLook w:val="0600" w:firstRow="0" w:lastRow="0" w:firstColumn="0" w:lastColumn="0" w:noHBand="1" w:noVBand="1"/>
      </w:tblPr>
      <w:tblGrid>
        <w:gridCol w:w="2405"/>
        <w:gridCol w:w="6089"/>
      </w:tblGrid>
      <w:tr w:rsidR="002F4470" w:rsidTr="004D57F6">
        <w:tc>
          <w:tcPr>
            <w:tcW w:w="8494" w:type="dxa"/>
            <w:gridSpan w:val="2"/>
            <w:hideMark/>
          </w:tcPr>
          <w:p w:rsidR="002F4470" w:rsidRDefault="002F4470">
            <w:pPr>
              <w:pStyle w:val="Bezmezer"/>
              <w:rPr>
                <w:rFonts w:ascii="Calibri" w:hAnsi="Calibri"/>
                <w:b/>
              </w:rPr>
            </w:pPr>
            <w:r>
              <w:rPr>
                <w:b/>
              </w:rPr>
              <w:t>Objednatel</w:t>
            </w:r>
          </w:p>
        </w:tc>
      </w:tr>
      <w:tr w:rsidR="004D57F6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b/>
              </w:rPr>
            </w:pPr>
            <w:r>
              <w:rPr>
                <w:rFonts w:cs="Verdana"/>
                <w:b/>
              </w:rPr>
              <w:t>Název:</w:t>
            </w:r>
          </w:p>
        </w:tc>
        <w:tc>
          <w:tcPr>
            <w:tcW w:w="6089" w:type="dxa"/>
            <w:hideMark/>
          </w:tcPr>
          <w:p w:rsidR="002F4470" w:rsidRDefault="002F4470">
            <w:pPr>
              <w:pStyle w:val="Bezmezer"/>
              <w:rPr>
                <w:rFonts w:ascii="Calibri" w:hAnsi="Calibri"/>
                <w:b/>
              </w:rPr>
            </w:pPr>
            <w:r>
              <w:rPr>
                <w:b/>
              </w:rPr>
              <w:t>Gymnázium Aš, příspěvková organizace</w:t>
            </w:r>
          </w:p>
        </w:tc>
      </w:tr>
      <w:tr w:rsidR="002F4470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rPr>
                <w:rFonts w:cs="Verdana"/>
              </w:rPr>
              <w:t>Sídlo:</w:t>
            </w:r>
          </w:p>
        </w:tc>
        <w:tc>
          <w:tcPr>
            <w:tcW w:w="6089" w:type="dxa"/>
            <w:hideMark/>
          </w:tcPr>
          <w:p w:rsidR="002F4470" w:rsidRDefault="002F4470">
            <w:pPr>
              <w:pStyle w:val="Bezmezer"/>
              <w:rPr>
                <w:rFonts w:ascii="Calibri" w:hAnsi="Calibri"/>
                <w:color w:val="000000"/>
                <w:lang w:val="en-US" w:eastAsia="cs-CZ"/>
              </w:rPr>
            </w:pPr>
            <w:r>
              <w:rPr>
                <w:color w:val="000000"/>
                <w:lang w:eastAsia="cs-CZ"/>
              </w:rPr>
              <w:t xml:space="preserve">Hlavní 2514/106, 352 01 Aš </w:t>
            </w:r>
          </w:p>
        </w:tc>
      </w:tr>
      <w:tr w:rsidR="004D57F6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rPr>
                <w:rFonts w:cs="Verdana"/>
              </w:rPr>
              <w:t>IČ:</w:t>
            </w:r>
          </w:p>
        </w:tc>
        <w:tc>
          <w:tcPr>
            <w:tcW w:w="6089" w:type="dxa"/>
            <w:hideMark/>
          </w:tcPr>
          <w:p w:rsidR="002F4470" w:rsidRDefault="002F4470">
            <w:pPr>
              <w:pStyle w:val="Bezmezer"/>
              <w:rPr>
                <w:rFonts w:ascii="Calibri" w:hAnsi="Calibri"/>
              </w:rPr>
            </w:pPr>
            <w:r>
              <w:rPr>
                <w:color w:val="000000"/>
                <w:lang w:eastAsia="cs-CZ"/>
              </w:rPr>
              <w:t>47723416</w:t>
            </w:r>
          </w:p>
        </w:tc>
      </w:tr>
      <w:tr w:rsidR="002F4470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t>Statutární zástupce:</w:t>
            </w:r>
          </w:p>
        </w:tc>
        <w:tc>
          <w:tcPr>
            <w:tcW w:w="6089" w:type="dxa"/>
            <w:hideMark/>
          </w:tcPr>
          <w:p w:rsidR="002F4470" w:rsidRDefault="002F4470">
            <w:pPr>
              <w:pStyle w:val="Bezmezer"/>
              <w:rPr>
                <w:rFonts w:ascii="Calibri" w:hAnsi="Calibri"/>
                <w:b/>
              </w:rPr>
            </w:pPr>
            <w:r>
              <w:rPr>
                <w:b/>
              </w:rPr>
              <w:t xml:space="preserve">Mgr. Petr </w:t>
            </w:r>
            <w:proofErr w:type="spellStart"/>
            <w:r>
              <w:rPr>
                <w:b/>
              </w:rPr>
              <w:t>Jelínek</w:t>
            </w:r>
            <w:proofErr w:type="spellEnd"/>
            <w:r>
              <w:rPr>
                <w:b/>
              </w:rPr>
              <w:t xml:space="preserve">, ředitel  </w:t>
            </w:r>
          </w:p>
        </w:tc>
      </w:tr>
      <w:tr w:rsidR="004D57F6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t>Bankovní spojení:</w:t>
            </w:r>
          </w:p>
        </w:tc>
        <w:tc>
          <w:tcPr>
            <w:tcW w:w="6089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t>ČSOB a.s.</w:t>
            </w:r>
          </w:p>
        </w:tc>
      </w:tr>
      <w:tr w:rsidR="002F4470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t>Číslo běžného účtu:</w:t>
            </w:r>
          </w:p>
        </w:tc>
        <w:tc>
          <w:tcPr>
            <w:tcW w:w="6089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t>109547544/0300</w:t>
            </w:r>
          </w:p>
        </w:tc>
      </w:tr>
      <w:tr w:rsidR="004D57F6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t>Kontaktní osoba:</w:t>
            </w:r>
          </w:p>
        </w:tc>
        <w:tc>
          <w:tcPr>
            <w:tcW w:w="6089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t xml:space="preserve">Mgr. Petr </w:t>
            </w:r>
            <w:proofErr w:type="spellStart"/>
            <w:r>
              <w:t>Jelínek</w:t>
            </w:r>
            <w:proofErr w:type="spellEnd"/>
          </w:p>
        </w:tc>
      </w:tr>
      <w:tr w:rsidR="002F4470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</w:pPr>
            <w:r>
              <w:t>Tel:</w:t>
            </w:r>
          </w:p>
        </w:tc>
        <w:tc>
          <w:tcPr>
            <w:tcW w:w="6089" w:type="dxa"/>
          </w:tcPr>
          <w:p w:rsidR="002F4470" w:rsidRDefault="002F4470">
            <w:pPr>
              <w:tabs>
                <w:tab w:val="left" w:pos="2268"/>
              </w:tabs>
            </w:pPr>
            <w:r>
              <w:t>737 964 319</w:t>
            </w:r>
          </w:p>
          <w:p w:rsidR="002F4470" w:rsidRDefault="002F4470">
            <w:pPr>
              <w:tabs>
                <w:tab w:val="left" w:pos="2268"/>
              </w:tabs>
            </w:pPr>
          </w:p>
          <w:p w:rsidR="002F4470" w:rsidRDefault="002F4470">
            <w:pPr>
              <w:tabs>
                <w:tab w:val="left" w:pos="2268"/>
              </w:tabs>
            </w:pPr>
          </w:p>
        </w:tc>
      </w:tr>
      <w:tr w:rsidR="002F4470" w:rsidTr="004D57F6">
        <w:tc>
          <w:tcPr>
            <w:tcW w:w="8494" w:type="dxa"/>
            <w:gridSpan w:val="2"/>
            <w:hideMark/>
          </w:tcPr>
          <w:p w:rsidR="002F4470" w:rsidRDefault="002F4470">
            <w:pPr>
              <w:pStyle w:val="Bezmezer"/>
              <w:rPr>
                <w:rFonts w:ascii="Calibri" w:hAnsi="Calibri"/>
                <w:b/>
              </w:rPr>
            </w:pPr>
            <w:r>
              <w:rPr>
                <w:b/>
              </w:rPr>
              <w:t>Zhotovitel</w:t>
            </w:r>
          </w:p>
        </w:tc>
      </w:tr>
      <w:tr w:rsidR="002F4470" w:rsidTr="004D57F6">
        <w:tc>
          <w:tcPr>
            <w:tcW w:w="2405" w:type="dxa"/>
            <w:hideMark/>
          </w:tcPr>
          <w:p w:rsidR="002F4470" w:rsidRPr="002F4470" w:rsidRDefault="002F4470" w:rsidP="002F4470">
            <w:pPr>
              <w:tabs>
                <w:tab w:val="left" w:pos="2268"/>
              </w:tabs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t>Název:</w:t>
            </w:r>
            <w:r>
              <w:rPr>
                <w:rFonts w:asciiTheme="majorHAnsi" w:hAnsiTheme="majorHAnsi" w:cs="Verdana"/>
              </w:rPr>
              <w:t xml:space="preserve">                                                                       </w:t>
            </w:r>
          </w:p>
        </w:tc>
        <w:tc>
          <w:tcPr>
            <w:tcW w:w="6089" w:type="dxa"/>
          </w:tcPr>
          <w:p w:rsidR="002F4470" w:rsidRPr="00184EFC" w:rsidRDefault="004D57F6" w:rsidP="004D57F6">
            <w:pPr>
              <w:rPr>
                <w:rFonts w:ascii="Calibri" w:hAnsi="Calibri"/>
                <w:b/>
                <w:lang w:val="en-US"/>
              </w:rPr>
            </w:pPr>
            <w:r w:rsidRPr="00184EFC">
              <w:rPr>
                <w:b/>
              </w:rPr>
              <w:t>Milan Vojík</w:t>
            </w:r>
          </w:p>
        </w:tc>
      </w:tr>
      <w:tr w:rsidR="004D57F6" w:rsidTr="004D57F6">
        <w:trPr>
          <w:cantSplit/>
        </w:trPr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</w:rPr>
              <w:t>Sídlo:</w:t>
            </w:r>
          </w:p>
        </w:tc>
        <w:tc>
          <w:tcPr>
            <w:tcW w:w="6089" w:type="dxa"/>
          </w:tcPr>
          <w:p w:rsidR="002F4470" w:rsidRDefault="004D57F6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Jungmannova</w:t>
            </w:r>
            <w:proofErr w:type="spellEnd"/>
            <w:r>
              <w:rPr>
                <w:rFonts w:ascii="Calibri" w:hAnsi="Calibri"/>
                <w:lang w:val="en-US"/>
              </w:rPr>
              <w:t xml:space="preserve"> 13,350 02 Cheb</w:t>
            </w:r>
          </w:p>
        </w:tc>
        <w:bookmarkStart w:id="0" w:name="_GoBack"/>
        <w:bookmarkEnd w:id="0"/>
      </w:tr>
      <w:tr w:rsidR="002F4470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 w:cs="Verdana"/>
              </w:rPr>
              <w:t>IČ:</w:t>
            </w:r>
          </w:p>
        </w:tc>
        <w:tc>
          <w:tcPr>
            <w:tcW w:w="6089" w:type="dxa"/>
          </w:tcPr>
          <w:p w:rsidR="002F4470" w:rsidRDefault="004D57F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46864393</w:t>
            </w:r>
          </w:p>
        </w:tc>
      </w:tr>
      <w:tr w:rsidR="004D57F6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DIČ:</w:t>
            </w:r>
          </w:p>
        </w:tc>
        <w:tc>
          <w:tcPr>
            <w:tcW w:w="6089" w:type="dxa"/>
          </w:tcPr>
          <w:p w:rsidR="002F4470" w:rsidRDefault="004D57F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CZ7004301821</w:t>
            </w:r>
          </w:p>
        </w:tc>
      </w:tr>
      <w:tr w:rsidR="002F4470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Statutární zástupce:</w:t>
            </w:r>
          </w:p>
        </w:tc>
        <w:tc>
          <w:tcPr>
            <w:tcW w:w="6089" w:type="dxa"/>
          </w:tcPr>
          <w:p w:rsidR="002F4470" w:rsidRPr="00184EFC" w:rsidRDefault="00184EFC">
            <w:pPr>
              <w:rPr>
                <w:rFonts w:ascii="Calibri" w:hAnsi="Calibri"/>
                <w:b/>
                <w:lang w:val="en-US"/>
              </w:rPr>
            </w:pPr>
            <w:r w:rsidRPr="00184EFC">
              <w:rPr>
                <w:rFonts w:ascii="Calibri" w:hAnsi="Calibri"/>
                <w:b/>
                <w:lang w:val="en-US"/>
              </w:rPr>
              <w:t>Milan Voj</w:t>
            </w:r>
            <w:r w:rsidR="004D57F6" w:rsidRPr="00184EFC">
              <w:rPr>
                <w:rFonts w:ascii="Calibri" w:hAnsi="Calibri"/>
                <w:b/>
                <w:lang w:val="en-US"/>
              </w:rPr>
              <w:t>ík</w:t>
            </w:r>
          </w:p>
        </w:tc>
      </w:tr>
      <w:tr w:rsidR="004D57F6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Obchodní rejstřík:</w:t>
            </w:r>
          </w:p>
        </w:tc>
        <w:tc>
          <w:tcPr>
            <w:tcW w:w="6089" w:type="dxa"/>
          </w:tcPr>
          <w:p w:rsidR="002F4470" w:rsidRDefault="00184EF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MU Cheb-ŽÚ č.j.1349/97/CH/01 e.č.340202-740-03</w:t>
            </w:r>
          </w:p>
        </w:tc>
      </w:tr>
      <w:tr w:rsidR="002F4470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Bankovní spojení:</w:t>
            </w:r>
          </w:p>
        </w:tc>
        <w:tc>
          <w:tcPr>
            <w:tcW w:w="6089" w:type="dxa"/>
          </w:tcPr>
          <w:p w:rsidR="002F4470" w:rsidRDefault="00184EF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ČSOB</w:t>
            </w:r>
          </w:p>
        </w:tc>
      </w:tr>
      <w:tr w:rsidR="004D57F6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Číslo běžného účtu:</w:t>
            </w:r>
          </w:p>
        </w:tc>
        <w:tc>
          <w:tcPr>
            <w:tcW w:w="6089" w:type="dxa"/>
          </w:tcPr>
          <w:p w:rsidR="002F4470" w:rsidRDefault="00184EF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277750699/0300</w:t>
            </w:r>
          </w:p>
        </w:tc>
      </w:tr>
      <w:tr w:rsidR="002F4470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Kontaktní osoba:</w:t>
            </w:r>
          </w:p>
        </w:tc>
        <w:tc>
          <w:tcPr>
            <w:tcW w:w="6089" w:type="dxa"/>
          </w:tcPr>
          <w:p w:rsidR="002F4470" w:rsidRDefault="00184EFC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M.Vojík</w:t>
            </w:r>
            <w:proofErr w:type="spellEnd"/>
          </w:p>
        </w:tc>
      </w:tr>
      <w:tr w:rsidR="004D57F6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Tel:</w:t>
            </w:r>
          </w:p>
        </w:tc>
        <w:tc>
          <w:tcPr>
            <w:tcW w:w="6089" w:type="dxa"/>
          </w:tcPr>
          <w:p w:rsidR="002F4470" w:rsidRDefault="00184EF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608 484 774</w:t>
            </w:r>
          </w:p>
        </w:tc>
      </w:tr>
      <w:tr w:rsidR="002F4470" w:rsidTr="004D57F6">
        <w:tc>
          <w:tcPr>
            <w:tcW w:w="2405" w:type="dxa"/>
            <w:hideMark/>
          </w:tcPr>
          <w:p w:rsidR="002F4470" w:rsidRDefault="002F4470">
            <w:pPr>
              <w:tabs>
                <w:tab w:val="left" w:pos="2268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Email:</w:t>
            </w:r>
          </w:p>
        </w:tc>
        <w:tc>
          <w:tcPr>
            <w:tcW w:w="6089" w:type="dxa"/>
          </w:tcPr>
          <w:p w:rsidR="002F4470" w:rsidRDefault="00184EF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Vojik.milanmail.com</w:t>
            </w:r>
          </w:p>
        </w:tc>
      </w:tr>
    </w:tbl>
    <w:p w:rsidR="002F4470" w:rsidRDefault="002F4470" w:rsidP="002F4470">
      <w:pPr>
        <w:tabs>
          <w:tab w:val="left" w:pos="2268"/>
        </w:tabs>
        <w:ind w:left="851" w:hanging="425"/>
        <w:contextualSpacing/>
        <w:rPr>
          <w:lang w:bidi="en-US"/>
        </w:rPr>
      </w:pPr>
    </w:p>
    <w:p w:rsidR="002F4470" w:rsidRDefault="002F4470" w:rsidP="002F4470">
      <w:pPr>
        <w:tabs>
          <w:tab w:val="left" w:pos="2268"/>
        </w:tabs>
        <w:ind w:left="851" w:hanging="425"/>
        <w:contextualSpacing/>
      </w:pPr>
    </w:p>
    <w:p w:rsidR="002F4470" w:rsidRDefault="002F4470" w:rsidP="002F4470">
      <w:pPr>
        <w:tabs>
          <w:tab w:val="left" w:pos="2268"/>
        </w:tabs>
        <w:ind w:left="851" w:hanging="425"/>
        <w:contextualSpacing/>
      </w:pPr>
    </w:p>
    <w:p w:rsidR="002F4470" w:rsidRDefault="002F4470" w:rsidP="002F4470">
      <w:pPr>
        <w:tabs>
          <w:tab w:val="left" w:pos="567"/>
        </w:tabs>
        <w:spacing w:before="120"/>
        <w:contextualSpacing/>
        <w:jc w:val="center"/>
        <w:rPr>
          <w:b/>
        </w:rPr>
      </w:pPr>
      <w:r>
        <w:rPr>
          <w:b/>
        </w:rPr>
        <w:t>uzavírají následující smlouvu o dílo (dále jen „smlouva“)</w:t>
      </w:r>
    </w:p>
    <w:p w:rsidR="002F4470" w:rsidRDefault="002F4470" w:rsidP="002F4470">
      <w:pPr>
        <w:tabs>
          <w:tab w:val="left" w:pos="567"/>
        </w:tabs>
        <w:spacing w:before="120"/>
        <w:contextualSpacing/>
        <w:jc w:val="center"/>
        <w:rPr>
          <w:b/>
          <w:spacing w:val="-4"/>
        </w:rPr>
      </w:pPr>
    </w:p>
    <w:p w:rsidR="002F4470" w:rsidRDefault="002F4470" w:rsidP="002F4470">
      <w:pPr>
        <w:spacing w:before="120" w:line="240" w:lineRule="atLeast"/>
        <w:contextualSpacing/>
        <w:jc w:val="center"/>
      </w:pPr>
      <w:r>
        <w:t>na zakázku:</w:t>
      </w:r>
    </w:p>
    <w:p w:rsidR="002F4470" w:rsidRDefault="002F4470" w:rsidP="002F4470">
      <w:pPr>
        <w:spacing w:before="120" w:line="240" w:lineRule="atLeast"/>
        <w:contextualSpacing/>
        <w:jc w:val="center"/>
        <w:rPr>
          <w:b/>
          <w:caps/>
        </w:rPr>
      </w:pPr>
    </w:p>
    <w:p w:rsidR="002F4470" w:rsidRDefault="002F4470" w:rsidP="002F4470">
      <w:pPr>
        <w:pStyle w:val="Bezmezer"/>
        <w:jc w:val="center"/>
        <w:rPr>
          <w:rFonts w:ascii="Calibri" w:hAnsi="Calibri"/>
          <w:b/>
          <w:bCs/>
          <w:caps/>
          <w:sz w:val="28"/>
        </w:rPr>
      </w:pPr>
      <w:proofErr w:type="spellStart"/>
      <w:r>
        <w:rPr>
          <w:rStyle w:val="datalabel"/>
          <w:b/>
          <w:sz w:val="28"/>
          <w:szCs w:val="40"/>
        </w:rPr>
        <w:t>Systém</w:t>
      </w:r>
      <w:proofErr w:type="spellEnd"/>
      <w:r>
        <w:rPr>
          <w:rStyle w:val="datalabel"/>
          <w:b/>
          <w:sz w:val="28"/>
          <w:szCs w:val="40"/>
        </w:rPr>
        <w:t xml:space="preserve"> </w:t>
      </w:r>
      <w:proofErr w:type="spellStart"/>
      <w:r>
        <w:rPr>
          <w:rStyle w:val="datalabel"/>
          <w:b/>
          <w:sz w:val="28"/>
          <w:szCs w:val="40"/>
        </w:rPr>
        <w:t>generálního</w:t>
      </w:r>
      <w:proofErr w:type="spellEnd"/>
      <w:r>
        <w:rPr>
          <w:rStyle w:val="datalabel"/>
          <w:b/>
          <w:sz w:val="28"/>
          <w:szCs w:val="40"/>
        </w:rPr>
        <w:t xml:space="preserve"> </w:t>
      </w:r>
      <w:proofErr w:type="spellStart"/>
      <w:r>
        <w:rPr>
          <w:rStyle w:val="datalabel"/>
          <w:b/>
          <w:sz w:val="28"/>
          <w:szCs w:val="40"/>
        </w:rPr>
        <w:t>klíče</w:t>
      </w:r>
      <w:proofErr w:type="spellEnd"/>
      <w:r>
        <w:rPr>
          <w:rStyle w:val="datalabel"/>
          <w:b/>
          <w:sz w:val="28"/>
          <w:szCs w:val="40"/>
        </w:rPr>
        <w:t xml:space="preserve"> pro </w:t>
      </w:r>
      <w:proofErr w:type="spellStart"/>
      <w:r>
        <w:rPr>
          <w:rStyle w:val="datalabel"/>
          <w:b/>
          <w:sz w:val="28"/>
          <w:szCs w:val="40"/>
        </w:rPr>
        <w:t>Gymnázium</w:t>
      </w:r>
      <w:proofErr w:type="spellEnd"/>
      <w:r>
        <w:rPr>
          <w:rStyle w:val="datalabel"/>
          <w:b/>
          <w:sz w:val="28"/>
          <w:szCs w:val="40"/>
        </w:rPr>
        <w:t xml:space="preserve"> Aš</w:t>
      </w:r>
    </w:p>
    <w:p w:rsidR="002F4470" w:rsidRDefault="002F4470" w:rsidP="002F4470">
      <w:pPr>
        <w:pStyle w:val="Bezmezer"/>
        <w:jc w:val="center"/>
        <w:rPr>
          <w:i/>
        </w:rPr>
      </w:pPr>
    </w:p>
    <w:p w:rsidR="002F4470" w:rsidRDefault="002F4470" w:rsidP="002F4470">
      <w:pPr>
        <w:pStyle w:val="Nadpis1"/>
        <w:numPr>
          <w:ilvl w:val="0"/>
          <w:numId w:val="2"/>
        </w:numPr>
        <w:spacing w:before="240"/>
        <w:ind w:left="0" w:firstLine="993"/>
        <w:jc w:val="center"/>
        <w:rPr>
          <w:rFonts w:asciiTheme="minorHAnsi" w:hAnsiTheme="minorHAnsi"/>
          <w:sz w:val="22"/>
          <w:szCs w:val="22"/>
        </w:rPr>
      </w:pPr>
    </w:p>
    <w:p w:rsidR="002F4470" w:rsidRDefault="002F4470" w:rsidP="002F4470">
      <w:pPr>
        <w:spacing w:before="120" w:after="120"/>
        <w:ind w:firstLine="709"/>
        <w:jc w:val="center"/>
        <w:rPr>
          <w:rFonts w:ascii="Calibri" w:hAnsi="Calibri"/>
          <w:b/>
          <w:caps/>
        </w:rPr>
      </w:pPr>
      <w:r>
        <w:rPr>
          <w:b/>
          <w:caps/>
        </w:rPr>
        <w:t>Základní ustanovení</w:t>
      </w:r>
    </w:p>
    <w:p w:rsidR="002F4470" w:rsidRDefault="002F4470" w:rsidP="002F4470">
      <w:pPr>
        <w:pStyle w:val="Odstavecseseznamem"/>
        <w:numPr>
          <w:ilvl w:val="0"/>
          <w:numId w:val="3"/>
        </w:numPr>
        <w:spacing w:before="120" w:after="120"/>
        <w:jc w:val="both"/>
        <w:rPr>
          <w:b/>
          <w:caps/>
        </w:rPr>
      </w:pP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kompletni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(</w:t>
      </w:r>
      <w:proofErr w:type="spellStart"/>
      <w:r>
        <w:t>dodávka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) </w:t>
      </w:r>
      <w:proofErr w:type="spellStart"/>
      <w:r>
        <w:t>dle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nabídky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dodavku</w:t>
      </w:r>
      <w:proofErr w:type="spellEnd"/>
      <w:r>
        <w:t xml:space="preserve"> a </w:t>
      </w:r>
      <w:proofErr w:type="spellStart"/>
      <w:r>
        <w:t>montáž</w:t>
      </w:r>
      <w:proofErr w:type="spellEnd"/>
      <w:r>
        <w:t xml:space="preserve"> </w:t>
      </w:r>
      <w:proofErr w:type="spellStart"/>
      <w:r>
        <w:t>zabezpečovacích</w:t>
      </w:r>
      <w:proofErr w:type="spellEnd"/>
      <w:r>
        <w:t xml:space="preserve"> </w:t>
      </w:r>
      <w:proofErr w:type="spellStart"/>
      <w:r>
        <w:t>prvků</w:t>
      </w:r>
      <w:proofErr w:type="spellEnd"/>
      <w:r>
        <w:t xml:space="preserve"> a </w:t>
      </w:r>
      <w:proofErr w:type="spellStart"/>
      <w:r>
        <w:t>systému</w:t>
      </w:r>
      <w:proofErr w:type="spellEnd"/>
      <w:r>
        <w:t xml:space="preserve"> </w:t>
      </w:r>
      <w:proofErr w:type="spellStart"/>
      <w:r>
        <w:t>generálního</w:t>
      </w:r>
      <w:proofErr w:type="spellEnd"/>
      <w:r>
        <w:t xml:space="preserve"> </w:t>
      </w:r>
      <w:proofErr w:type="spellStart"/>
      <w:r>
        <w:t>klíče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č. 1</w:t>
      </w:r>
    </w:p>
    <w:p w:rsidR="002F4470" w:rsidRDefault="002F4470" w:rsidP="002F4470">
      <w:pPr>
        <w:numPr>
          <w:ilvl w:val="0"/>
          <w:numId w:val="3"/>
        </w:numPr>
        <w:spacing w:after="120"/>
        <w:jc w:val="both"/>
      </w:pPr>
      <w:r>
        <w:t>Objednatel se zavazuje uhradit zhotoviteli za provedení díla cenu tak, jak je dále uvedeno.</w:t>
      </w:r>
    </w:p>
    <w:p w:rsidR="002F4470" w:rsidRDefault="002F4470" w:rsidP="002F4470">
      <w:pPr>
        <w:spacing w:after="120"/>
        <w:ind w:left="720"/>
        <w:jc w:val="both"/>
      </w:pPr>
    </w:p>
    <w:p w:rsidR="002F4470" w:rsidRDefault="002F4470" w:rsidP="002F4470">
      <w:pPr>
        <w:pStyle w:val="Nadpis1"/>
        <w:jc w:val="center"/>
        <w:rPr>
          <w:sz w:val="22"/>
          <w:szCs w:val="22"/>
        </w:rPr>
      </w:pPr>
      <w:r>
        <w:rPr>
          <w:caps w:val="0"/>
          <w:sz w:val="22"/>
          <w:szCs w:val="22"/>
        </w:rPr>
        <w:lastRenderedPageBreak/>
        <w:t>Č</w:t>
      </w:r>
      <w:r>
        <w:rPr>
          <w:sz w:val="22"/>
          <w:szCs w:val="22"/>
        </w:rPr>
        <w:t>lánek 2.</w:t>
      </w:r>
    </w:p>
    <w:p w:rsidR="002F4470" w:rsidRDefault="002F4470" w:rsidP="002F4470">
      <w:pPr>
        <w:spacing w:after="0"/>
        <w:ind w:firstLine="851"/>
        <w:jc w:val="center"/>
        <w:rPr>
          <w:b/>
          <w:caps/>
        </w:rPr>
      </w:pPr>
      <w:r>
        <w:rPr>
          <w:b/>
          <w:caps/>
        </w:rPr>
        <w:t>Doba PLNĚNÍ</w:t>
      </w:r>
    </w:p>
    <w:p w:rsidR="002F4470" w:rsidRDefault="002F4470" w:rsidP="002F4470">
      <w:pPr>
        <w:pStyle w:val="Odstavecseseznamem"/>
        <w:spacing w:before="120" w:after="120"/>
        <w:jc w:val="both"/>
        <w:rPr>
          <w:lang w:val="en-US"/>
        </w:rPr>
      </w:pP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a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sjednané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, a to v </w:t>
      </w:r>
      <w:proofErr w:type="spellStart"/>
      <w:r>
        <w:t>termínu</w:t>
      </w:r>
      <w:proofErr w:type="spellEnd"/>
      <w:r>
        <w:t>:</w:t>
      </w:r>
    </w:p>
    <w:p w:rsidR="002F4470" w:rsidRDefault="002F4470" w:rsidP="002F4470">
      <w:pPr>
        <w:pStyle w:val="Odstavecseseznamem"/>
        <w:spacing w:before="120" w:after="120"/>
        <w:jc w:val="both"/>
      </w:pPr>
      <w:proofErr w:type="spellStart"/>
      <w:r>
        <w:t>Dokončení</w:t>
      </w:r>
      <w:proofErr w:type="spellEnd"/>
      <w:r>
        <w:t xml:space="preserve"> a </w:t>
      </w:r>
      <w:proofErr w:type="spellStart"/>
      <w:r>
        <w:t>předání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>: do 28.2.2018</w:t>
      </w:r>
    </w:p>
    <w:p w:rsidR="002F4470" w:rsidRDefault="002F4470" w:rsidP="002F4470">
      <w:pPr>
        <w:pStyle w:val="Odstavecseseznamem"/>
        <w:spacing w:before="120" w:after="120"/>
        <w:jc w:val="both"/>
      </w:pPr>
      <w:proofErr w:type="spellStart"/>
      <w:r>
        <w:t>Dokončení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- </w:t>
      </w:r>
      <w:proofErr w:type="spellStart"/>
      <w:r>
        <w:t>termínem</w:t>
      </w:r>
      <w:proofErr w:type="spellEnd"/>
      <w:r>
        <w:t xml:space="preserve"> </w:t>
      </w:r>
      <w:proofErr w:type="spellStart"/>
      <w:r>
        <w:t>dokončení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se </w:t>
      </w:r>
      <w:proofErr w:type="spellStart"/>
      <w:r>
        <w:t>rozumí</w:t>
      </w:r>
      <w:proofErr w:type="spellEnd"/>
      <w:r>
        <w:t xml:space="preserve"> </w:t>
      </w:r>
      <w:proofErr w:type="spellStart"/>
      <w:r>
        <w:t>termín</w:t>
      </w:r>
      <w:proofErr w:type="spellEnd"/>
      <w:r>
        <w:t xml:space="preserve">,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dokončeného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objednatelem</w:t>
      </w:r>
      <w:proofErr w:type="spellEnd"/>
      <w:r>
        <w:t xml:space="preserve">.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domluven</w:t>
      </w:r>
      <w:proofErr w:type="spellEnd"/>
      <w:r>
        <w:t xml:space="preserve"> v </w:t>
      </w:r>
      <w:proofErr w:type="spellStart"/>
      <w:r>
        <w:t>předstihu</w:t>
      </w:r>
      <w:proofErr w:type="spellEnd"/>
      <w:r>
        <w:t xml:space="preserve"> s </w:t>
      </w:r>
      <w:proofErr w:type="spellStart"/>
      <w:r>
        <w:t>investorem</w:t>
      </w:r>
      <w:proofErr w:type="spellEnd"/>
      <w:r>
        <w:t>.</w:t>
      </w:r>
    </w:p>
    <w:p w:rsidR="002F4470" w:rsidRDefault="002F4470" w:rsidP="002F4470">
      <w:pPr>
        <w:pStyle w:val="Nadpis1"/>
        <w:spacing w:before="240"/>
        <w:ind w:left="4395" w:firstLine="14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3</w:t>
      </w:r>
    </w:p>
    <w:p w:rsidR="002F4470" w:rsidRDefault="002F4470" w:rsidP="002F4470">
      <w:pPr>
        <w:spacing w:before="120" w:after="120"/>
        <w:ind w:left="850" w:hanging="425"/>
        <w:jc w:val="center"/>
        <w:rPr>
          <w:rFonts w:ascii="Calibri" w:hAnsi="Calibri"/>
          <w:b/>
          <w:caps/>
        </w:rPr>
      </w:pPr>
      <w:r>
        <w:rPr>
          <w:b/>
          <w:caps/>
        </w:rPr>
        <w:t xml:space="preserve">  Cena ZA dílO</w:t>
      </w:r>
    </w:p>
    <w:p w:rsidR="002F4470" w:rsidRDefault="002F4470" w:rsidP="002F4470">
      <w:pPr>
        <w:numPr>
          <w:ilvl w:val="0"/>
          <w:numId w:val="4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hanging="294"/>
        <w:jc w:val="both"/>
        <w:textAlignment w:val="baseline"/>
      </w:pPr>
      <w:r>
        <w:t xml:space="preserve">Obě strany se dohodly, že cena za provedené dílo v rozsahu článku I. se stanoví jako cena pevná částkou </w:t>
      </w:r>
      <w:r>
        <w:rPr>
          <w:b/>
        </w:rPr>
        <w:t>126 879</w:t>
      </w:r>
      <w:r>
        <w:t>,-Kč včetně DPH 21%</w:t>
      </w:r>
    </w:p>
    <w:p w:rsidR="002F4470" w:rsidRDefault="002F4470" w:rsidP="002F4470">
      <w:p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720"/>
        <w:jc w:val="both"/>
        <w:textAlignment w:val="baseline"/>
      </w:pPr>
      <w:r>
        <w:t>Tato cena zahrnuje veškeré náklady spojené s provedením smluvních prací včetně dodávek a montáže všech materiálů, které jsou k provedení smluvních prací zapotřebí. Cenu je možné měnit pouze písemným dodatkem této smlouvy za podmínek v ní uvedených a dle § 2620 OZ.</w:t>
      </w:r>
    </w:p>
    <w:p w:rsidR="002F4470" w:rsidRDefault="002F4470" w:rsidP="002F4470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Strany se dohodly, že dílo bude financováno formou:</w:t>
      </w:r>
    </w:p>
    <w:p w:rsidR="002F4470" w:rsidRDefault="002F4470" w:rsidP="002F4470">
      <w:p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720"/>
        <w:jc w:val="both"/>
        <w:textAlignment w:val="baseline"/>
      </w:pPr>
      <w:r>
        <w:t>po řádném předání díla bude vystavena zhotovitelem faktura se splatností 14 dnů.</w:t>
      </w:r>
    </w:p>
    <w:p w:rsidR="002F4470" w:rsidRDefault="002F4470" w:rsidP="002F4470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Zhotovitel souhlasí se změnou rozsahu díla, pokud toto bude objednatel požadovat. Změna rozsahu díla musí být dohodnuta písemně a nejpozději před předáním díla potvrzena oběma smluvními stranami dodatkem ke smlouvě o dílo.</w:t>
      </w:r>
    </w:p>
    <w:p w:rsidR="002F4470" w:rsidRDefault="002F4470" w:rsidP="002F4470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Překročení ceny je možné při zákonné úpravě výše sazby DPH, a to od data účinnosti takové zákonné úpravy</w:t>
      </w:r>
    </w:p>
    <w:p w:rsidR="002F4470" w:rsidRDefault="002F4470" w:rsidP="002F4470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Cena díla je stanovena za kompletní a komplexní provedení díla ve stanoveném a dostatečném rozsahu, při kterém se nepředpokládají žádné vícepráce. V případě nadstandartních požadavků objednatele na specifické plnění či materiál bude uzavřen dodatek ke smlouvě</w:t>
      </w:r>
    </w:p>
    <w:p w:rsidR="002F4470" w:rsidRDefault="002F4470" w:rsidP="002F4470">
      <w:pPr>
        <w:tabs>
          <w:tab w:val="left" w:pos="993"/>
        </w:tabs>
        <w:overflowPunct w:val="0"/>
        <w:autoSpaceDE w:val="0"/>
        <w:autoSpaceDN w:val="0"/>
        <w:adjustRightInd w:val="0"/>
        <w:spacing w:line="240" w:lineRule="atLeast"/>
        <w:ind w:left="720"/>
        <w:jc w:val="both"/>
        <w:textAlignment w:val="baseline"/>
        <w:rPr>
          <w:rFonts w:ascii="Calibri" w:hAnsi="Calibri"/>
        </w:rPr>
      </w:pPr>
    </w:p>
    <w:p w:rsidR="002F4470" w:rsidRDefault="002F4470" w:rsidP="002F4470">
      <w:pPr>
        <w:pStyle w:val="Nadpis1"/>
        <w:spacing w:before="240"/>
        <w:ind w:left="4253" w:hanging="382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Článek 4</w:t>
      </w:r>
    </w:p>
    <w:p w:rsidR="002F4470" w:rsidRDefault="002F4470" w:rsidP="002F4470">
      <w:pPr>
        <w:spacing w:before="120" w:after="120"/>
        <w:ind w:left="850" w:hanging="425"/>
        <w:jc w:val="center"/>
        <w:rPr>
          <w:rFonts w:ascii="Calibri" w:hAnsi="Calibri"/>
          <w:b/>
          <w:caps/>
        </w:rPr>
      </w:pPr>
      <w:r>
        <w:rPr>
          <w:b/>
          <w:caps/>
        </w:rPr>
        <w:t>ZPůsob provádění díla</w:t>
      </w:r>
    </w:p>
    <w:p w:rsidR="002F4470" w:rsidRDefault="002F4470" w:rsidP="002F447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Zhotovitel se zavazuje provést dílo ve vysoké kvalitě za dohodnutých podmínek.</w:t>
      </w:r>
    </w:p>
    <w:p w:rsidR="002F4470" w:rsidRDefault="002F4470" w:rsidP="002F447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Zhotovitel se zavazuje použít při realizaci díla materiály, výrobky a zařízení dle cenové nabídky. Všechny materiály, služby a všechna zařízení dodávaná zhotovitelem musejí být nové a prosty jakýchkoli defektů. Kromě toho zhotovitel zaručí, aby tyto materiály a zařízení uspokojivě fungovaly během záruční doby.</w:t>
      </w:r>
    </w:p>
    <w:p w:rsidR="002F4470" w:rsidRDefault="002F4470" w:rsidP="002F447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Objednatel je oprávněn kontrolovat provádění díla pověřenou osobou.</w:t>
      </w:r>
    </w:p>
    <w:p w:rsidR="002F4470" w:rsidRDefault="002F4470" w:rsidP="002F447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Zhotovitel je povinen v průběhu a po zhotovení díla provádět řádný úklid převzatého pracoviště.</w:t>
      </w:r>
    </w:p>
    <w:p w:rsidR="002F4470" w:rsidRDefault="002F4470" w:rsidP="002F4470">
      <w:pPr>
        <w:numPr>
          <w:ilvl w:val="0"/>
          <w:numId w:val="5"/>
        </w:numPr>
        <w:jc w:val="both"/>
        <w:rPr>
          <w:rFonts w:cs="Arial"/>
        </w:rPr>
      </w:pPr>
      <w:r>
        <w:rPr>
          <w:rFonts w:cs="Arial"/>
        </w:rPr>
        <w:t>Zhotovitel zajistí provádění všech prací na stavbě v souladu s předpisy ČSN platnými v době realizace stavby.</w:t>
      </w:r>
    </w:p>
    <w:p w:rsidR="002F4470" w:rsidRDefault="002F4470" w:rsidP="002F4470">
      <w:pPr>
        <w:numPr>
          <w:ilvl w:val="0"/>
          <w:numId w:val="5"/>
        </w:numPr>
        <w:jc w:val="both"/>
        <w:rPr>
          <w:rFonts w:cs="Verdana"/>
          <w:bCs/>
        </w:rPr>
      </w:pPr>
      <w:r>
        <w:rPr>
          <w:rFonts w:cs="Arial"/>
        </w:rPr>
        <w:t xml:space="preserve">Zhotovitel navštívil a prohlédl si budoucí staveniště, seznámil se se situací přímo v lokalitě a je informován o všech podmínkách, které se vztahují na provádění smluvních </w:t>
      </w:r>
      <w:proofErr w:type="gramStart"/>
      <w:r>
        <w:rPr>
          <w:rFonts w:cs="Arial"/>
        </w:rPr>
        <w:t>prací a potvrzuje</w:t>
      </w:r>
      <w:proofErr w:type="gramEnd"/>
      <w:r>
        <w:rPr>
          <w:rFonts w:cs="Arial"/>
        </w:rPr>
        <w:t xml:space="preserve"> tímto, že smluvní práce mohou být provedeny v souladu se všemi převzatými informacemi a </w:t>
      </w:r>
      <w:r>
        <w:rPr>
          <w:rFonts w:cs="Arial"/>
        </w:rPr>
        <w:lastRenderedPageBreak/>
        <w:t>projektovou dokumentací, a že je schopen dílo za dohodnutou cenu v předepsané kvalitě a čase realizovat.</w:t>
      </w:r>
    </w:p>
    <w:p w:rsidR="002F4470" w:rsidRDefault="002F4470" w:rsidP="002F4470">
      <w:pPr>
        <w:ind w:left="714"/>
        <w:jc w:val="both"/>
        <w:rPr>
          <w:rFonts w:ascii="Calibri" w:hAnsi="Calibri" w:cs="Times New Roman"/>
        </w:rPr>
      </w:pPr>
    </w:p>
    <w:p w:rsidR="002F4470" w:rsidRDefault="002F4470" w:rsidP="002F4470">
      <w:pPr>
        <w:pStyle w:val="Nadpis1"/>
        <w:spacing w:before="240"/>
        <w:ind w:left="4253" w:hanging="382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Článek 5                                                                   </w:t>
      </w:r>
    </w:p>
    <w:p w:rsidR="002F4470" w:rsidRDefault="002F4470" w:rsidP="002F4470">
      <w:pPr>
        <w:spacing w:before="120" w:after="120"/>
        <w:ind w:left="850" w:hanging="425"/>
        <w:jc w:val="center"/>
        <w:rPr>
          <w:rFonts w:ascii="Calibri" w:hAnsi="Calibri"/>
          <w:b/>
          <w:caps/>
        </w:rPr>
      </w:pPr>
      <w:r>
        <w:rPr>
          <w:b/>
          <w:caps/>
        </w:rPr>
        <w:t>předání a převzetí</w:t>
      </w:r>
    </w:p>
    <w:p w:rsidR="002F4470" w:rsidRDefault="002F4470" w:rsidP="002F4470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cs="Verdana"/>
          <w:bCs/>
        </w:rPr>
        <w:t>Dílo je provedeno jeho řádným dokončením a předáním objednateli bez vad a nedodělků. Podmínkou převzetí je taktéž předání montážní a provozní dokumentace, záručních listů, certifikátů a prohlášení o shodě, které jsou požadovány dle harmonizovaných ČSN a dle požadavků investora a dotčených orgánů ke kolaudaci.</w:t>
      </w:r>
      <w:r>
        <w:t xml:space="preserve"> </w:t>
      </w:r>
    </w:p>
    <w:p w:rsidR="002F4470" w:rsidRDefault="002F4470" w:rsidP="002F4470">
      <w:pPr>
        <w:pStyle w:val="Bezmezer"/>
        <w:ind w:left="709"/>
      </w:pPr>
    </w:p>
    <w:p w:rsidR="002F4470" w:rsidRDefault="002F4470" w:rsidP="002F4470">
      <w:pPr>
        <w:numPr>
          <w:ilvl w:val="0"/>
          <w:numId w:val="6"/>
        </w:numPr>
        <w:jc w:val="both"/>
        <w:rPr>
          <w:rFonts w:cs="Verdana"/>
          <w:bCs/>
        </w:rPr>
      </w:pPr>
      <w:r>
        <w:rPr>
          <w:rFonts w:cs="Verdana"/>
          <w:bCs/>
        </w:rPr>
        <w:t>Smluvní strany se dohodly, že o předání předmětu díla bude sepsán předávací protokol, který podepíší obě smluvní strany.</w:t>
      </w:r>
    </w:p>
    <w:p w:rsidR="002F4470" w:rsidRDefault="002F4470" w:rsidP="002F4470">
      <w:pPr>
        <w:ind w:left="714"/>
        <w:jc w:val="both"/>
        <w:rPr>
          <w:rFonts w:cs="Verdana"/>
          <w:bCs/>
        </w:rPr>
      </w:pPr>
      <w:r>
        <w:rPr>
          <w:b/>
        </w:rPr>
        <w:t xml:space="preserve">  </w:t>
      </w:r>
    </w:p>
    <w:p w:rsidR="002F4470" w:rsidRDefault="002F4470" w:rsidP="002F4470">
      <w:pPr>
        <w:pStyle w:val="Nadpis1"/>
        <w:spacing w:before="240"/>
        <w:ind w:left="4253" w:hanging="3827"/>
        <w:jc w:val="center"/>
        <w:rPr>
          <w:bCs/>
          <w:sz w:val="22"/>
          <w:szCs w:val="22"/>
        </w:rPr>
      </w:pPr>
      <w:r>
        <w:rPr>
          <w:sz w:val="22"/>
          <w:szCs w:val="22"/>
        </w:rPr>
        <w:t>Článek 6</w:t>
      </w:r>
    </w:p>
    <w:p w:rsidR="002F4470" w:rsidRDefault="002F4470" w:rsidP="002F4470">
      <w:pPr>
        <w:spacing w:before="120" w:after="120"/>
        <w:ind w:left="850" w:hanging="425"/>
        <w:jc w:val="center"/>
        <w:rPr>
          <w:b/>
          <w:caps/>
        </w:rPr>
      </w:pPr>
      <w:r>
        <w:rPr>
          <w:b/>
          <w:caps/>
        </w:rPr>
        <w:t xml:space="preserve"> Záruční podmínky</w:t>
      </w:r>
    </w:p>
    <w:p w:rsidR="002F4470" w:rsidRDefault="002F4470" w:rsidP="002F4470">
      <w:pPr>
        <w:numPr>
          <w:ilvl w:val="0"/>
          <w:numId w:val="7"/>
        </w:numPr>
        <w:spacing w:afterLines="60" w:after="144"/>
        <w:jc w:val="both"/>
      </w:pPr>
      <w:r>
        <w:t>Zhotovitel odpovídá za vadu díla, kterou má dílo v době předání. Za vady díla, na něž se vztahuje záruka, odpovídá zhotovitel v rozsahu této záruky.</w:t>
      </w:r>
    </w:p>
    <w:p w:rsidR="002F4470" w:rsidRDefault="002F4470" w:rsidP="002F4470">
      <w:pPr>
        <w:numPr>
          <w:ilvl w:val="0"/>
          <w:numId w:val="7"/>
        </w:numPr>
        <w:spacing w:afterLines="60" w:after="144"/>
        <w:jc w:val="both"/>
      </w:pPr>
      <w:r>
        <w:t>Strany se dohodly na záruční době, která činí 2 roky - celková záruka na výrobky a jejich funkčnost. Záruka začne běžet dnem předání díla objednateli. Záruku nelze uplatnit, pokud není splacena celá částka za dílo.</w:t>
      </w:r>
    </w:p>
    <w:p w:rsidR="002F4470" w:rsidRDefault="002F4470" w:rsidP="002F4470">
      <w:pPr>
        <w:numPr>
          <w:ilvl w:val="0"/>
          <w:numId w:val="7"/>
        </w:numPr>
        <w:spacing w:afterLines="60" w:after="144"/>
        <w:jc w:val="both"/>
      </w:pPr>
      <w:r>
        <w:t>Zhotovitel je povinen nastoupit neprodleně k odstranění reklamované vady, nejpozději však do 3 dnů po obdržení reklamace. V případě havárie je zhotovitel povinen odstranit reklamované vady do 48 hodin od nahlášení.</w:t>
      </w:r>
    </w:p>
    <w:p w:rsidR="002F4470" w:rsidRDefault="002F4470" w:rsidP="002F4470">
      <w:pPr>
        <w:pStyle w:val="Nadpis1"/>
        <w:spacing w:before="240"/>
        <w:ind w:left="4253" w:hanging="3827"/>
        <w:jc w:val="center"/>
        <w:rPr>
          <w:sz w:val="22"/>
          <w:szCs w:val="22"/>
        </w:rPr>
      </w:pPr>
      <w:r>
        <w:rPr>
          <w:sz w:val="22"/>
          <w:szCs w:val="22"/>
        </w:rPr>
        <w:t>Článek 7</w:t>
      </w:r>
    </w:p>
    <w:p w:rsidR="002F4470" w:rsidRDefault="002F4470" w:rsidP="002F4470">
      <w:pPr>
        <w:spacing w:before="120" w:after="120"/>
        <w:ind w:left="850" w:hanging="425"/>
        <w:jc w:val="center"/>
        <w:rPr>
          <w:b/>
          <w:caps/>
        </w:rPr>
      </w:pPr>
      <w:r>
        <w:rPr>
          <w:b/>
          <w:caps/>
        </w:rPr>
        <w:t>Smluvní pokuty</w:t>
      </w:r>
    </w:p>
    <w:p w:rsidR="002F4470" w:rsidRDefault="002F4470" w:rsidP="002F4470">
      <w:pPr>
        <w:numPr>
          <w:ilvl w:val="0"/>
          <w:numId w:val="8"/>
        </w:numPr>
        <w:spacing w:afterLines="60" w:after="144"/>
        <w:jc w:val="both"/>
      </w:pPr>
      <w:r>
        <w:t>Nedodržení termínu splatnosti plateb za dílo dle vystavených faktur zakládá nárok zhotovitele na úhradu úroku z prodlení ve výši 0,05% z dlužné částky za každý den prodlení.</w:t>
      </w:r>
    </w:p>
    <w:p w:rsidR="002F4470" w:rsidRDefault="002F4470" w:rsidP="002F4470">
      <w:pPr>
        <w:numPr>
          <w:ilvl w:val="0"/>
          <w:numId w:val="8"/>
        </w:numPr>
        <w:spacing w:afterLines="60" w:after="144"/>
        <w:jc w:val="both"/>
      </w:pPr>
      <w:r>
        <w:t xml:space="preserve">Za nedodržení termínu splnění závazku dokončit dílo tak jak je stanoveno v článku II </w:t>
      </w:r>
      <w:proofErr w:type="gramStart"/>
      <w:r>
        <w:t>této</w:t>
      </w:r>
      <w:proofErr w:type="gramEnd"/>
      <w:r>
        <w:t xml:space="preserve"> smlouvy zaplatí Zhotovitel objednateli smluvní pokutu ve výši 0,05% z celkové ceny dodávky.</w:t>
      </w:r>
    </w:p>
    <w:p w:rsidR="002F4470" w:rsidRDefault="002F4470" w:rsidP="002F4470">
      <w:pPr>
        <w:pStyle w:val="Nadpis1"/>
        <w:spacing w:before="240"/>
        <w:ind w:left="4253" w:hanging="4111"/>
        <w:jc w:val="center"/>
        <w:rPr>
          <w:sz w:val="22"/>
          <w:szCs w:val="22"/>
        </w:rPr>
      </w:pPr>
      <w:r>
        <w:rPr>
          <w:sz w:val="22"/>
          <w:szCs w:val="22"/>
        </w:rPr>
        <w:t>Článek 8</w:t>
      </w:r>
    </w:p>
    <w:p w:rsidR="002F4470" w:rsidRDefault="002F4470" w:rsidP="002F4470">
      <w:pPr>
        <w:spacing w:after="0"/>
        <w:jc w:val="center"/>
        <w:rPr>
          <w:b/>
          <w:caps/>
        </w:rPr>
      </w:pPr>
      <w:r>
        <w:rPr>
          <w:b/>
          <w:caps/>
        </w:rPr>
        <w:t>Odpovědnost za škodu</w:t>
      </w:r>
    </w:p>
    <w:p w:rsidR="002F4470" w:rsidRDefault="002F4470" w:rsidP="002F4470">
      <w:pPr>
        <w:numPr>
          <w:ilvl w:val="0"/>
          <w:numId w:val="9"/>
        </w:numPr>
        <w:spacing w:afterLines="60" w:after="144"/>
        <w:jc w:val="both"/>
      </w:pPr>
      <w:r>
        <w:t>Smluvní strany si vzájemně odpovídají za Škody vzniklé porušením povinnosti ze závazného vztahu ve smyslu § 373-386 Obchodního zákoníku a zákona č. 59/1998Sb. ve znění zákona č. 209/2000 Sb.</w:t>
      </w:r>
    </w:p>
    <w:p w:rsidR="002F4470" w:rsidRDefault="002F4470" w:rsidP="002F4470">
      <w:pPr>
        <w:pStyle w:val="Nadpis1"/>
        <w:spacing w:before="240"/>
        <w:ind w:left="4253" w:hanging="3827"/>
        <w:jc w:val="center"/>
        <w:rPr>
          <w:sz w:val="22"/>
          <w:szCs w:val="22"/>
        </w:rPr>
      </w:pPr>
      <w:r>
        <w:rPr>
          <w:sz w:val="22"/>
          <w:szCs w:val="22"/>
        </w:rPr>
        <w:t>Článek 9</w:t>
      </w:r>
    </w:p>
    <w:p w:rsidR="002F4470" w:rsidRDefault="002F4470" w:rsidP="002F4470">
      <w:pPr>
        <w:spacing w:before="120" w:after="120"/>
        <w:ind w:left="850" w:hanging="425"/>
        <w:jc w:val="center"/>
        <w:rPr>
          <w:b/>
          <w:caps/>
        </w:rPr>
      </w:pPr>
      <w:r>
        <w:rPr>
          <w:b/>
          <w:caps/>
        </w:rPr>
        <w:t>závěrečná ustanovení</w:t>
      </w:r>
    </w:p>
    <w:p w:rsidR="002F4470" w:rsidRDefault="002F4470" w:rsidP="002F4470">
      <w:pPr>
        <w:numPr>
          <w:ilvl w:val="0"/>
          <w:numId w:val="10"/>
        </w:numPr>
        <w:jc w:val="both"/>
      </w:pPr>
      <w:r>
        <w:lastRenderedPageBreak/>
        <w:t>Výrobní postupy a materiály, které jsou specifikovány v dokumentaci, nesmí být nahrazeny postupy a materiály ekvivalentními bez předchozího souhlasu objednatele a to v každém specifickém případě zvlášť.</w:t>
      </w:r>
    </w:p>
    <w:p w:rsidR="002F4470" w:rsidRDefault="002F4470" w:rsidP="002F4470">
      <w:pPr>
        <w:numPr>
          <w:ilvl w:val="0"/>
          <w:numId w:val="10"/>
        </w:numPr>
        <w:jc w:val="both"/>
      </w:pPr>
      <w:r>
        <w:t>V ostatních smlouvou neupravených případech platí příslušná ustanoveni Obchodního zákoníku.</w:t>
      </w:r>
    </w:p>
    <w:p w:rsidR="002F4470" w:rsidRDefault="002F4470" w:rsidP="002F4470">
      <w:pPr>
        <w:numPr>
          <w:ilvl w:val="0"/>
          <w:numId w:val="10"/>
        </w:numPr>
        <w:jc w:val="both"/>
      </w:pPr>
      <w:r>
        <w:t>Veškeré změny a doplňky této smlouvy musí být učiněny písemnou formou dodatku smlouvy a schváleny oprávněnými zástupci smluvních stran.</w:t>
      </w:r>
    </w:p>
    <w:p w:rsidR="002F4470" w:rsidRDefault="002F4470" w:rsidP="002F4470">
      <w:pPr>
        <w:numPr>
          <w:ilvl w:val="0"/>
          <w:numId w:val="10"/>
        </w:numPr>
        <w:jc w:val="both"/>
        <w:rPr>
          <w:rFonts w:asciiTheme="majorHAnsi" w:hAnsiTheme="majorHAnsi" w:cs="Arial"/>
          <w:u w:val="single"/>
          <w:lang w:eastAsia="ar-SA"/>
        </w:rPr>
      </w:pPr>
      <w:r>
        <w:t>Smlouva se vystavuje ve dvou stejnopisech, z nichž každá smluvní strana obdrží jedno vyhotovení.</w:t>
      </w:r>
      <w:r>
        <w:rPr>
          <w:rFonts w:asciiTheme="majorHAnsi" w:hAnsiTheme="majorHAnsi" w:cs="Arial"/>
          <w:u w:val="single"/>
        </w:rPr>
        <w:t xml:space="preserve"> </w:t>
      </w:r>
    </w:p>
    <w:p w:rsidR="002F4470" w:rsidRDefault="002F4470" w:rsidP="002F4470">
      <w:pPr>
        <w:numPr>
          <w:ilvl w:val="0"/>
          <w:numId w:val="10"/>
        </w:numPr>
        <w:jc w:val="both"/>
        <w:rPr>
          <w:rFonts w:asciiTheme="majorHAnsi" w:hAnsiTheme="majorHAnsi" w:cs="Arial"/>
          <w:u w:val="single"/>
          <w:lang w:eastAsia="ar-SA"/>
        </w:rPr>
      </w:pPr>
      <w:r>
        <w:rPr>
          <w:rFonts w:asciiTheme="majorHAnsi" w:hAnsiTheme="majorHAnsi" w:cs="Arial"/>
          <w:u w:val="single"/>
        </w:rPr>
        <w:t>Nedílnou součást této smlouvy tvoří:</w:t>
      </w:r>
    </w:p>
    <w:p w:rsidR="002F4470" w:rsidRDefault="002F4470" w:rsidP="002F4470">
      <w:pPr>
        <w:pStyle w:val="Zkladntextodsazen31"/>
        <w:shd w:val="clear" w:color="auto" w:fill="FFFFFF" w:themeFill="background1"/>
        <w:tabs>
          <w:tab w:val="num" w:pos="851"/>
        </w:tabs>
        <w:ind w:left="851" w:firstLine="142"/>
        <w:rPr>
          <w:rFonts w:asciiTheme="majorHAnsi" w:hAnsiTheme="majorHAnsi" w:cs="Arial"/>
          <w:i/>
          <w:szCs w:val="22"/>
        </w:rPr>
      </w:pPr>
      <w:r>
        <w:rPr>
          <w:rFonts w:asciiTheme="majorHAnsi" w:hAnsiTheme="majorHAnsi" w:cs="Arial"/>
          <w:i/>
          <w:szCs w:val="22"/>
        </w:rPr>
        <w:t xml:space="preserve">Příloha č. 1: </w:t>
      </w:r>
      <w:r>
        <w:rPr>
          <w:rFonts w:asciiTheme="majorHAnsi" w:hAnsiTheme="majorHAnsi" w:cs="Arial"/>
          <w:i/>
          <w:szCs w:val="22"/>
        </w:rPr>
        <w:tab/>
        <w:t>NÁVRH SYSTÉMU GENERÁLNÍHO KLÍČE</w:t>
      </w:r>
    </w:p>
    <w:p w:rsidR="002F4470" w:rsidRDefault="002F4470" w:rsidP="002F4470">
      <w:pPr>
        <w:ind w:left="851" w:hanging="425"/>
        <w:contextualSpacing/>
        <w:jc w:val="both"/>
        <w:rPr>
          <w:rFonts w:cs="Times New Roman"/>
          <w:b/>
        </w:rPr>
      </w:pPr>
      <w:r>
        <w:rPr>
          <w:b/>
        </w:rPr>
        <w:t xml:space="preserve">  </w:t>
      </w:r>
    </w:p>
    <w:p w:rsidR="002F4470" w:rsidRDefault="002F4470" w:rsidP="002F4470">
      <w:pPr>
        <w:ind w:left="851" w:hanging="425"/>
        <w:contextualSpacing/>
        <w:jc w:val="both"/>
        <w:rPr>
          <w:b/>
        </w:rPr>
      </w:pPr>
    </w:p>
    <w:p w:rsidR="002F4470" w:rsidRDefault="002F4470" w:rsidP="002F4470">
      <w:pPr>
        <w:ind w:left="851" w:hanging="425"/>
        <w:contextualSpacing/>
        <w:jc w:val="both"/>
        <w:rPr>
          <w:rStyle w:val="Nadpis2Char"/>
          <w:rFonts w:asciiTheme="minorHAnsi" w:eastAsiaTheme="minorEastAsia" w:hAnsiTheme="minorHAnsi" w:cstheme="minorBidi"/>
        </w:rPr>
      </w:pPr>
      <w:r>
        <w:rPr>
          <w:b/>
        </w:rPr>
        <w:t>za objednatele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zhotovitele</w:t>
      </w:r>
    </w:p>
    <w:p w:rsidR="002F4470" w:rsidRDefault="002F4470" w:rsidP="002F4470">
      <w:pPr>
        <w:jc w:val="both"/>
        <w:rPr>
          <w:rFonts w:eastAsia="Times New Roman" w:cs="Times New Roman"/>
          <w:highlight w:val="lightGray"/>
        </w:rPr>
      </w:pPr>
    </w:p>
    <w:p w:rsidR="002F4470" w:rsidRDefault="002F4470" w:rsidP="002F4470">
      <w:pPr>
        <w:ind w:left="851" w:hanging="143"/>
        <w:contextualSpacing/>
        <w:jc w:val="both"/>
      </w:pPr>
      <w:r>
        <w:t xml:space="preserve">V Aši dne 18. 12. 2017                                         </w:t>
      </w:r>
      <w:r>
        <w:tab/>
        <w:t xml:space="preserve">   V Aši dne 18. 12. 2017</w:t>
      </w:r>
    </w:p>
    <w:p w:rsidR="002F4470" w:rsidRDefault="002F4470" w:rsidP="002F4470">
      <w:pPr>
        <w:ind w:left="851" w:hanging="425"/>
        <w:contextualSpacing/>
        <w:jc w:val="both"/>
      </w:pPr>
    </w:p>
    <w:p w:rsidR="002F4470" w:rsidRDefault="002F4470" w:rsidP="002F4470">
      <w:pPr>
        <w:jc w:val="both"/>
      </w:pPr>
    </w:p>
    <w:p w:rsidR="002F4470" w:rsidRDefault="002F4470" w:rsidP="002F4470">
      <w:pPr>
        <w:jc w:val="both"/>
      </w:pPr>
    </w:p>
    <w:p w:rsidR="002F4470" w:rsidRDefault="002F4470" w:rsidP="002F4470">
      <w:pPr>
        <w:jc w:val="both"/>
      </w:pPr>
    </w:p>
    <w:p w:rsidR="002F4470" w:rsidRDefault="002F4470" w:rsidP="002F4470">
      <w:pPr>
        <w:ind w:left="851" w:hanging="143"/>
        <w:contextualSpacing/>
        <w:jc w:val="both"/>
      </w:pPr>
      <w:r>
        <w:t>…………………………………………………………                       …………………………………………………………</w:t>
      </w:r>
    </w:p>
    <w:p w:rsidR="002F4470" w:rsidRDefault="002F4470" w:rsidP="002F4470">
      <w:pPr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cs="Arial"/>
          <w:b/>
        </w:rPr>
        <w:t xml:space="preserve">             </w:t>
      </w:r>
      <w:r>
        <w:rPr>
          <w:b/>
        </w:rPr>
        <w:t xml:space="preserve">Mgr. Petr </w:t>
      </w:r>
      <w:proofErr w:type="spellStart"/>
      <w:r>
        <w:rPr>
          <w:b/>
        </w:rPr>
        <w:t>Jelínek</w:t>
      </w:r>
      <w:proofErr w:type="spellEnd"/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>Milan Vojík</w:t>
      </w:r>
    </w:p>
    <w:p w:rsidR="002F4470" w:rsidRDefault="002F4470" w:rsidP="002F4470">
      <w:pPr>
        <w:autoSpaceDE w:val="0"/>
        <w:autoSpaceDN w:val="0"/>
        <w:adjustRightInd w:val="0"/>
        <w:ind w:left="1628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  <w:t>ředitel</w:t>
      </w:r>
      <w:r>
        <w:rPr>
          <w:rFonts w:asciiTheme="majorHAnsi" w:hAnsiTheme="majorHAnsi" w:cs="Arial"/>
          <w:i/>
          <w:iCs/>
          <w:color w:val="0000FF"/>
        </w:rPr>
        <w:t xml:space="preserve"> </w:t>
      </w:r>
      <w:r>
        <w:rPr>
          <w:rFonts w:asciiTheme="majorHAnsi" w:hAnsiTheme="majorHAnsi" w:cs="Arial"/>
          <w:i/>
          <w:iCs/>
          <w:color w:val="0000FF"/>
        </w:rPr>
        <w:tab/>
      </w:r>
      <w:r>
        <w:rPr>
          <w:rFonts w:asciiTheme="majorHAnsi" w:hAnsiTheme="majorHAnsi" w:cs="Arial"/>
          <w:i/>
          <w:iCs/>
          <w:color w:val="0000FF"/>
        </w:rPr>
        <w:tab/>
      </w:r>
      <w:r>
        <w:rPr>
          <w:rFonts w:asciiTheme="majorHAnsi" w:hAnsiTheme="majorHAnsi" w:cs="Arial"/>
          <w:i/>
          <w:iCs/>
          <w:color w:val="0000FF"/>
        </w:rPr>
        <w:tab/>
      </w:r>
      <w:r>
        <w:rPr>
          <w:rFonts w:asciiTheme="majorHAnsi" w:hAnsiTheme="majorHAnsi" w:cs="Arial"/>
          <w:i/>
          <w:iCs/>
          <w:color w:val="0000FF"/>
        </w:rPr>
        <w:tab/>
      </w:r>
      <w:r>
        <w:rPr>
          <w:rFonts w:asciiTheme="majorHAnsi" w:hAnsiTheme="majorHAnsi" w:cs="Arial"/>
          <w:i/>
          <w:iCs/>
          <w:color w:val="0000FF"/>
        </w:rPr>
        <w:tab/>
      </w:r>
    </w:p>
    <w:p w:rsidR="002F4470" w:rsidRDefault="002F4470" w:rsidP="002F4470">
      <w:pPr>
        <w:autoSpaceDE w:val="0"/>
        <w:autoSpaceDN w:val="0"/>
        <w:adjustRightInd w:val="0"/>
        <w:ind w:left="284" w:firstLine="708"/>
        <w:rPr>
          <w:rFonts w:cs="Arial"/>
        </w:rPr>
      </w:pPr>
    </w:p>
    <w:p w:rsidR="002F4470" w:rsidRDefault="002F4470" w:rsidP="002F4470">
      <w:pPr>
        <w:autoSpaceDE w:val="0"/>
        <w:autoSpaceDN w:val="0"/>
        <w:adjustRightInd w:val="0"/>
        <w:rPr>
          <w:rFonts w:cs="Arial"/>
        </w:rPr>
      </w:pPr>
    </w:p>
    <w:p w:rsidR="002F4470" w:rsidRDefault="002F4470" w:rsidP="002F4470">
      <w:pPr>
        <w:autoSpaceDE w:val="0"/>
        <w:autoSpaceDN w:val="0"/>
        <w:adjustRightInd w:val="0"/>
        <w:rPr>
          <w:rFonts w:cs="Arial"/>
        </w:rPr>
      </w:pPr>
    </w:p>
    <w:p w:rsidR="002F4470" w:rsidRDefault="002F4470" w:rsidP="002F4470">
      <w:pPr>
        <w:autoSpaceDE w:val="0"/>
        <w:autoSpaceDN w:val="0"/>
        <w:adjustRightInd w:val="0"/>
        <w:ind w:left="284" w:firstLine="708"/>
        <w:rPr>
          <w:rStyle w:val="Nadpis2Char"/>
          <w:rFonts w:ascii="Calibri" w:hAnsi="Calibri" w:cs="Arial"/>
        </w:rPr>
      </w:pPr>
      <w:r>
        <w:rPr>
          <w:rFonts w:asciiTheme="majorHAnsi" w:hAnsiTheme="majorHAnsi" w:cs="Arial"/>
          <w:i/>
          <w:iCs/>
          <w:color w:val="0000FF"/>
        </w:rPr>
        <w:t xml:space="preserve"> </w:t>
      </w:r>
    </w:p>
    <w:p w:rsidR="00694B72" w:rsidRDefault="00694B72"/>
    <w:sectPr w:rsidR="0069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E2C"/>
    <w:multiLevelType w:val="hybridMultilevel"/>
    <w:tmpl w:val="04824F46"/>
    <w:lvl w:ilvl="0" w:tplc="C68EDB9A">
      <w:start w:val="1"/>
      <w:numFmt w:val="decimal"/>
      <w:lvlText w:val="Článek %1."/>
      <w:lvlJc w:val="left"/>
      <w:pPr>
        <w:ind w:left="5039" w:hanging="360"/>
      </w:pPr>
      <w:rPr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F3500"/>
    <w:multiLevelType w:val="hybridMultilevel"/>
    <w:tmpl w:val="A260CE8E"/>
    <w:lvl w:ilvl="0" w:tplc="51E04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573C0"/>
    <w:multiLevelType w:val="hybridMultilevel"/>
    <w:tmpl w:val="7E3E9F08"/>
    <w:lvl w:ilvl="0" w:tplc="4DC87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25D8"/>
    <w:multiLevelType w:val="hybridMultilevel"/>
    <w:tmpl w:val="781664D6"/>
    <w:lvl w:ilvl="0" w:tplc="D17C2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E6729"/>
    <w:multiLevelType w:val="hybridMultilevel"/>
    <w:tmpl w:val="BA18D43A"/>
    <w:lvl w:ilvl="0" w:tplc="552A8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E3A7A"/>
    <w:multiLevelType w:val="hybridMultilevel"/>
    <w:tmpl w:val="5446714A"/>
    <w:lvl w:ilvl="0" w:tplc="546E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B2B50"/>
    <w:multiLevelType w:val="hybridMultilevel"/>
    <w:tmpl w:val="8BFAA1FC"/>
    <w:lvl w:ilvl="0" w:tplc="C9E88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E94D16"/>
    <w:multiLevelType w:val="hybridMultilevel"/>
    <w:tmpl w:val="FE0807C0"/>
    <w:lvl w:ilvl="0" w:tplc="CA582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1337C"/>
    <w:multiLevelType w:val="hybridMultilevel"/>
    <w:tmpl w:val="B94AC1A0"/>
    <w:lvl w:ilvl="0" w:tplc="C49AEEC8">
      <w:start w:val="1"/>
      <w:numFmt w:val="upperRoman"/>
      <w:lvlText w:val="%1."/>
      <w:lvlJc w:val="right"/>
      <w:pPr>
        <w:ind w:left="2432" w:hanging="360"/>
      </w:pPr>
    </w:lvl>
    <w:lvl w:ilvl="1" w:tplc="04050019">
      <w:start w:val="1"/>
      <w:numFmt w:val="lowerLetter"/>
      <w:lvlText w:val="%2."/>
      <w:lvlJc w:val="left"/>
      <w:pPr>
        <w:ind w:left="3152" w:hanging="360"/>
      </w:pPr>
    </w:lvl>
    <w:lvl w:ilvl="2" w:tplc="0405001B">
      <w:start w:val="1"/>
      <w:numFmt w:val="lowerRoman"/>
      <w:lvlText w:val="%3."/>
      <w:lvlJc w:val="right"/>
      <w:pPr>
        <w:ind w:left="3872" w:hanging="180"/>
      </w:pPr>
    </w:lvl>
    <w:lvl w:ilvl="3" w:tplc="0405000F">
      <w:start w:val="1"/>
      <w:numFmt w:val="decimal"/>
      <w:lvlText w:val="%4."/>
      <w:lvlJc w:val="left"/>
      <w:pPr>
        <w:ind w:left="4592" w:hanging="360"/>
      </w:pPr>
    </w:lvl>
    <w:lvl w:ilvl="4" w:tplc="04050019">
      <w:start w:val="1"/>
      <w:numFmt w:val="lowerLetter"/>
      <w:lvlText w:val="%5."/>
      <w:lvlJc w:val="left"/>
      <w:pPr>
        <w:ind w:left="5312" w:hanging="360"/>
      </w:pPr>
    </w:lvl>
    <w:lvl w:ilvl="5" w:tplc="0405001B">
      <w:start w:val="1"/>
      <w:numFmt w:val="lowerRoman"/>
      <w:lvlText w:val="%6."/>
      <w:lvlJc w:val="right"/>
      <w:pPr>
        <w:ind w:left="6032" w:hanging="180"/>
      </w:pPr>
    </w:lvl>
    <w:lvl w:ilvl="6" w:tplc="0405000F">
      <w:start w:val="1"/>
      <w:numFmt w:val="decimal"/>
      <w:lvlText w:val="%7."/>
      <w:lvlJc w:val="left"/>
      <w:pPr>
        <w:ind w:left="6752" w:hanging="360"/>
      </w:pPr>
    </w:lvl>
    <w:lvl w:ilvl="7" w:tplc="04050019">
      <w:start w:val="1"/>
      <w:numFmt w:val="lowerLetter"/>
      <w:lvlText w:val="%8."/>
      <w:lvlJc w:val="left"/>
      <w:pPr>
        <w:ind w:left="7472" w:hanging="360"/>
      </w:pPr>
    </w:lvl>
    <w:lvl w:ilvl="8" w:tplc="0405001B">
      <w:start w:val="1"/>
      <w:numFmt w:val="lowerRoman"/>
      <w:lvlText w:val="%9."/>
      <w:lvlJc w:val="right"/>
      <w:pPr>
        <w:ind w:left="8192" w:hanging="180"/>
      </w:pPr>
    </w:lvl>
  </w:abstractNum>
  <w:abstractNum w:abstractNumId="9" w15:restartNumberingAfterBreak="0">
    <w:nsid w:val="745250D7"/>
    <w:multiLevelType w:val="hybridMultilevel"/>
    <w:tmpl w:val="075829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70"/>
    <w:rsid w:val="00184EFC"/>
    <w:rsid w:val="002F4470"/>
    <w:rsid w:val="004D57F6"/>
    <w:rsid w:val="00694B72"/>
    <w:rsid w:val="00E6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4E54"/>
  <w15:chartTrackingRefBased/>
  <w15:docId w15:val="{113BCF47-C208-41DE-9B40-5D3097E5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II,Normální -Certigo"/>
    <w:qFormat/>
    <w:rsid w:val="004D57F6"/>
  </w:style>
  <w:style w:type="paragraph" w:styleId="Nadpis1">
    <w:name w:val="heading 1"/>
    <w:basedOn w:val="Normln"/>
    <w:next w:val="Normln"/>
    <w:link w:val="Nadpis1Char"/>
    <w:uiPriority w:val="9"/>
    <w:qFormat/>
    <w:rsid w:val="004D57F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7F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7F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7F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7F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7F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7F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7F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7F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7F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7F6"/>
    <w:rPr>
      <w:rFonts w:asciiTheme="majorHAnsi" w:eastAsiaTheme="majorEastAsia" w:hAnsiTheme="majorHAnsi" w:cstheme="majorBidi"/>
      <w:caps/>
      <w:sz w:val="28"/>
      <w:szCs w:val="28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F4470"/>
    <w:pPr>
      <w:ind w:left="720"/>
      <w:contextualSpacing/>
    </w:pPr>
  </w:style>
  <w:style w:type="character" w:customStyle="1" w:styleId="BezmezerChar">
    <w:name w:val="Bez mezer Char"/>
    <w:basedOn w:val="Standardnpsmoodstavce"/>
    <w:link w:val="Bezmezer"/>
    <w:uiPriority w:val="1"/>
    <w:locked/>
    <w:rsid w:val="002F4470"/>
  </w:style>
  <w:style w:type="paragraph" w:styleId="Bezmezer">
    <w:name w:val="No Spacing"/>
    <w:link w:val="BezmezerChar"/>
    <w:uiPriority w:val="1"/>
    <w:qFormat/>
    <w:rsid w:val="004D57F6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2F4470"/>
  </w:style>
  <w:style w:type="paragraph" w:customStyle="1" w:styleId="Zkladntextodsazen31">
    <w:name w:val="Základní text odsazený 31"/>
    <w:basedOn w:val="Normln"/>
    <w:rsid w:val="002F4470"/>
    <w:pPr>
      <w:suppressAutoHyphens/>
      <w:spacing w:after="0"/>
      <w:ind w:left="567" w:hanging="567"/>
      <w:jc w:val="both"/>
    </w:pPr>
    <w:rPr>
      <w:rFonts w:ascii="Times New Roman" w:hAnsi="Times New Roman"/>
      <w:szCs w:val="20"/>
      <w:lang w:eastAsia="ar-SA"/>
    </w:rPr>
  </w:style>
  <w:style w:type="character" w:customStyle="1" w:styleId="datalabel">
    <w:name w:val="datalabel"/>
    <w:basedOn w:val="Standardnpsmoodstavce"/>
    <w:rsid w:val="002F4470"/>
  </w:style>
  <w:style w:type="table" w:styleId="Mkatabulky">
    <w:name w:val="Table Grid"/>
    <w:basedOn w:val="Normlntabulka"/>
    <w:uiPriority w:val="59"/>
    <w:rsid w:val="002F44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2F44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4D57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4D57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4D57F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7F6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7F6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7F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7F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7F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7F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D57F6"/>
    <w:pPr>
      <w:spacing w:line="240" w:lineRule="auto"/>
    </w:pPr>
    <w:rPr>
      <w:b/>
      <w:bCs/>
      <w:smallCaps/>
      <w:color w:val="595959" w:themeColor="text1" w:themeTint="A6"/>
    </w:rPr>
  </w:style>
  <w:style w:type="paragraph" w:styleId="Nzev">
    <w:name w:val="Title"/>
    <w:basedOn w:val="Normln"/>
    <w:next w:val="Normln"/>
    <w:link w:val="NzevChar"/>
    <w:uiPriority w:val="10"/>
    <w:qFormat/>
    <w:rsid w:val="004D57F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4D57F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7F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57F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iln">
    <w:name w:val="Strong"/>
    <w:basedOn w:val="Standardnpsmoodstavce"/>
    <w:uiPriority w:val="22"/>
    <w:qFormat/>
    <w:rsid w:val="004D57F6"/>
    <w:rPr>
      <w:b/>
      <w:bCs/>
    </w:rPr>
  </w:style>
  <w:style w:type="character" w:styleId="Zdraznn">
    <w:name w:val="Emphasis"/>
    <w:basedOn w:val="Standardnpsmoodstavce"/>
    <w:uiPriority w:val="20"/>
    <w:qFormat/>
    <w:rsid w:val="004D57F6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4D57F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Char">
    <w:name w:val="Citát Char"/>
    <w:basedOn w:val="Standardnpsmoodstavce"/>
    <w:link w:val="Citt"/>
    <w:uiPriority w:val="29"/>
    <w:rsid w:val="004D57F6"/>
    <w:rPr>
      <w:rFonts w:asciiTheme="majorHAnsi" w:eastAsiaTheme="majorEastAsia" w:hAnsiTheme="majorHAnsi" w:cstheme="majorBidi"/>
      <w:sz w:val="25"/>
      <w:szCs w:val="2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7F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7F6"/>
    <w:rPr>
      <w:color w:val="404040" w:themeColor="text1" w:themeTint="BF"/>
      <w:sz w:val="32"/>
      <w:szCs w:val="32"/>
    </w:rPr>
  </w:style>
  <w:style w:type="character" w:styleId="Zdraznnjemn">
    <w:name w:val="Subtle Emphasis"/>
    <w:basedOn w:val="Standardnpsmoodstavce"/>
    <w:uiPriority w:val="19"/>
    <w:qFormat/>
    <w:rsid w:val="004D57F6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D57F6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4D57F6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D57F6"/>
    <w:rPr>
      <w:b/>
      <w:bCs/>
      <w:caps w:val="0"/>
      <w:smallCaps/>
      <w:color w:val="auto"/>
      <w:spacing w:val="3"/>
      <w:u w:val="single"/>
    </w:rPr>
  </w:style>
  <w:style w:type="character" w:styleId="Nzevknihy">
    <w:name w:val="Book Title"/>
    <w:basedOn w:val="Standardnpsmoodstavce"/>
    <w:uiPriority w:val="33"/>
    <w:qFormat/>
    <w:rsid w:val="004D57F6"/>
    <w:rPr>
      <w:b/>
      <w:bCs/>
      <w:smallCaps/>
      <w:spacing w:val="7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7F6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4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B49C0-0A81-45B0-83EB-61458B2B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vchod</dc:creator>
  <cp:keywords/>
  <dc:description/>
  <cp:lastModifiedBy>DP vchod</cp:lastModifiedBy>
  <cp:revision>1</cp:revision>
  <cp:lastPrinted>2018-01-13T08:31:00Z</cp:lastPrinted>
  <dcterms:created xsi:type="dcterms:W3CDTF">2018-01-13T08:06:00Z</dcterms:created>
  <dcterms:modified xsi:type="dcterms:W3CDTF">2018-01-13T08:37:00Z</dcterms:modified>
</cp:coreProperties>
</file>