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w:t>
      </w:r>
      <w:proofErr w:type="gramStart"/>
      <w:r w:rsidRPr="0051372E">
        <w:rPr>
          <w:rFonts w:ascii="Arial" w:hAnsi="Arial" w:cs="Arial"/>
          <w:b/>
          <w:snapToGrid w:val="0"/>
          <w:sz w:val="28"/>
          <w:szCs w:val="28"/>
        </w:rPr>
        <w:t>SOD</w:t>
      </w:r>
      <w:proofErr w:type="gramEnd"/>
      <w:r w:rsidRPr="0051372E">
        <w:rPr>
          <w:rFonts w:ascii="Arial" w:hAnsi="Arial" w:cs="Arial"/>
          <w:b/>
          <w:snapToGrid w:val="0"/>
          <w:sz w:val="28"/>
          <w:szCs w:val="28"/>
        </w:rPr>
        <w:t xml:space="preserve"> č. </w:t>
      </w:r>
      <w:r w:rsidR="003646C8">
        <w:rPr>
          <w:rFonts w:ascii="Arial" w:hAnsi="Arial" w:cs="Arial"/>
          <w:b/>
          <w:snapToGrid w:val="0"/>
          <w:sz w:val="28"/>
          <w:szCs w:val="28"/>
        </w:rPr>
        <w:t>12/2018</w:t>
      </w:r>
      <w:bookmarkStart w:id="0" w:name="_GoBack"/>
      <w:bookmarkEnd w:id="0"/>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w:t>
      </w:r>
      <w:proofErr w:type="gramStart"/>
      <w:r>
        <w:rPr>
          <w:rFonts w:ascii="Arial" w:hAnsi="Arial" w:cs="Arial"/>
          <w:snapToGrid w:val="0"/>
          <w:sz w:val="22"/>
          <w:szCs w:val="22"/>
        </w:rPr>
        <w:t>….            Podpis</w:t>
      </w:r>
      <w:proofErr w:type="gramEnd"/>
      <w:r>
        <w:rPr>
          <w:rFonts w:ascii="Arial" w:hAnsi="Arial" w:cs="Arial"/>
          <w:snapToGrid w:val="0"/>
          <w:sz w:val="22"/>
          <w:szCs w:val="22"/>
        </w:rPr>
        <w:t xml:space="preserve">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1D" w:rsidRDefault="00A73F1D" w:rsidP="002C20C2">
      <w:r>
        <w:separator/>
      </w:r>
    </w:p>
  </w:endnote>
  <w:endnote w:type="continuationSeparator" w:id="0">
    <w:p w:rsidR="00A73F1D" w:rsidRDefault="00A73F1D"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3646C8">
      <w:rPr>
        <w:rFonts w:ascii="Arial" w:hAnsi="Arial" w:cs="Arial"/>
        <w:b/>
        <w:noProof/>
        <w:sz w:val="18"/>
        <w:szCs w:val="18"/>
      </w:rPr>
      <w:t>2</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3646C8">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1D" w:rsidRDefault="00A73F1D" w:rsidP="002C20C2">
      <w:r>
        <w:separator/>
      </w:r>
    </w:p>
  </w:footnote>
  <w:footnote w:type="continuationSeparator" w:id="0">
    <w:p w:rsidR="00A73F1D" w:rsidRDefault="00A73F1D"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C1A51"/>
    <w:rsid w:val="000D49DA"/>
    <w:rsid w:val="000D4BCD"/>
    <w:rsid w:val="000D4F97"/>
    <w:rsid w:val="000E0AAB"/>
    <w:rsid w:val="000F3C7C"/>
    <w:rsid w:val="001013DE"/>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4FB5"/>
    <w:rsid w:val="00356147"/>
    <w:rsid w:val="00362388"/>
    <w:rsid w:val="003634E4"/>
    <w:rsid w:val="003646C8"/>
    <w:rsid w:val="0037392A"/>
    <w:rsid w:val="00374526"/>
    <w:rsid w:val="003748B8"/>
    <w:rsid w:val="00374B8A"/>
    <w:rsid w:val="003833E8"/>
    <w:rsid w:val="0038357C"/>
    <w:rsid w:val="00383D5B"/>
    <w:rsid w:val="00384E5E"/>
    <w:rsid w:val="00390FAA"/>
    <w:rsid w:val="0039137C"/>
    <w:rsid w:val="00391966"/>
    <w:rsid w:val="00392A0A"/>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D0145"/>
    <w:rsid w:val="004D11D3"/>
    <w:rsid w:val="004E4AB5"/>
    <w:rsid w:val="004F188D"/>
    <w:rsid w:val="004F1FAC"/>
    <w:rsid w:val="004F68E4"/>
    <w:rsid w:val="004F6A53"/>
    <w:rsid w:val="005007AF"/>
    <w:rsid w:val="0052323B"/>
    <w:rsid w:val="005319BA"/>
    <w:rsid w:val="0053363B"/>
    <w:rsid w:val="00533A69"/>
    <w:rsid w:val="00540246"/>
    <w:rsid w:val="0054078D"/>
    <w:rsid w:val="0054208C"/>
    <w:rsid w:val="005447A2"/>
    <w:rsid w:val="00553057"/>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B32CA"/>
    <w:rsid w:val="006C2839"/>
    <w:rsid w:val="006D0D50"/>
    <w:rsid w:val="006E1DAA"/>
    <w:rsid w:val="006E4C7D"/>
    <w:rsid w:val="006F2118"/>
    <w:rsid w:val="006F3D1F"/>
    <w:rsid w:val="006F6119"/>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73F1D"/>
    <w:rsid w:val="00A80235"/>
    <w:rsid w:val="00A83CAB"/>
    <w:rsid w:val="00A87B61"/>
    <w:rsid w:val="00A9123B"/>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05BCD"/>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C0A4E"/>
    <w:rsid w:val="00BC7BF0"/>
    <w:rsid w:val="00BD14AC"/>
    <w:rsid w:val="00BD3CA2"/>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3C37"/>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97BA9"/>
    <w:rsid w:val="00EA1543"/>
    <w:rsid w:val="00EA6507"/>
    <w:rsid w:val="00EB62E3"/>
    <w:rsid w:val="00EB756F"/>
    <w:rsid w:val="00ED35A9"/>
    <w:rsid w:val="00EE00AB"/>
    <w:rsid w:val="00EE0E62"/>
    <w:rsid w:val="00EE4512"/>
    <w:rsid w:val="00EE4C2D"/>
    <w:rsid w:val="00EE772C"/>
    <w:rsid w:val="00EF2175"/>
    <w:rsid w:val="00EF3778"/>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B7DA5"/>
    <w:rsid w:val="00FC57C0"/>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801</Words>
  <Characters>4731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6</cp:revision>
  <cp:lastPrinted>2017-08-25T08:04:00Z</cp:lastPrinted>
  <dcterms:created xsi:type="dcterms:W3CDTF">2017-11-15T12:01:00Z</dcterms:created>
  <dcterms:modified xsi:type="dcterms:W3CDTF">2018-01-04T12:25:00Z</dcterms:modified>
</cp:coreProperties>
</file>