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22" w:rsidRDefault="00806F22">
      <w:pPr>
        <w:spacing w:after="227" w:line="259" w:lineRule="auto"/>
        <w:ind w:left="29" w:right="0" w:firstLine="0"/>
        <w:jc w:val="left"/>
      </w:pPr>
    </w:p>
    <w:p w:rsidR="00806F22" w:rsidRDefault="00461726">
      <w:pPr>
        <w:spacing w:after="0" w:line="259" w:lineRule="auto"/>
        <w:ind w:left="0" w:right="144" w:firstLine="0"/>
        <w:jc w:val="center"/>
      </w:pPr>
      <w:r>
        <w:rPr>
          <w:sz w:val="52"/>
        </w:rPr>
        <w:t>OBJEDNÁVKA  (S M LO U V</w:t>
      </w:r>
      <w:r w:rsidR="00515B32">
        <w:rPr>
          <w:sz w:val="52"/>
        </w:rPr>
        <w:t xml:space="preserve"> A)</w:t>
      </w:r>
    </w:p>
    <w:p w:rsidR="00806F22" w:rsidRDefault="00515B32">
      <w:pPr>
        <w:spacing w:after="0" w:line="265" w:lineRule="auto"/>
        <w:ind w:left="10" w:right="122" w:hanging="10"/>
        <w:jc w:val="center"/>
      </w:pPr>
      <w:r>
        <w:rPr>
          <w:sz w:val="24"/>
        </w:rPr>
        <w:t>číslo objednatele: 06EU-003513</w:t>
      </w:r>
    </w:p>
    <w:p w:rsidR="00806F22" w:rsidRDefault="00515B32">
      <w:pPr>
        <w:spacing w:after="0" w:line="265" w:lineRule="auto"/>
        <w:ind w:left="10" w:hanging="10"/>
        <w:jc w:val="center"/>
      </w:pPr>
      <w:r>
        <w:rPr>
          <w:sz w:val="24"/>
        </w:rPr>
        <w:t xml:space="preserve">Číslo dodavatele: </w:t>
      </w:r>
      <w:r w:rsidRPr="00461726">
        <w:rPr>
          <w:sz w:val="24"/>
          <w:highlight w:val="black"/>
        </w:rPr>
        <w:t>18Wl 1 002</w:t>
      </w:r>
    </w:p>
    <w:p w:rsidR="00806F22" w:rsidRDefault="00515B32">
      <w:pPr>
        <w:spacing w:after="342" w:line="259" w:lineRule="auto"/>
        <w:ind w:left="0" w:firstLine="0"/>
        <w:jc w:val="center"/>
      </w:pPr>
      <w:r>
        <w:t>ISPROFIN: 5001210002.16978.2018</w:t>
      </w:r>
    </w:p>
    <w:p w:rsidR="00806F22" w:rsidRPr="00461726" w:rsidRDefault="00515B32">
      <w:pPr>
        <w:spacing w:after="438" w:line="259" w:lineRule="auto"/>
        <w:ind w:left="0" w:right="130" w:firstLine="0"/>
        <w:jc w:val="center"/>
        <w:rPr>
          <w:b/>
        </w:rPr>
      </w:pPr>
      <w:r>
        <w:rPr>
          <w:sz w:val="24"/>
        </w:rPr>
        <w:t xml:space="preserve">Název zakázky: </w:t>
      </w:r>
      <w:r w:rsidRPr="00461726">
        <w:rPr>
          <w:b/>
          <w:sz w:val="24"/>
          <w:u w:val="single" w:color="000000"/>
        </w:rPr>
        <w:t xml:space="preserve">I/27 Červené Poříčí — most </w:t>
      </w:r>
      <w:proofErr w:type="spellStart"/>
      <w:r w:rsidRPr="00461726">
        <w:rPr>
          <w:b/>
          <w:sz w:val="24"/>
          <w:u w:val="single" w:color="000000"/>
        </w:rPr>
        <w:t>ev.č</w:t>
      </w:r>
      <w:proofErr w:type="spellEnd"/>
      <w:r w:rsidRPr="00461726">
        <w:rPr>
          <w:b/>
          <w:sz w:val="24"/>
          <w:u w:val="single" w:color="000000"/>
        </w:rPr>
        <w:t>. 27-085 — technická studie</w:t>
      </w:r>
    </w:p>
    <w:tbl>
      <w:tblPr>
        <w:tblStyle w:val="TableGrid"/>
        <w:tblW w:w="8172" w:type="dxa"/>
        <w:tblInd w:w="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3744"/>
      </w:tblGrid>
      <w:tr w:rsidR="00806F22">
        <w:trPr>
          <w:trHeight w:val="23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>Dodavatel:</w:t>
            </w:r>
          </w:p>
        </w:tc>
      </w:tr>
      <w:tr w:rsidR="00806F22">
        <w:trPr>
          <w:trHeight w:val="27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7" w:right="0" w:firstLine="0"/>
              <w:jc w:val="left"/>
            </w:pPr>
            <w:r>
              <w:t>Ředitelství silnic a dálnic ČR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4"/>
              </w:rPr>
              <w:t>Woring s.r.o.</w:t>
            </w:r>
          </w:p>
        </w:tc>
      </w:tr>
      <w:tr w:rsidR="00806F22">
        <w:trPr>
          <w:trHeight w:val="279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Správa Plzeň, Hřímalého 37, 301 00 Plzeň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 w:rsidP="00461726">
            <w:pPr>
              <w:spacing w:after="0" w:line="259" w:lineRule="auto"/>
              <w:ind w:left="259" w:right="0" w:firstLine="0"/>
              <w:jc w:val="left"/>
            </w:pPr>
            <w:r>
              <w:t xml:space="preserve">Na Roudné 1604/93, 301 </w:t>
            </w:r>
            <w:r w:rsidR="00461726">
              <w:t>00</w:t>
            </w:r>
            <w:r>
              <w:t xml:space="preserve"> Plzeň</w:t>
            </w:r>
          </w:p>
        </w:tc>
      </w:tr>
      <w:tr w:rsidR="00806F22">
        <w:trPr>
          <w:trHeight w:val="28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Bankovní spojení: </w:t>
            </w:r>
            <w:r w:rsidRPr="00461726">
              <w:rPr>
                <w:sz w:val="24"/>
                <w:highlight w:val="black"/>
              </w:rPr>
              <w:t>ČNB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0" w:right="14" w:firstLine="0"/>
              <w:jc w:val="right"/>
            </w:pPr>
            <w:r>
              <w:t xml:space="preserve">Bankovní spojení: </w:t>
            </w:r>
            <w:proofErr w:type="spellStart"/>
            <w:r w:rsidRPr="00461726">
              <w:rPr>
                <w:highlight w:val="black"/>
              </w:rPr>
              <w:t>RaiffeisenBank</w:t>
            </w:r>
            <w:proofErr w:type="spellEnd"/>
            <w:r w:rsidRPr="00461726">
              <w:rPr>
                <w:highlight w:val="black"/>
              </w:rPr>
              <w:t xml:space="preserve"> a.s</w:t>
            </w:r>
            <w:r>
              <w:t>.</w:t>
            </w:r>
          </w:p>
        </w:tc>
      </w:tr>
      <w:tr w:rsidR="00806F22">
        <w:trPr>
          <w:trHeight w:val="27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14" w:right="0" w:firstLine="0"/>
              <w:jc w:val="left"/>
            </w:pPr>
            <w:r>
              <w:t xml:space="preserve">číslo účtu: </w:t>
            </w:r>
            <w:r w:rsidRPr="00461726">
              <w:rPr>
                <w:highlight w:val="black"/>
              </w:rPr>
              <w:t>20001-15937031/0710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266" w:right="0" w:firstLine="0"/>
              <w:jc w:val="left"/>
            </w:pPr>
            <w:r>
              <w:t xml:space="preserve">číslo účtu: </w:t>
            </w:r>
            <w:r w:rsidRPr="00461726">
              <w:rPr>
                <w:highlight w:val="black"/>
              </w:rPr>
              <w:t>7095712001/5500</w:t>
            </w:r>
          </w:p>
        </w:tc>
      </w:tr>
      <w:tr w:rsidR="00806F22">
        <w:trPr>
          <w:trHeight w:val="28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0" w:right="0" w:firstLine="0"/>
              <w:jc w:val="left"/>
            </w:pPr>
            <w:r>
              <w:t>IČO: 65993390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259" w:right="0" w:firstLine="0"/>
              <w:jc w:val="left"/>
            </w:pPr>
            <w:r>
              <w:t>IČO: 29159342</w:t>
            </w:r>
          </w:p>
        </w:tc>
      </w:tr>
      <w:tr w:rsidR="00806F22">
        <w:trPr>
          <w:trHeight w:val="57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7" w:right="0" w:firstLine="0"/>
              <w:jc w:val="left"/>
            </w:pPr>
            <w:r>
              <w:t>DIČ: CZ65993390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806F22" w:rsidRDefault="00515B32">
            <w:pPr>
              <w:spacing w:after="0" w:line="259" w:lineRule="auto"/>
              <w:ind w:left="259" w:right="0" w:firstLine="0"/>
              <w:jc w:val="left"/>
            </w:pPr>
            <w:r>
              <w:t>DIČ: CZ29159342</w:t>
            </w:r>
          </w:p>
          <w:p w:rsidR="00806F22" w:rsidRDefault="00515B32">
            <w:pPr>
              <w:spacing w:after="0" w:line="259" w:lineRule="auto"/>
              <w:ind w:left="0" w:right="0" w:firstLine="0"/>
              <w:jc w:val="right"/>
            </w:pPr>
            <w:r>
              <w:t xml:space="preserve">Kontaktní osoba: </w:t>
            </w:r>
            <w:r w:rsidRPr="00461726">
              <w:rPr>
                <w:highlight w:val="black"/>
              </w:rPr>
              <w:t>Ing. Zbyněk Voříšek</w:t>
            </w:r>
          </w:p>
        </w:tc>
      </w:tr>
      <w:tr w:rsidR="00461726">
        <w:trPr>
          <w:trHeight w:val="57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61726" w:rsidRDefault="00461726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461726" w:rsidRDefault="00461726">
            <w:pPr>
              <w:spacing w:after="0" w:line="259" w:lineRule="auto"/>
              <w:ind w:left="259" w:right="0" w:firstLine="0"/>
              <w:jc w:val="left"/>
            </w:pPr>
          </w:p>
        </w:tc>
      </w:tr>
    </w:tbl>
    <w:p w:rsidR="00806F22" w:rsidRDefault="00515B32">
      <w:pPr>
        <w:spacing w:after="121" w:line="265" w:lineRule="auto"/>
        <w:ind w:left="32" w:right="165" w:hanging="10"/>
      </w:pPr>
      <w:r>
        <w:rPr>
          <w:sz w:val="24"/>
        </w:rPr>
        <w:t>Tato objednávka - smlouva Objednatele zavazuje po jejím potvrzení Dodavatelem obě smluvní strany ke splnění stanovených závazků a nahrazuje smlouvu. Dodavatel se zavazuje provést na svůj náklad a nebezpečí pro Objednatele služby specifikované níže. Objedna</w:t>
      </w:r>
      <w:r>
        <w:rPr>
          <w:sz w:val="24"/>
        </w:rPr>
        <w:t>tel se zavazuje zaplatit za služby poskytnuté v souladu s touto objednávkou cenu uvedenou níže.</w:t>
      </w:r>
    </w:p>
    <w:p w:rsidR="00806F22" w:rsidRDefault="00515B32">
      <w:pPr>
        <w:spacing w:after="121" w:line="265" w:lineRule="auto"/>
        <w:ind w:left="32" w:right="165" w:hanging="10"/>
      </w:pPr>
      <w:r>
        <w:rPr>
          <w:sz w:val="24"/>
        </w:rPr>
        <w:t>Místo dodání: Ředitelství silnic a dálnic ČR, Správa Plzeň, Hřímalého 37, 301 00 Plzeň</w:t>
      </w:r>
    </w:p>
    <w:p w:rsidR="00806F22" w:rsidRDefault="00515B32">
      <w:pPr>
        <w:spacing w:after="138" w:line="259" w:lineRule="auto"/>
        <w:ind w:left="22" w:right="0" w:firstLine="0"/>
        <w:jc w:val="left"/>
      </w:pPr>
      <w:r>
        <w:rPr>
          <w:sz w:val="26"/>
        </w:rPr>
        <w:t xml:space="preserve">Kontaktní osoba Objednatele: </w:t>
      </w:r>
      <w:r w:rsidRPr="00461726">
        <w:rPr>
          <w:sz w:val="26"/>
          <w:highlight w:val="black"/>
        </w:rPr>
        <w:t>Ladislava Martínková, tel. 377 333 761</w:t>
      </w:r>
    </w:p>
    <w:p w:rsidR="00806F22" w:rsidRDefault="00515B32">
      <w:pPr>
        <w:spacing w:after="121" w:line="265" w:lineRule="auto"/>
        <w:ind w:left="32" w:right="165" w:hanging="10"/>
      </w:pPr>
      <w:r>
        <w:rPr>
          <w:sz w:val="24"/>
        </w:rPr>
        <w:t>Faktu</w:t>
      </w:r>
      <w:r>
        <w:rPr>
          <w:sz w:val="24"/>
        </w:rPr>
        <w:t>rujte: Ředitelství silnic a dálnic ČR, Správa Plzeň, Hřímalého 37, 301 00 Plzeň</w:t>
      </w:r>
    </w:p>
    <w:p w:rsidR="00806F22" w:rsidRDefault="00515B32">
      <w:pPr>
        <w:spacing w:after="368"/>
        <w:ind w:right="187"/>
      </w:pPr>
      <w:r>
        <w:t>Obchodní a platební podmínky: Objednatel uhradí cenu jednorázovým bankovním převodem na účet Dodavatele uvedený na faktuře, termín splatnosti je stanoven na 30 dnů ode dne doru</w:t>
      </w:r>
      <w:r>
        <w:t>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neposk</w:t>
      </w:r>
      <w:r>
        <w:t xml:space="preserve">ytuje žádné zálohy na cenu, ani dílčí platby ceny. Potvrzením přijetí (akceptací) této objednávky se Dodavatel zavazuje plnit veškeré povinnosti v této objednávce uvedené. Objednatel výslovně vylučuje akceptaci objednávky Dodavatelem s jakýmikoliv změnami </w:t>
      </w:r>
      <w:r>
        <w:t xml:space="preserve">jejího obsahu, k takovému právnímu jednání Dodavatele se nepřihlíží. Dodavatel poskytuje souhlas s uveřejněním objednávky a jejího potvrzení v registru smluv zřízeným zákonem č. 340/2015 Sb., o zvláštních podmínkách účinnosti některých smluv, uveřejňování </w:t>
      </w:r>
      <w:r>
        <w:t>těchto smluv a o registru smluv, ve znění pozdějších předpisů (dále jako „zákon o registru smluv”), Objednatelem.</w:t>
      </w:r>
    </w:p>
    <w:p w:rsidR="00515B32" w:rsidRDefault="00515B32">
      <w:pPr>
        <w:spacing w:after="368"/>
        <w:ind w:right="187"/>
      </w:pPr>
      <w:bookmarkStart w:id="0" w:name="_GoBack"/>
      <w:bookmarkEnd w:id="0"/>
    </w:p>
    <w:p w:rsidR="00461726" w:rsidRDefault="00461726">
      <w:pPr>
        <w:spacing w:after="368"/>
        <w:ind w:right="187"/>
      </w:pPr>
    </w:p>
    <w:p w:rsidR="00806F22" w:rsidRDefault="00515B32">
      <w:pPr>
        <w:spacing w:after="0" w:line="259" w:lineRule="auto"/>
        <w:ind w:left="338" w:right="0" w:firstLine="0"/>
        <w:jc w:val="center"/>
      </w:pPr>
      <w:r>
        <w:rPr>
          <w:sz w:val="16"/>
        </w:rPr>
        <w:t xml:space="preserve">7 </w:t>
      </w:r>
    </w:p>
    <w:p w:rsidR="00806F22" w:rsidRDefault="00515B32">
      <w:pPr>
        <w:ind w:left="132" w:right="57"/>
      </w:pPr>
      <w:r>
        <w:lastRenderedPageBreak/>
        <w:t>Objednávka je účinná okamžikem zveřejnění v registru smluv, přičemž Objednatel o této skutečnosti Dodavatele informuje. Objednatel je opráv</w:t>
      </w:r>
      <w:r>
        <w:t>něn kdykoliv po uzavření objednávky tuto objednávku vypovědět s účinky od doručení písemné výpovědi Dodavateli, a to i bez uvedení důvodu. Výpověď objednávky dle předcházející věty nemá vliv na již řádně poskytnuté plnění včetně práv a povinností z něj vyp</w:t>
      </w:r>
      <w:r>
        <w:t>lývajících.</w:t>
      </w:r>
    </w:p>
    <w:p w:rsidR="00806F22" w:rsidRDefault="00515B32">
      <w:pPr>
        <w:ind w:left="132" w:right="57"/>
      </w:pPr>
      <w:r>
        <w:t>Záruční lhůta: dle Občanského zákoníku</w:t>
      </w:r>
    </w:p>
    <w:p w:rsidR="00806F22" w:rsidRDefault="00515B32">
      <w:pPr>
        <w:ind w:left="132" w:right="57"/>
      </w:pPr>
      <w:r w:rsidRPr="00461726">
        <w:rPr>
          <w:b/>
        </w:rPr>
        <w:t>Objednáváme u Vás:</w:t>
      </w:r>
      <w:r>
        <w:t xml:space="preserve"> zpracování technické studie, jejíž součástí bude diagnostika mostu (diagnostický průzkum) vč. mimořádné prohlídky mostu, předběžný záborový elaborát, geodetické zaměření, ověření výskytu</w:t>
      </w:r>
      <w:r>
        <w:t xml:space="preserve"> inženýrských sítí a vlastní návrh oprav.</w:t>
      </w:r>
    </w:p>
    <w:p w:rsidR="00806F22" w:rsidRDefault="00515B32">
      <w:pPr>
        <w:spacing w:after="121" w:line="265" w:lineRule="auto"/>
        <w:ind w:left="139" w:right="165" w:hanging="10"/>
      </w:pPr>
      <w:r>
        <w:rPr>
          <w:sz w:val="24"/>
        </w:rPr>
        <w:t xml:space="preserve">Lhůta pro dodání či termín dodání: </w:t>
      </w:r>
      <w:proofErr w:type="gramStart"/>
      <w:r>
        <w:rPr>
          <w:sz w:val="24"/>
        </w:rPr>
        <w:t>30.5.2018</w:t>
      </w:r>
      <w:proofErr w:type="gramEnd"/>
    </w:p>
    <w:p w:rsidR="00806F22" w:rsidRDefault="00461726">
      <w:pPr>
        <w:spacing w:after="0" w:line="259" w:lineRule="auto"/>
        <w:ind w:left="144" w:right="0" w:firstLine="0"/>
        <w:jc w:val="left"/>
      </w:pPr>
      <w:r>
        <w:rPr>
          <w:sz w:val="24"/>
          <w:u w:val="single" w:color="000000"/>
        </w:rPr>
        <w:t>Celková hodnota objedná</w:t>
      </w:r>
      <w:r w:rsidR="00515B32">
        <w:rPr>
          <w:sz w:val="24"/>
          <w:u w:val="single" w:color="000000"/>
        </w:rPr>
        <w:t>vk</w:t>
      </w:r>
      <w:r>
        <w:rPr>
          <w:sz w:val="24"/>
          <w:u w:val="single" w:color="000000"/>
        </w:rPr>
        <w:t>y</w:t>
      </w:r>
      <w:r w:rsidR="00515B32">
        <w:rPr>
          <w:sz w:val="24"/>
          <w:u w:val="single" w:color="000000"/>
        </w:rPr>
        <w:t xml:space="preserve"> v Kč</w:t>
      </w:r>
      <w:r w:rsidR="00515B32">
        <w:rPr>
          <w:sz w:val="24"/>
        </w:rPr>
        <w:t>:</w:t>
      </w:r>
    </w:p>
    <w:tbl>
      <w:tblPr>
        <w:tblStyle w:val="TableGrid"/>
        <w:tblW w:w="5789" w:type="dxa"/>
        <w:tblInd w:w="1985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12"/>
      </w:tblGrid>
      <w:tr w:rsidR="00806F22" w:rsidRPr="00461726" w:rsidTr="00461726">
        <w:trPr>
          <w:trHeight w:val="39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6F22" w:rsidRPr="00461726" w:rsidRDefault="00515B32" w:rsidP="00461726">
            <w:pPr>
              <w:spacing w:after="0" w:line="259" w:lineRule="auto"/>
              <w:ind w:left="709" w:right="0" w:hanging="562"/>
              <w:jc w:val="left"/>
              <w:rPr>
                <w:b/>
                <w:sz w:val="24"/>
                <w:szCs w:val="24"/>
              </w:rPr>
            </w:pPr>
            <w:r w:rsidRPr="00461726">
              <w:rPr>
                <w:b/>
                <w:sz w:val="24"/>
                <w:szCs w:val="24"/>
              </w:rPr>
              <w:t>Cena bez DPH: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06F22" w:rsidRPr="00461726" w:rsidRDefault="00461726" w:rsidP="00461726">
            <w:pPr>
              <w:spacing w:after="0" w:line="259" w:lineRule="auto"/>
              <w:ind w:left="709" w:right="-1588" w:firstLine="0"/>
              <w:rPr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 xml:space="preserve">   </w:t>
            </w:r>
            <w:r w:rsidR="00515B32" w:rsidRPr="00461726">
              <w:rPr>
                <w:rFonts w:eastAsia="Courier New"/>
                <w:b/>
                <w:sz w:val="24"/>
                <w:szCs w:val="24"/>
              </w:rPr>
              <w:t>210.000,- Kč</w:t>
            </w:r>
          </w:p>
        </w:tc>
      </w:tr>
      <w:tr w:rsidR="00806F22" w:rsidRPr="00461726" w:rsidTr="00461726">
        <w:trPr>
          <w:trHeight w:val="39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F22" w:rsidRPr="00461726" w:rsidRDefault="00515B32" w:rsidP="00461726">
            <w:pPr>
              <w:spacing w:after="0" w:line="259" w:lineRule="auto"/>
              <w:ind w:left="709" w:right="0" w:hanging="562"/>
              <w:jc w:val="left"/>
              <w:rPr>
                <w:b/>
                <w:sz w:val="24"/>
                <w:szCs w:val="24"/>
              </w:rPr>
            </w:pPr>
            <w:r w:rsidRPr="00461726">
              <w:rPr>
                <w:b/>
                <w:sz w:val="24"/>
                <w:szCs w:val="24"/>
              </w:rPr>
              <w:t>DPH 21%: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F22" w:rsidRPr="00461726" w:rsidRDefault="00461726" w:rsidP="00461726">
            <w:pPr>
              <w:spacing w:after="0" w:line="259" w:lineRule="auto"/>
              <w:ind w:left="709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15B32" w:rsidRPr="00461726">
              <w:rPr>
                <w:b/>
                <w:sz w:val="24"/>
                <w:szCs w:val="24"/>
              </w:rPr>
              <w:t>44.100,- Kč</w:t>
            </w:r>
          </w:p>
        </w:tc>
      </w:tr>
    </w:tbl>
    <w:p w:rsidR="00806F22" w:rsidRPr="00461726" w:rsidRDefault="00515B32" w:rsidP="00461726">
      <w:pPr>
        <w:spacing w:after="406" w:line="265" w:lineRule="auto"/>
        <w:ind w:left="709" w:right="288" w:hanging="10"/>
        <w:jc w:val="center"/>
        <w:rPr>
          <w:b/>
          <w:sz w:val="24"/>
          <w:szCs w:val="24"/>
        </w:rPr>
      </w:pPr>
      <w:r w:rsidRPr="00461726">
        <w:rPr>
          <w:b/>
          <w:sz w:val="24"/>
          <w:szCs w:val="24"/>
        </w:rPr>
        <w:t xml:space="preserve">Cena celkem s DPH: </w:t>
      </w:r>
      <w:r w:rsidR="00461726">
        <w:rPr>
          <w:b/>
          <w:sz w:val="24"/>
          <w:szCs w:val="24"/>
        </w:rPr>
        <w:t xml:space="preserve">                           </w:t>
      </w:r>
      <w:r w:rsidRPr="00461726">
        <w:rPr>
          <w:b/>
          <w:sz w:val="24"/>
          <w:szCs w:val="24"/>
        </w:rPr>
        <w:t>254.100,- Kč</w:t>
      </w:r>
    </w:p>
    <w:p w:rsidR="00806F22" w:rsidRDefault="00515B32">
      <w:pPr>
        <w:ind w:left="132" w:right="57"/>
      </w:pPr>
      <w:r>
        <w:t xml:space="preserve">V případě akceptace objednávky Objednatele Dodavatel objednávku písemně potvrdí prostřednictvím e-mailu zaslaného do e-mailové schránky Objednatele </w:t>
      </w:r>
      <w:proofErr w:type="spellStart"/>
      <w:r w:rsidRPr="00461726">
        <w:rPr>
          <w:highlight w:val="black"/>
          <w:u w:val="single" w:color="000000"/>
        </w:rPr>
        <w:t>Jadislava.martinkovała</w:t>
      </w:r>
      <w:proofErr w:type="spellEnd"/>
      <w:r w:rsidRPr="00461726">
        <w:rPr>
          <w:highlight w:val="black"/>
          <w:u w:val="single" w:color="000000"/>
        </w:rPr>
        <w:t xml:space="preserve"> rsd.cz</w:t>
      </w:r>
      <w:r w:rsidRPr="00461726">
        <w:rPr>
          <w:highlight w:val="black"/>
        </w:rPr>
        <w:t xml:space="preserve"> .</w:t>
      </w:r>
      <w:r>
        <w:t xml:space="preserve"> V případě nepotvrzení akceptace objednávky Objednatele Dodavatelem platí, že</w:t>
      </w:r>
      <w:r>
        <w:t xml:space="preserve"> Dodavatel objednávku neakceptoval a objednávka je bez dalšího zneplatněna.</w:t>
      </w:r>
    </w:p>
    <w:p w:rsidR="00806F22" w:rsidRDefault="00515B32">
      <w:pPr>
        <w:ind w:left="132" w:right="57"/>
      </w:pPr>
      <w:r>
        <w:t>Pokud není ve Smlouvě a jejích přílohách stanoveno jinak</w:t>
      </w:r>
      <w:r w:rsidR="00461726">
        <w:t>,</w:t>
      </w:r>
      <w:r>
        <w:t xml:space="preserve"> řídí se právní vztah založený touto Smlouvou Občanským zákoníkem.</w:t>
      </w:r>
    </w:p>
    <w:p w:rsidR="00806F22" w:rsidRDefault="00515B32">
      <w:pPr>
        <w:spacing w:after="121" w:line="265" w:lineRule="auto"/>
        <w:ind w:left="139" w:right="165" w:hanging="10"/>
      </w:pPr>
      <w:r>
        <w:rPr>
          <w:sz w:val="24"/>
        </w:rPr>
        <w:t>Nedílnou součástí této objednávky jsou následující přílo</w:t>
      </w:r>
      <w:r>
        <w:rPr>
          <w:sz w:val="24"/>
        </w:rPr>
        <w:t>hy: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3470" name="Picture 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" name="Picture 34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F22" w:rsidRDefault="00515B32">
      <w:pPr>
        <w:spacing w:after="121" w:line="265" w:lineRule="auto"/>
        <w:ind w:left="139" w:right="165" w:hanging="10"/>
      </w:pPr>
      <w:r>
        <w:rPr>
          <w:sz w:val="24"/>
        </w:rPr>
        <w:t>Příloha č. 1 — Specifikace služeb</w:t>
      </w:r>
    </w:p>
    <w:p w:rsidR="00806F22" w:rsidRDefault="00515B32">
      <w:pPr>
        <w:spacing w:after="812" w:line="265" w:lineRule="auto"/>
        <w:ind w:left="139" w:right="165" w:hanging="10"/>
      </w:pPr>
      <w:r>
        <w:rPr>
          <w:sz w:val="24"/>
        </w:rPr>
        <w:t>Příloha č. 2 — Položkový rozpis ceny</w:t>
      </w:r>
    </w:p>
    <w:p w:rsidR="00806F22" w:rsidRDefault="00515B32">
      <w:pPr>
        <w:spacing w:after="0" w:line="265" w:lineRule="auto"/>
        <w:ind w:left="219" w:right="165" w:hanging="10"/>
      </w:pPr>
      <w:r>
        <w:rPr>
          <w:sz w:val="24"/>
        </w:rPr>
        <w:t xml:space="preserve">V Plzni dne </w:t>
      </w:r>
      <w:r w:rsidR="00461726">
        <w:rPr>
          <w:sz w:val="24"/>
        </w:rPr>
        <w:t xml:space="preserve"> 15-01-2018                                    </w:t>
      </w:r>
      <w:r>
        <w:rPr>
          <w:sz w:val="24"/>
        </w:rPr>
        <w:t>V Plzni dne 12. ledna 2018</w:t>
      </w:r>
    </w:p>
    <w:p w:rsidR="00806F22" w:rsidRDefault="00806F22">
      <w:pPr>
        <w:spacing w:after="0" w:line="259" w:lineRule="auto"/>
        <w:ind w:left="-569" w:right="0" w:firstLine="0"/>
        <w:jc w:val="left"/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461726" w:rsidRDefault="00461726">
      <w:pPr>
        <w:spacing w:after="0" w:line="259" w:lineRule="auto"/>
        <w:ind w:left="288" w:right="0" w:firstLine="0"/>
        <w:jc w:val="left"/>
        <w:rPr>
          <w:rFonts w:ascii="Calibri" w:eastAsia="Calibri" w:hAnsi="Calibri" w:cs="Calibri"/>
          <w:sz w:val="36"/>
          <w:u w:val="single" w:color="000000"/>
        </w:rPr>
      </w:pPr>
    </w:p>
    <w:p w:rsidR="00806F22" w:rsidRDefault="00515B32">
      <w:pPr>
        <w:spacing w:after="0" w:line="259" w:lineRule="auto"/>
        <w:ind w:left="288" w:right="0" w:firstLine="0"/>
        <w:jc w:val="left"/>
      </w:pPr>
      <w:r>
        <w:rPr>
          <w:rFonts w:ascii="Calibri" w:eastAsia="Calibri" w:hAnsi="Calibri" w:cs="Calibri"/>
          <w:sz w:val="36"/>
          <w:u w:val="single" w:color="000000"/>
        </w:rPr>
        <w:t>Příloha č. 1 - Specifikace služeb</w:t>
      </w:r>
    </w:p>
    <w:p w:rsidR="00806F22" w:rsidRDefault="00515B32">
      <w:pPr>
        <w:spacing w:after="0" w:line="265" w:lineRule="auto"/>
        <w:ind w:left="269" w:right="0" w:hanging="10"/>
        <w:jc w:val="left"/>
      </w:pPr>
      <w:r>
        <w:rPr>
          <w:rFonts w:ascii="Calibri" w:eastAsia="Calibri" w:hAnsi="Calibri" w:cs="Calibri"/>
          <w:sz w:val="24"/>
        </w:rPr>
        <w:t>Zdůvodnění projektu:</w:t>
      </w:r>
    </w:p>
    <w:p w:rsidR="00806F22" w:rsidRDefault="00515B32">
      <w:pPr>
        <w:spacing w:after="233" w:line="253" w:lineRule="auto"/>
        <w:ind w:left="261" w:right="0" w:hanging="10"/>
      </w:pPr>
      <w:r>
        <w:rPr>
          <w:rFonts w:ascii="Calibri" w:eastAsia="Calibri" w:hAnsi="Calibri" w:cs="Calibri"/>
          <w:sz w:val="20"/>
        </w:rPr>
        <w:t>Vzhledem k špatnému stavebně — technickému stavbu mostu, je třeba přistoupit k jeho opravě.</w:t>
      </w:r>
    </w:p>
    <w:p w:rsidR="00806F22" w:rsidRDefault="00515B32">
      <w:pPr>
        <w:spacing w:after="0" w:line="265" w:lineRule="auto"/>
        <w:ind w:left="269" w:right="0" w:hanging="10"/>
        <w:jc w:val="left"/>
      </w:pPr>
      <w:r>
        <w:rPr>
          <w:rFonts w:ascii="Calibri" w:eastAsia="Calibri" w:hAnsi="Calibri" w:cs="Calibri"/>
          <w:sz w:val="24"/>
        </w:rPr>
        <w:t>Popis předmětu objednávky:</w:t>
      </w:r>
    </w:p>
    <w:p w:rsidR="00806F22" w:rsidRDefault="00515B32">
      <w:pPr>
        <w:spacing w:after="264" w:line="253" w:lineRule="auto"/>
        <w:ind w:left="261" w:right="0" w:hanging="10"/>
      </w:pPr>
      <w:r>
        <w:rPr>
          <w:rFonts w:ascii="Calibri" w:eastAsia="Calibri" w:hAnsi="Calibri" w:cs="Calibri"/>
          <w:sz w:val="20"/>
        </w:rPr>
        <w:t>Jedná se o vypracování technické studie, jejíž součástí bude diagnostika mostu (diagnostický průzkum) vč. mimořádné prohlídky mostu, před</w:t>
      </w:r>
      <w:r>
        <w:rPr>
          <w:rFonts w:ascii="Calibri" w:eastAsia="Calibri" w:hAnsi="Calibri" w:cs="Calibri"/>
          <w:sz w:val="20"/>
        </w:rPr>
        <w:t>běžný záborový elaborát, geodetické zaměření, ověření výskytu inženýrských sítí a vlastní návrh oprav.</w:t>
      </w:r>
    </w:p>
    <w:p w:rsidR="00806F22" w:rsidRDefault="00515B32">
      <w:pPr>
        <w:spacing w:after="456" w:line="265" w:lineRule="auto"/>
        <w:ind w:left="269" w:right="0" w:hanging="10"/>
        <w:jc w:val="left"/>
      </w:pPr>
      <w:r>
        <w:rPr>
          <w:rFonts w:ascii="Calibri" w:eastAsia="Calibri" w:hAnsi="Calibri" w:cs="Calibri"/>
          <w:sz w:val="24"/>
        </w:rPr>
        <w:t>Počet výtisků: 4x v tištěné podobě a 4 x na CD</w:t>
      </w:r>
    </w:p>
    <w:p w:rsidR="00806F22" w:rsidRDefault="00461726">
      <w:pPr>
        <w:spacing w:after="0" w:line="265" w:lineRule="auto"/>
        <w:ind w:left="269" w:right="0" w:hanging="10"/>
        <w:jc w:val="left"/>
      </w:pPr>
      <w:r>
        <w:rPr>
          <w:rFonts w:ascii="Calibri" w:eastAsia="Calibri" w:hAnsi="Calibri" w:cs="Calibri"/>
          <w:sz w:val="24"/>
        </w:rPr>
        <w:t>Soup</w:t>
      </w:r>
      <w:r w:rsidR="00515B32">
        <w:rPr>
          <w:rFonts w:ascii="Calibri" w:eastAsia="Calibri" w:hAnsi="Calibri" w:cs="Calibri"/>
          <w:sz w:val="24"/>
        </w:rPr>
        <w:t xml:space="preserve">is </w:t>
      </w:r>
      <w:r>
        <w:rPr>
          <w:rFonts w:ascii="Calibri" w:eastAsia="Calibri" w:hAnsi="Calibri" w:cs="Calibri"/>
          <w:sz w:val="24"/>
        </w:rPr>
        <w:t>p</w:t>
      </w:r>
      <w:r w:rsidR="00515B32">
        <w:rPr>
          <w:rFonts w:ascii="Calibri" w:eastAsia="Calibri" w:hAnsi="Calibri" w:cs="Calibri"/>
          <w:sz w:val="24"/>
        </w:rPr>
        <w:t>rací</w:t>
      </w:r>
    </w:p>
    <w:tbl>
      <w:tblPr>
        <w:tblStyle w:val="TableGrid"/>
        <w:tblW w:w="6977" w:type="dxa"/>
        <w:tblInd w:w="242" w:type="dxa"/>
        <w:tblCellMar>
          <w:top w:w="28" w:type="dxa"/>
          <w:left w:w="3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02"/>
        <w:gridCol w:w="1375"/>
      </w:tblGrid>
      <w:tr w:rsidR="00806F22">
        <w:trPr>
          <w:trHeight w:val="301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22" w:right="0" w:firstLine="0"/>
              <w:jc w:val="left"/>
            </w:pPr>
            <w:r>
              <w:t>Soupis prací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22" w:right="0" w:firstLine="0"/>
              <w:jc w:val="left"/>
            </w:pPr>
            <w:r>
              <w:t>Počet hodin</w:t>
            </w: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6F22">
        <w:trPr>
          <w:trHeight w:val="291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14" w:right="0" w:firstLine="0"/>
              <w:jc w:val="left"/>
            </w:pPr>
            <w:r>
              <w:t>A. Průvodní zpráva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0" w:line="259" w:lineRule="auto"/>
              <w:ind w:left="118" w:right="0" w:firstLine="0"/>
              <w:jc w:val="center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14" w:right="0" w:firstLine="0"/>
              <w:jc w:val="left"/>
            </w:pPr>
            <w:r>
              <w:t>B. Stavební část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14" w:right="0" w:firstLine="0"/>
              <w:jc w:val="left"/>
            </w:pPr>
            <w:r>
              <w:t>návrh oprav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0" w:line="259" w:lineRule="auto"/>
              <w:ind w:left="96" w:right="0" w:firstLine="0"/>
              <w:jc w:val="center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6F22">
        <w:trPr>
          <w:trHeight w:val="293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7" w:right="0" w:firstLine="0"/>
              <w:jc w:val="left"/>
            </w:pPr>
            <w:r>
              <w:t>C. Související dokumentace a průzkumy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7" w:right="0" w:firstLine="0"/>
              <w:jc w:val="left"/>
            </w:pPr>
            <w:r>
              <w:t>předběžný záborový elaborát - prověření pozemků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0" w:line="259" w:lineRule="auto"/>
              <w:ind w:left="82" w:right="0" w:firstLine="0"/>
              <w:jc w:val="center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0" w:right="0" w:firstLine="0"/>
              <w:jc w:val="left"/>
            </w:pPr>
            <w:r>
              <w:t>geodetické zaměření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0" w:line="259" w:lineRule="auto"/>
              <w:ind w:left="82" w:right="0" w:firstLine="0"/>
              <w:jc w:val="center"/>
            </w:pPr>
          </w:p>
        </w:tc>
      </w:tr>
      <w:tr w:rsidR="00806F22">
        <w:trPr>
          <w:trHeight w:val="284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0" w:right="0" w:firstLine="0"/>
              <w:jc w:val="left"/>
            </w:pPr>
            <w:r>
              <w:t>ověřování a vytýčení inženýrských sítí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0" w:line="259" w:lineRule="auto"/>
              <w:ind w:left="82" w:right="0" w:firstLine="0"/>
              <w:jc w:val="center"/>
            </w:pPr>
          </w:p>
        </w:tc>
      </w:tr>
      <w:tr w:rsidR="00806F22">
        <w:trPr>
          <w:trHeight w:val="293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0" w:right="0" w:firstLine="0"/>
              <w:jc w:val="left"/>
            </w:pPr>
            <w:r>
              <w:t>diagnostický průzkum mostu vč. mimořádné prohlídky mostu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0" w:line="259" w:lineRule="auto"/>
              <w:ind w:left="75" w:right="0" w:firstLine="0"/>
              <w:jc w:val="center"/>
            </w:pPr>
          </w:p>
        </w:tc>
      </w:tr>
      <w:tr w:rsidR="00806F22">
        <w:trPr>
          <w:trHeight w:val="295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515B32">
            <w:pPr>
              <w:spacing w:after="0" w:line="259" w:lineRule="auto"/>
              <w:ind w:left="0" w:right="0" w:firstLine="0"/>
              <w:jc w:val="left"/>
            </w:pPr>
            <w:r>
              <w:t>D. Doklady a projednání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0" w:line="259" w:lineRule="auto"/>
              <w:ind w:left="53" w:right="0" w:firstLine="0"/>
              <w:jc w:val="center"/>
            </w:pPr>
          </w:p>
        </w:tc>
      </w:tr>
      <w:tr w:rsidR="00806F22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22" w:rsidRDefault="00806F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1726">
        <w:trPr>
          <w:trHeight w:val="288"/>
        </w:trPr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26" w:rsidRDefault="004617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726" w:rsidRDefault="0046172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06F22" w:rsidRDefault="00515B32" w:rsidP="00461726">
      <w:pPr>
        <w:spacing w:after="3161" w:line="272" w:lineRule="auto"/>
        <w:ind w:left="284" w:right="101" w:firstLine="0"/>
        <w:jc w:val="left"/>
      </w:pPr>
      <w:r>
        <w:rPr>
          <w:rFonts w:ascii="Calibri" w:eastAsia="Calibri" w:hAnsi="Calibri" w:cs="Calibri"/>
        </w:rPr>
        <w:t>Veškeré Objednatelem předem schválené správní poplatky související s inženýrskou činností (např. kolky, výpisy z katastru nemov</w:t>
      </w:r>
      <w:r w:rsidR="00461726">
        <w:rPr>
          <w:rFonts w:ascii="Calibri" w:eastAsia="Calibri" w:hAnsi="Calibri" w:cs="Calibri"/>
        </w:rPr>
        <w:t>itostí, znalečné aj.) budou hraze</w:t>
      </w:r>
      <w:r>
        <w:rPr>
          <w:rFonts w:ascii="Calibri" w:eastAsia="Calibri" w:hAnsi="Calibri" w:cs="Calibri"/>
        </w:rPr>
        <w:t xml:space="preserve">ny na základě požadavku </w:t>
      </w:r>
      <w:r w:rsidR="00461726">
        <w:rPr>
          <w:noProof/>
        </w:rPr>
        <w:t xml:space="preserve">Poskytovatele </w:t>
      </w:r>
      <w:r>
        <w:rPr>
          <w:rFonts w:ascii="Calibri" w:eastAsia="Calibri" w:hAnsi="Calibri" w:cs="Calibri"/>
        </w:rPr>
        <w:t>přímo Objednatelem.</w:t>
      </w:r>
    </w:p>
    <w:sectPr w:rsidR="00806F22" w:rsidSect="00461726">
      <w:footerReference w:type="even" r:id="rId7"/>
      <w:footerReference w:type="first" r:id="rId8"/>
      <w:pgSz w:w="11902" w:h="16834"/>
      <w:pgMar w:top="1985" w:right="1469" w:bottom="540" w:left="1591" w:header="283" w:footer="10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5B32">
      <w:pPr>
        <w:spacing w:after="0" w:line="240" w:lineRule="auto"/>
      </w:pPr>
      <w:r>
        <w:separator/>
      </w:r>
    </w:p>
  </w:endnote>
  <w:endnote w:type="continuationSeparator" w:id="0">
    <w:p w:rsidR="00000000" w:rsidRDefault="005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22" w:rsidRDefault="00515B32">
    <w:pPr>
      <w:spacing w:after="0" w:line="259" w:lineRule="auto"/>
      <w:ind w:left="0" w:right="180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22" w:rsidRDefault="00515B32">
    <w:pPr>
      <w:spacing w:after="0" w:line="259" w:lineRule="auto"/>
      <w:ind w:left="0" w:right="180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5B32">
      <w:pPr>
        <w:spacing w:after="0" w:line="240" w:lineRule="auto"/>
      </w:pPr>
      <w:r>
        <w:separator/>
      </w:r>
    </w:p>
  </w:footnote>
  <w:footnote w:type="continuationSeparator" w:id="0">
    <w:p w:rsidR="00000000" w:rsidRDefault="00515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22"/>
    <w:rsid w:val="00461726"/>
    <w:rsid w:val="00515B32"/>
    <w:rsid w:val="0080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356"/>
  <w15:docId w15:val="{9097720F-EA04-4E0E-B92F-4F3448DE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4" w:line="267" w:lineRule="auto"/>
      <w:ind w:left="3" w:right="108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6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726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6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172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698</Words>
  <Characters>4121</Characters>
  <Application>Microsoft Office Word</Application>
  <DocSecurity>0</DocSecurity>
  <Lines>34</Lines>
  <Paragraphs>9</Paragraphs>
  <ScaleCrop>false</ScaleCrop>
  <Company>RSD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2018-01-16T07:15:00Z</dcterms:created>
  <dcterms:modified xsi:type="dcterms:W3CDTF">2018-01-16T07:15:00Z</dcterms:modified>
</cp:coreProperties>
</file>