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E9" w:rsidRDefault="002C35E9"/>
    <w:p w:rsidR="002C35E9" w:rsidRDefault="009F4BC6">
      <w:pPr>
        <w:outlineLvl w:val="1"/>
      </w:pPr>
      <w:bookmarkStart w:id="0" w:name="bookmark0"/>
      <w:r>
        <w:rPr>
          <w:smallCaps/>
        </w:rPr>
        <w:t>Licenční smlouva</w:t>
      </w:r>
      <w:bookmarkEnd w:id="0"/>
    </w:p>
    <w:p w:rsidR="002C35E9" w:rsidRDefault="009F4BC6">
      <w:r>
        <w:t>č. 2017/267</w:t>
      </w:r>
    </w:p>
    <w:p w:rsidR="002C35E9" w:rsidRDefault="009F4BC6">
      <w:r>
        <w:t xml:space="preserve">uzavřená podle ust. § 2358 a násl. zákona č. 89/2012 Sb., občanský zákoník, ve znění </w:t>
      </w:r>
      <w:r>
        <w:t>pozdějších předpisů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952"/>
        <w:gridCol w:w="6053"/>
      </w:tblGrid>
      <w:tr w:rsidR="002C35E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" w:type="dxa"/>
            <w:shd w:val="clear" w:color="auto" w:fill="FFFFFF"/>
            <w:vAlign w:val="bottom"/>
          </w:tcPr>
          <w:p w:rsidR="002C35E9" w:rsidRDefault="009F4BC6">
            <w:r>
              <w:t>1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rPr>
                <w:smallCaps/>
              </w:rPr>
              <w:t>Smluvní</w:t>
            </w:r>
            <w:r>
              <w:rPr>
                <w:smallCaps/>
              </w:rPr>
              <w:t xml:space="preserve"> strany</w:t>
            </w:r>
          </w:p>
        </w:tc>
        <w:tc>
          <w:tcPr>
            <w:tcW w:w="6053" w:type="dxa"/>
            <w:shd w:val="clear" w:color="auto" w:fill="FFFFFF"/>
          </w:tcPr>
          <w:p w:rsidR="002C35E9" w:rsidRDefault="002C35E9"/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7" w:type="dxa"/>
            <w:shd w:val="clear" w:color="auto" w:fill="FFFFFF"/>
            <w:vAlign w:val="bottom"/>
          </w:tcPr>
          <w:p w:rsidR="002C35E9" w:rsidRDefault="009F4BC6">
            <w:r>
              <w:t>1.1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UŽIVATEL</w:t>
            </w:r>
          </w:p>
        </w:tc>
        <w:tc>
          <w:tcPr>
            <w:tcW w:w="6053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Organizace: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>Zoologická zahrada Liberec, příspěvková organizace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Adresa: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>Lidové sady 425/1,460 01 Liberec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Zastoupená: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>MVDr. David Nejedlo, ředitel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:rsidR="002C35E9" w:rsidRDefault="009F4BC6">
            <w:r>
              <w:t>IČ:</w:t>
            </w:r>
          </w:p>
        </w:tc>
        <w:tc>
          <w:tcPr>
            <w:tcW w:w="6053" w:type="dxa"/>
            <w:shd w:val="clear" w:color="auto" w:fill="FFFFFF"/>
          </w:tcPr>
          <w:p w:rsidR="002C35E9" w:rsidRDefault="009F4BC6">
            <w:r>
              <w:t>00079651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Zapsána: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 xml:space="preserve">Krajským soudem v </w:t>
            </w:r>
            <w:r>
              <w:t>Ústí nad Labem, oddíl Pr, vložka 623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:rsidR="002C35E9" w:rsidRDefault="009F4BC6">
            <w:r>
              <w:t>Přidělené číslo zákazníka:</w:t>
            </w:r>
          </w:p>
        </w:tc>
        <w:tc>
          <w:tcPr>
            <w:tcW w:w="6053" w:type="dxa"/>
            <w:shd w:val="clear" w:color="auto" w:fill="FFFFFF"/>
          </w:tcPr>
          <w:p w:rsidR="002C35E9" w:rsidRDefault="002C35E9"/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(dále v této smlouvě jen ,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>.Uživatel“)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57" w:type="dxa"/>
            <w:shd w:val="clear" w:color="auto" w:fill="FFFFFF"/>
            <w:vAlign w:val="center"/>
          </w:tcPr>
          <w:p w:rsidR="002C35E9" w:rsidRDefault="009F4BC6">
            <w:r>
              <w:t>1.2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2C35E9" w:rsidRDefault="009F4BC6">
            <w:r>
              <w:rPr>
                <w:smallCaps/>
              </w:rPr>
              <w:t>Poskytovatel</w:t>
            </w:r>
          </w:p>
        </w:tc>
        <w:tc>
          <w:tcPr>
            <w:tcW w:w="6053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Společnost: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>Vema, a. s.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Sídlo: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>Okružní 871/3a, 638 00 Brno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Zastoupená: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>Ing. Jan Tomíšek, předseda představenstva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:rsidR="002C35E9" w:rsidRDefault="009F4BC6">
            <w:r>
              <w:t>IČ:</w:t>
            </w:r>
          </w:p>
        </w:tc>
        <w:tc>
          <w:tcPr>
            <w:tcW w:w="6053" w:type="dxa"/>
            <w:shd w:val="clear" w:color="auto" w:fill="FFFFFF"/>
          </w:tcPr>
          <w:p w:rsidR="002C35E9" w:rsidRDefault="009F4BC6">
            <w:r>
              <w:t>26226511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:rsidR="002C35E9" w:rsidRDefault="009F4BC6">
            <w:r>
              <w:t>Zapsána:</w:t>
            </w:r>
          </w:p>
        </w:tc>
        <w:tc>
          <w:tcPr>
            <w:tcW w:w="6053" w:type="dxa"/>
            <w:shd w:val="clear" w:color="auto" w:fill="FFFFFF"/>
          </w:tcPr>
          <w:p w:rsidR="002C35E9" w:rsidRDefault="009F4BC6">
            <w:r>
              <w:t>Krajským soudem v Brně, oddíl B, vložka 3415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57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(dále v této smlouvě jen ,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2C35E9" w:rsidRDefault="009F4BC6">
            <w:r>
              <w:t>.Poskytovatel“)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562" w:type="dxa"/>
            <w:gridSpan w:val="3"/>
            <w:shd w:val="clear" w:color="auto" w:fill="FFFFFF"/>
          </w:tcPr>
          <w:p w:rsidR="002C35E9" w:rsidRDefault="009F4BC6">
            <w:r>
              <w:t>Níže uvedeného dne, měsíce a roku uzavřely smluvní strany tuto licenční smlouvu: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7" w:type="dxa"/>
            <w:shd w:val="clear" w:color="auto" w:fill="FFFFFF"/>
            <w:vAlign w:val="bottom"/>
          </w:tcPr>
          <w:p w:rsidR="002C35E9" w:rsidRDefault="009F4BC6">
            <w:r>
              <w:t>2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2C35E9" w:rsidRDefault="009F4BC6">
            <w:r>
              <w:t>PŘEDMĚT SMLOUVY</w:t>
            </w:r>
          </w:p>
        </w:tc>
        <w:tc>
          <w:tcPr>
            <w:tcW w:w="6053" w:type="dxa"/>
            <w:shd w:val="clear" w:color="auto" w:fill="FFFFFF"/>
          </w:tcPr>
          <w:p w:rsidR="002C35E9" w:rsidRDefault="002C35E9">
            <w:pPr>
              <w:rPr>
                <w:sz w:val="10"/>
                <w:szCs w:val="10"/>
              </w:rPr>
            </w:pP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57" w:type="dxa"/>
            <w:shd w:val="clear" w:color="auto" w:fill="FFFFFF"/>
            <w:vAlign w:val="center"/>
          </w:tcPr>
          <w:p w:rsidR="002C35E9" w:rsidRDefault="009F4BC6">
            <w:r>
              <w:t>2.1</w:t>
            </w:r>
          </w:p>
        </w:tc>
        <w:tc>
          <w:tcPr>
            <w:tcW w:w="9005" w:type="dxa"/>
            <w:gridSpan w:val="2"/>
            <w:shd w:val="clear" w:color="auto" w:fill="FFFFFF"/>
            <w:vAlign w:val="bottom"/>
          </w:tcPr>
          <w:p w:rsidR="002C35E9" w:rsidRDefault="009F4BC6">
            <w:r>
              <w:t>Předmětem této smlouvy je poskytnutí oprávněni na užívání</w:t>
            </w:r>
            <w:r>
              <w:t xml:space="preserve"> programového vybavení Poskytovatele pro zpracování dat Uživatele v rozsahu specifikovaném v příloze č. 1 k této smlouvě (dále jen „aplikace“) za úplatu.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557" w:type="dxa"/>
            <w:shd w:val="clear" w:color="auto" w:fill="FFFFFF"/>
          </w:tcPr>
          <w:p w:rsidR="002C35E9" w:rsidRDefault="009F4BC6">
            <w:r>
              <w:t>2.2</w:t>
            </w:r>
          </w:p>
        </w:tc>
        <w:tc>
          <w:tcPr>
            <w:tcW w:w="9005" w:type="dxa"/>
            <w:gridSpan w:val="2"/>
            <w:shd w:val="clear" w:color="auto" w:fill="FFFFFF"/>
          </w:tcPr>
          <w:p w:rsidR="002C35E9" w:rsidRDefault="009F4BC6">
            <w:r>
              <w:t>K aplikacím bude Poskytovatel poskytovat aktualizace. Aplikace budou aktualiz</w:t>
            </w:r>
            <w:r>
              <w:t>ovány v návaznosti na změny a nabyti účinnosti celostátně platných předpisů, případné v termínech dohodnutých s Uživatelem.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7" w:type="dxa"/>
            <w:shd w:val="clear" w:color="auto" w:fill="FFFFFF"/>
          </w:tcPr>
          <w:p w:rsidR="002C35E9" w:rsidRDefault="009F4BC6">
            <w:r>
              <w:t>3</w:t>
            </w:r>
          </w:p>
        </w:tc>
        <w:tc>
          <w:tcPr>
            <w:tcW w:w="2952" w:type="dxa"/>
            <w:shd w:val="clear" w:color="auto" w:fill="FFFFFF"/>
          </w:tcPr>
          <w:p w:rsidR="002C35E9" w:rsidRDefault="009F4BC6">
            <w:r>
              <w:rPr>
                <w:smallCaps/>
              </w:rPr>
              <w:t>Cena</w:t>
            </w:r>
          </w:p>
        </w:tc>
        <w:tc>
          <w:tcPr>
            <w:tcW w:w="6053" w:type="dxa"/>
            <w:shd w:val="clear" w:color="auto" w:fill="FFFFFF"/>
          </w:tcPr>
          <w:p w:rsidR="002C35E9" w:rsidRDefault="002C35E9"/>
        </w:tc>
      </w:tr>
    </w:tbl>
    <w:p w:rsidR="002C35E9" w:rsidRDefault="009F4BC6">
      <w:pPr>
        <w:tabs>
          <w:tab w:val="left" w:pos="698"/>
        </w:tabs>
        <w:ind w:left="360" w:hanging="360"/>
      </w:pPr>
      <w:r>
        <w:t>3.1</w:t>
      </w:r>
      <w:r>
        <w:tab/>
        <w:t>V dále uvedených částkách není zahrnuta daň z přidané hodnoty (DPH).</w:t>
      </w:r>
    </w:p>
    <w:p w:rsidR="002C35E9" w:rsidRDefault="009F4BC6">
      <w:pPr>
        <w:tabs>
          <w:tab w:val="left" w:pos="698"/>
        </w:tabs>
        <w:ind w:left="360" w:hanging="360"/>
      </w:pPr>
      <w:r>
        <w:lastRenderedPageBreak/>
        <w:t>3.2</w:t>
      </w:r>
      <w:r>
        <w:tab/>
        <w:t xml:space="preserve">Cena předmětu smlouvy uvedeného v </w:t>
      </w:r>
      <w:r>
        <w:t>odst. 2.1 této smlouvy se stanoví dohodou smluvních stran dle ustanovení zákona č. 526/1990 Sb., o cenách, věznění pozdějších předpisů, na</w:t>
      </w:r>
    </w:p>
    <w:p w:rsidR="002C35E9" w:rsidRDefault="009F4BC6">
      <w:r>
        <w:t>141.995,- Kč</w:t>
      </w:r>
    </w:p>
    <w:p w:rsidR="002C35E9" w:rsidRDefault="009F4BC6">
      <w:r>
        <w:t>(slovy: jedno sto čtyřicet jeden tisíc devět set devadesát pět korun českých).</w:t>
      </w:r>
    </w:p>
    <w:p w:rsidR="002C35E9" w:rsidRDefault="009F4BC6">
      <w:r>
        <w:t>3.3</w:t>
      </w:r>
    </w:p>
    <w:p w:rsidR="002C35E9" w:rsidRDefault="009F4BC6">
      <w:r>
        <w:t>Cena předmětu smlouvy uvedeného v odst. 2.2 této smlouvy se stanoví dohodou smluvních stran dle ustanovení zákona č. 526/1990 Sb., o cenách, ve znění pozdějších předpisů, na</w:t>
      </w:r>
    </w:p>
    <w:p w:rsidR="002C35E9" w:rsidRDefault="009F4BC6">
      <w:r>
        <w:t>35.499,- Kč</w:t>
      </w:r>
    </w:p>
    <w:p w:rsidR="002C35E9" w:rsidRDefault="009F4BC6">
      <w:r>
        <w:t>(slovy: třicet pět tisíc čtyři sta devadesát</w:t>
      </w:r>
      <w:r>
        <w:t xml:space="preserve"> devět korun českých)</w:t>
      </w:r>
    </w:p>
    <w:p w:rsidR="002C35E9" w:rsidRDefault="009F4BC6">
      <w:r>
        <w:t>za každý další rok využívání aplikací uživatelem.</w:t>
      </w:r>
    </w:p>
    <w:p w:rsidR="002C35E9" w:rsidRDefault="009F4BC6">
      <w:r>
        <w:t xml:space="preserve">3.4 </w:t>
      </w:r>
      <w:r>
        <w:t>V případě rozšíření rozsahu využívání aplikací uhradí uživatel částku, která odpovídá rozdílu cen aplikací po změně a před změnou rozsahu. V odpovídajícím poměru se upraví poplatek. Ce</w:t>
      </w:r>
      <w:r>
        <w:t>ny aplikací jsou stanovovány na základě aktuálního ceníku společnosti Vema</w:t>
      </w:r>
    </w:p>
    <w:p w:rsidR="002C35E9" w:rsidRDefault="009F4BC6">
      <w:r>
        <w:t xml:space="preserve">3.5 </w:t>
      </w:r>
      <w:r>
        <w:t xml:space="preserve">Poskytovatel je oprávněn pro každý další rok využívání upravit shora stanovenou výši ceny o míru nárůstu spotřebitelských cen za služby tak, jak byly za bezprostředně předcházející </w:t>
      </w:r>
      <w:r>
        <w:t xml:space="preserve">období statisticky zjišťovány a oficiálně zveřejňovány Českým statistickým úřadem na jeho webových stránkách </w:t>
      </w:r>
      <w:hyperlink r:id="rId6" w:history="1">
        <w:r>
          <w:rPr>
            <w:rStyle w:val="Hypertextovodkaz"/>
            <w:lang w:eastAsia="en-US" w:bidi="en-US"/>
          </w:rPr>
          <w:t>xxx</w:t>
        </w:r>
      </w:hyperlink>
      <w:r w:rsidRPr="00FE2F42">
        <w:rPr>
          <w:lang w:eastAsia="en-US" w:bidi="en-US"/>
        </w:rPr>
        <w:t>.</w:t>
      </w:r>
    </w:p>
    <w:p w:rsidR="009F4BC6" w:rsidRDefault="009F4BC6">
      <w:pPr>
        <w:rPr>
          <w:smallCaps/>
        </w:rPr>
      </w:pPr>
    </w:p>
    <w:p w:rsidR="002C35E9" w:rsidRDefault="009F4BC6">
      <w:r>
        <w:rPr>
          <w:smallCaps/>
        </w:rPr>
        <w:t xml:space="preserve">4 </w:t>
      </w:r>
      <w:r>
        <w:rPr>
          <w:smallCaps/>
        </w:rPr>
        <w:t>Fakturační a platební podmínky</w:t>
      </w:r>
    </w:p>
    <w:p w:rsidR="002C35E9" w:rsidRDefault="002C35E9"/>
    <w:p w:rsidR="002C35E9" w:rsidRDefault="009F4BC6">
      <w:r>
        <w:t xml:space="preserve">4.1 </w:t>
      </w:r>
      <w:r>
        <w:t xml:space="preserve">Smluvní strany se dohodly, že úhrada ceny předmětu smlouvy uvedená v </w:t>
      </w:r>
      <w:r>
        <w:t>odst. 3.2 této smlouvy bude provedena na základě faktury (daňového dokladu), kterou poskytovatel vystaví po podpisu této smlouvy.</w:t>
      </w:r>
    </w:p>
    <w:p w:rsidR="002C35E9" w:rsidRDefault="009F4BC6">
      <w:r>
        <w:t xml:space="preserve">4.2 </w:t>
      </w:r>
      <w:r>
        <w:t xml:space="preserve">Smluvní strany se dohodly, že úhrada ceny předmětu smlouvy uvedená v odst. 3.3 této smlouvy bude provedena na základě faktury </w:t>
      </w:r>
      <w:r>
        <w:t>(daňového dokladu), kterou poskytovatel od r. 2018 vystaví vždy v měsíci listopadu každého roku po dobu využívání aplikací uživatelem.</w:t>
      </w:r>
    </w:p>
    <w:p w:rsidR="002C35E9" w:rsidRDefault="009F4BC6">
      <w:r>
        <w:t xml:space="preserve">4.3 </w:t>
      </w:r>
      <w:r>
        <w:t>Uživatel uhradí peněžité závazky vyplývající z této smlouvy v době splatnosti 14 dní od vystavení faktury a na účet posky</w:t>
      </w:r>
      <w:r>
        <w:t>tovatele uvedený na faktuře.</w:t>
      </w:r>
    </w:p>
    <w:p w:rsidR="002C35E9" w:rsidRDefault="009F4BC6">
      <w:r>
        <w:t xml:space="preserve">4.4 </w:t>
      </w:r>
      <w:r>
        <w:t xml:space="preserve">Uživatel je oprávněn před uplynutím doby splatnosti vrátit bez zaplacení fakturu, </w:t>
      </w:r>
      <w:r>
        <w:lastRenderedPageBreak/>
        <w:t>která neobsahuje náležitosti daňového dokladu dle zákona č. 235/2004 Sb., o dani z přidané hodnoty, ve znění pozdějších předpisů, nebo má jiné zá</w:t>
      </w:r>
      <w:r>
        <w:t>vady v obsahu podle této smlouvy. Ve vrácené faktuře musí vyznačit důvod vrácení. Poskytovatel je v tomto případě povinen podle povahy nesprávnosti fakturu opravit nebo nově vyhotovit. Oprávněným vrácením faktury přestává běžet původní doba splatnosti. Cel</w:t>
      </w:r>
      <w:r>
        <w:t>á doba běží znovu ode dne doručení opravené nebo nově vyhotovené faktury.</w:t>
      </w:r>
    </w:p>
    <w:p w:rsidR="002C35E9" w:rsidRDefault="009F4BC6">
      <w:r>
        <w:t xml:space="preserve">4.5 </w:t>
      </w:r>
      <w:r>
        <w:t>V případě prodlení uživatele s úhradou poplatku dle této smlouvy je uživatel povinen uhradit poskytovateli úrok z prodlení ve výši 0,05 % z dlužné částky za každý den prodlení.</w:t>
      </w:r>
    </w:p>
    <w:p w:rsidR="002C35E9" w:rsidRDefault="009F4BC6">
      <w:r>
        <w:t xml:space="preserve">4.6 </w:t>
      </w:r>
      <w:r>
        <w:t xml:space="preserve">Úrok </w:t>
      </w:r>
      <w:r>
        <w:t>z prodlení je splatný do 30 dnů od vyčíslení a doručení druhé smluvní straně na základě faktury vystavené dotčenou smluvní stranou, nedohodnou-li se smluvní strany písemně jinak.</w:t>
      </w:r>
    </w:p>
    <w:p w:rsidR="009F4BC6" w:rsidRDefault="009F4BC6">
      <w:pPr>
        <w:rPr>
          <w:smallCaps/>
        </w:rPr>
      </w:pPr>
    </w:p>
    <w:p w:rsidR="002C35E9" w:rsidRDefault="009F4BC6">
      <w:r>
        <w:rPr>
          <w:smallCaps/>
        </w:rPr>
        <w:t xml:space="preserve">5 </w:t>
      </w:r>
      <w:r>
        <w:rPr>
          <w:smallCaps/>
        </w:rPr>
        <w:t>Zvláštní ujednání, záruky</w:t>
      </w:r>
    </w:p>
    <w:p w:rsidR="002C35E9" w:rsidRDefault="009F4BC6">
      <w:r>
        <w:t xml:space="preserve">5.1 </w:t>
      </w:r>
      <w:r>
        <w:t>Poskytovatel je oprávněn v případě podstatného poru</w:t>
      </w:r>
      <w:r>
        <w:t>šení smlouvy ze strany uživatele, zejména pak jestliže je v prodlení se zaplacením ceny delším než 30 dnů, nebo v případě poškození autorských práv poskytovatele odstoupit od této smlouvy.</w:t>
      </w:r>
    </w:p>
    <w:p w:rsidR="002C35E9" w:rsidRDefault="009F4BC6">
      <w:r>
        <w:t xml:space="preserve">5.2 </w:t>
      </w:r>
      <w:r>
        <w:t>Uživatel si vyhrazuje právo odstoupit od smlouvy v případě jejího p</w:t>
      </w:r>
      <w:r>
        <w:t>odstatného porušení druhou smluvní stranou tak, jak je uvedeno v příslušných ustanoveních občanského zákoníku.</w:t>
      </w:r>
    </w:p>
    <w:p w:rsidR="002C35E9" w:rsidRDefault="009F4BC6">
      <w:r>
        <w:t xml:space="preserve">5.3 </w:t>
      </w:r>
      <w:r>
        <w:t>Na funkčnost dodaných aplikací poskytuje poskytovatel po celou dobu využívání záruku. Tato záruka zahrnuje závazek poskytovatele, že dodané aplik</w:t>
      </w:r>
      <w:r>
        <w:t>ace:</w:t>
      </w:r>
    </w:p>
    <w:p w:rsidR="002C35E9" w:rsidRDefault="009F4BC6">
      <w:r>
        <w:t xml:space="preserve">•    </w:t>
      </w:r>
      <w:r>
        <w:t>nemají právní vady,</w:t>
      </w:r>
    </w:p>
    <w:p w:rsidR="002C35E9" w:rsidRDefault="009F4BC6">
      <w:pPr>
        <w:tabs>
          <w:tab w:val="left" w:pos="1181"/>
        </w:tabs>
        <w:ind w:left="360" w:hanging="360"/>
      </w:pPr>
      <w:r>
        <w:t>•</w:t>
      </w:r>
      <w:r>
        <w:tab/>
        <w:t>jsou schopny rutinního provozu v běžné provozní činnosti uživatele na datech uživatele,</w:t>
      </w:r>
    </w:p>
    <w:p w:rsidR="002C35E9" w:rsidRDefault="009F4BC6">
      <w:pPr>
        <w:tabs>
          <w:tab w:val="left" w:pos="1181"/>
        </w:tabs>
        <w:ind w:left="360" w:hanging="360"/>
      </w:pPr>
      <w:r>
        <w:t>•</w:t>
      </w:r>
      <w:r>
        <w:tab/>
        <w:t>budou pracovat podle referenční dokumentace, která je v elektronické podobě součástí dodaných aplikací,</w:t>
      </w:r>
    </w:p>
    <w:p w:rsidR="002C35E9" w:rsidRDefault="009F4BC6">
      <w:pPr>
        <w:tabs>
          <w:tab w:val="left" w:pos="1181"/>
        </w:tabs>
        <w:ind w:left="360" w:hanging="360"/>
      </w:pPr>
      <w:r>
        <w:t>•</w:t>
      </w:r>
      <w:r>
        <w:tab/>
        <w:t>poskytnou výstupy nebo podklady</w:t>
      </w:r>
      <w:r>
        <w:t xml:space="preserve"> pro výstupy, které budou v souladu s příslušnými legislativními předpisy ke dni předání aplikací a během záruční doby.</w:t>
      </w:r>
    </w:p>
    <w:p w:rsidR="002C35E9" w:rsidRDefault="009F4BC6">
      <w:pPr>
        <w:tabs>
          <w:tab w:val="left" w:pos="677"/>
        </w:tabs>
        <w:ind w:left="360" w:hanging="360"/>
      </w:pPr>
      <w:r>
        <w:t>5.4</w:t>
      </w:r>
      <w:r>
        <w:tab/>
        <w:t>Záruka je poskytována a dále prodlužována na základě ceny za aktualizace aplikací podle odst. 3.2 této smlouvy uhrazené uživatelem.</w:t>
      </w:r>
    </w:p>
    <w:p w:rsidR="002C35E9" w:rsidRDefault="009F4BC6">
      <w:pPr>
        <w:tabs>
          <w:tab w:val="left" w:pos="677"/>
        </w:tabs>
        <w:ind w:left="360" w:hanging="360"/>
      </w:pPr>
      <w:r>
        <w:t>5.5</w:t>
      </w:r>
      <w:r>
        <w:tab/>
        <w:t xml:space="preserve">V případě průkazným způsobem ohlášené závady v průběhu záruční doby je poskytovatel povinen neprodleně zahájit práce na jejím vyřešení. Vyřešením </w:t>
      </w:r>
      <w:r>
        <w:lastRenderedPageBreak/>
        <w:t>reklamace se rozumí podle povahy závady její odstranění nebo stanovení dalšího postupu, který umožní využí</w:t>
      </w:r>
      <w:r>
        <w:t>vání aplikací bez výrazných omezení až do úplného odstranění závady.</w:t>
      </w:r>
    </w:p>
    <w:p w:rsidR="002C35E9" w:rsidRDefault="009F4BC6">
      <w:pPr>
        <w:tabs>
          <w:tab w:val="left" w:pos="677"/>
        </w:tabs>
        <w:ind w:left="360" w:hanging="360"/>
      </w:pPr>
      <w:r>
        <w:t>5.6</w:t>
      </w:r>
      <w:r>
        <w:tab/>
        <w:t xml:space="preserve"> </w:t>
      </w:r>
      <w:r>
        <w:t>Za průkazný způsob ohlášení závady se považuje vyplnění a odeslání formuláře na Zákaznickém webu nebo ohlášení závady na pracoviště poskytovatele označené jako Call Centrum Vema - tel</w:t>
      </w:r>
      <w:r>
        <w:t xml:space="preserve">.: xxx </w:t>
      </w:r>
      <w:r>
        <w:t xml:space="preserve"> v pracovní dny v době od 8.00 hod. do 17.00 hod. Služby objednané mimo uvedenou dobu se považují za objednané v 8.00 hod. nejblíže následujícího pracovního dne. Pokud do 15 minut od ohlášení závady na Zákaznickém webu uživatel n</w:t>
      </w:r>
      <w:r>
        <w:t>eobdrží emailem potvrzení, ohlásí závadu prostřednictvím Call Centra Vema.</w:t>
      </w:r>
    </w:p>
    <w:p w:rsidR="002C35E9" w:rsidRDefault="009F4BC6">
      <w:pPr>
        <w:tabs>
          <w:tab w:val="left" w:pos="677"/>
        </w:tabs>
        <w:ind w:left="360" w:hanging="360"/>
      </w:pPr>
      <w:r>
        <w:t>5.7</w:t>
      </w:r>
      <w:r>
        <w:tab/>
        <w:t xml:space="preserve">Aktuální verze aplikací jsou uživateli k dispozici na webových stránkách poskytovatele, tzv. zákaznickém webu, na adrese </w:t>
      </w:r>
      <w:hyperlink r:id="rId7" w:history="1">
        <w:r>
          <w:rPr>
            <w:rStyle w:val="Hypertextovodkaz"/>
            <w:lang w:eastAsia="en-US" w:bidi="en-US"/>
          </w:rPr>
          <w:t>xxx</w:t>
        </w:r>
      </w:hyperlink>
      <w:r w:rsidRPr="00FE2F42">
        <w:rPr>
          <w:lang w:eastAsia="en-US" w:bidi="en-US"/>
        </w:rPr>
        <w:t xml:space="preserve"> </w:t>
      </w:r>
      <w:r>
        <w:t>a uživatel je oprávněn tyto užívat po celou dobu trvání platnosti této smlouvy.</w:t>
      </w:r>
    </w:p>
    <w:p w:rsidR="002C35E9" w:rsidRDefault="009F4BC6">
      <w:pPr>
        <w:tabs>
          <w:tab w:val="left" w:pos="677"/>
        </w:tabs>
        <w:ind w:left="360" w:hanging="360"/>
      </w:pPr>
      <w:r>
        <w:t>5.8</w:t>
      </w:r>
      <w:r>
        <w:tab/>
        <w:t>Právo na používání aplikací (licenci) nemůže uživatel převést na třetí osobu nebo třetí osobě poskytnout tuto licenci bez písemného souhlasu poskytovatele.</w:t>
      </w:r>
    </w:p>
    <w:p w:rsidR="002C35E9" w:rsidRDefault="009F4BC6">
      <w:pPr>
        <w:tabs>
          <w:tab w:val="left" w:pos="677"/>
        </w:tabs>
        <w:ind w:left="360" w:hanging="360"/>
      </w:pPr>
      <w:r>
        <w:t>5.9</w:t>
      </w:r>
      <w:r>
        <w:tab/>
      </w:r>
      <w:r>
        <w:t>Veškerá vlastnická a jiná práva týkající se aplikací a jakýchkoliv kopií aplikací Vema náležejí poskytovateli. Veškeré duševní vlastnictví obsažené v aplikacích Vema náleží poskytovateli a může být chráněno příslušnými autorskými a jinými zákony.</w:t>
      </w:r>
    </w:p>
    <w:p w:rsidR="002C35E9" w:rsidRDefault="009F4BC6">
      <w:pPr>
        <w:tabs>
          <w:tab w:val="left" w:pos="677"/>
        </w:tabs>
        <w:ind w:left="360" w:hanging="360"/>
      </w:pPr>
      <w:r>
        <w:t>5.10</w:t>
      </w:r>
      <w:r>
        <w:tab/>
        <w:t>Uživ</w:t>
      </w:r>
      <w:r>
        <w:t>atel se zavazuje, že během využívání aplikací Vema bude:</w:t>
      </w:r>
    </w:p>
    <w:p w:rsidR="002C35E9" w:rsidRDefault="009F4BC6">
      <w:r>
        <w:t>• používat aplikace Vema způsobem uvedeným v referenční dokumentaci,</w:t>
      </w:r>
    </w:p>
    <w:p w:rsidR="002C35E9" w:rsidRDefault="009F4BC6">
      <w:pPr>
        <w:tabs>
          <w:tab w:val="left" w:pos="1181"/>
        </w:tabs>
      </w:pPr>
      <w:r>
        <w:t xml:space="preserve">• </w:t>
      </w:r>
      <w:r>
        <w:t>používat verze aplikací Vema platné pro zpracovávané období,</w:t>
      </w:r>
    </w:p>
    <w:p w:rsidR="002C35E9" w:rsidRDefault="009F4BC6">
      <w:pPr>
        <w:tabs>
          <w:tab w:val="left" w:pos="1181"/>
        </w:tabs>
        <w:ind w:left="360" w:hanging="360"/>
      </w:pPr>
      <w:r>
        <w:t>•</w:t>
      </w:r>
      <w:r>
        <w:tab/>
        <w:t>postupovat v souladu s Obchodními podmínkami poskytovatele, které</w:t>
      </w:r>
      <w:r>
        <w:t xml:space="preserve"> jsou v aktuálním znění na adrese </w:t>
      </w:r>
      <w:hyperlink r:id="rId8" w:history="1">
        <w:r>
          <w:rPr>
            <w:rStyle w:val="Hypertextovodkaz"/>
            <w:lang w:eastAsia="en-US" w:bidi="en-US"/>
          </w:rPr>
          <w:t>xxx</w:t>
        </w:r>
      </w:hyperlink>
      <w:r w:rsidRPr="00FE2F42">
        <w:rPr>
          <w:lang w:eastAsia="en-US" w:bidi="en-US"/>
        </w:rPr>
        <w:t xml:space="preserve"> </w:t>
      </w:r>
      <w:r>
        <w:t>v nabídce O společnosti.</w:t>
      </w:r>
    </w:p>
    <w:p w:rsidR="002C35E9" w:rsidRDefault="009F4BC6">
      <w:pPr>
        <w:tabs>
          <w:tab w:val="left" w:pos="677"/>
        </w:tabs>
        <w:ind w:left="360" w:hanging="360"/>
      </w:pPr>
      <w:r>
        <w:t>5.11</w:t>
      </w:r>
      <w:r>
        <w:tab/>
        <w:t>Uživatel tímto výslovně prohlašuje, že je seznámen s aplikacemi nabízenými poskytovatelem na základě této smlouvy k užívání, a současně prohlašuje,</w:t>
      </w:r>
      <w:r>
        <w:t xml:space="preserve"> že tyto aplikace svou funkcionalitou vyhovují jeho potřebám.</w:t>
      </w:r>
    </w:p>
    <w:p w:rsidR="009F4BC6" w:rsidRDefault="009F4BC6">
      <w:pPr>
        <w:tabs>
          <w:tab w:val="left" w:pos="677"/>
        </w:tabs>
        <w:ind w:left="360" w:hanging="360"/>
      </w:pPr>
    </w:p>
    <w:p w:rsidR="002C35E9" w:rsidRDefault="009F4BC6">
      <w:pPr>
        <w:ind w:left="360" w:hanging="360"/>
      </w:pPr>
      <w:r>
        <w:t>6</w:t>
      </w:r>
      <w:r>
        <w:rPr>
          <w:smallCaps/>
        </w:rPr>
        <w:t xml:space="preserve"> Závěrečná</w:t>
      </w:r>
      <w:r>
        <w:rPr>
          <w:smallCaps/>
        </w:rPr>
        <w:t xml:space="preserve"> ujednání</w:t>
      </w:r>
    </w:p>
    <w:p w:rsidR="002C35E9" w:rsidRDefault="009F4BC6">
      <w:pPr>
        <w:ind w:left="360" w:hanging="360"/>
      </w:pPr>
      <w:r>
        <w:t>6.1 Tato smlouva se uzavírá na dobu neurčitou. Smlouva nabývá platnosti a účinnosti dnem jejího podpisu oběma smluvními stranami. Je vyhotovena ve dvou stejnopisech, z nichž</w:t>
      </w:r>
      <w:r>
        <w:t xml:space="preserve"> jeden obdrží uživatel a jeden poskytovatel.</w:t>
      </w:r>
    </w:p>
    <w:p w:rsidR="002C35E9" w:rsidRDefault="009F4BC6">
      <w:pPr>
        <w:ind w:left="360" w:hanging="360"/>
      </w:pPr>
      <w:r>
        <w:t>6 2 Obě</w:t>
      </w:r>
      <w:r>
        <w:t xml:space="preserve"> smluvní strany mají právo tuto smlouvu písemně vypovědět. Délka </w:t>
      </w:r>
      <w:r>
        <w:lastRenderedPageBreak/>
        <w:t>výpovědní doby činí 2 měsíce a počíná běžet 1. dnem kalendářního měsíce následujícího po doručení výpovědi.</w:t>
      </w:r>
    </w:p>
    <w:p w:rsidR="002C35E9" w:rsidRDefault="009F4BC6">
      <w:pPr>
        <w:tabs>
          <w:tab w:val="left" w:pos="677"/>
        </w:tabs>
        <w:ind w:left="360" w:hanging="360"/>
      </w:pPr>
      <w:r>
        <w:t xml:space="preserve">6.3 </w:t>
      </w:r>
      <w:r>
        <w:tab/>
        <w:t xml:space="preserve">Veškeré změny nebo doplňky </w:t>
      </w:r>
      <w:r>
        <w:t>k této smlouvě mohou být prováděny písemně, a to formou číslovaných dodatků podepsaných zástupci obou smluvních stran.</w:t>
      </w:r>
    </w:p>
    <w:p w:rsidR="002C35E9" w:rsidRDefault="009F4BC6" w:rsidP="009F4BC6">
      <w:pPr>
        <w:tabs>
          <w:tab w:val="left" w:pos="677"/>
        </w:tabs>
        <w:ind w:left="360" w:hanging="360"/>
      </w:pPr>
      <w:r>
        <w:t>6.4</w:t>
      </w:r>
      <w:r>
        <w:tab/>
        <w:t xml:space="preserve"> </w:t>
      </w:r>
      <w:r>
        <w:t>Všechny nároky či úkony směřující ke změně nebo zániku této smlouvy musí</w:t>
      </w:r>
      <w:r>
        <w:t xml:space="preserve"> být učiněny písemně a doručeny doporučeným dopisem, případně</w:t>
      </w:r>
      <w:r>
        <w:t xml:space="preserve"> dopisem doručovaným kurýrní </w:t>
      </w:r>
      <w:r>
        <w:t>službou, na adresy uvedené v záhlaví této smlouvy. Smluvní strana má povinnost oznámit do sedmi dnů druhé smluvní straně změnu sídla nebo jiných kontaktních údajů uvedených v záhlaví této smlouvy.</w:t>
      </w:r>
    </w:p>
    <w:p w:rsidR="002C35E9" w:rsidRDefault="009F4BC6">
      <w:pPr>
        <w:tabs>
          <w:tab w:val="left" w:pos="676"/>
        </w:tabs>
        <w:ind w:left="360" w:hanging="360"/>
      </w:pPr>
      <w:r>
        <w:t xml:space="preserve">6.5 </w:t>
      </w:r>
      <w:r>
        <w:t>V případě vyšší moci je ka</w:t>
      </w:r>
      <w:r>
        <w:t>ždá strana zproštěna svých závazků z této smlouvy a jakékoli nedodržení (celkové nebo částečné) nebo prodlení v plnění jakéhokoli ze závazků uloženého touto smlouvou kterékoli ze smluvních stran bude tolerováno.</w:t>
      </w:r>
    </w:p>
    <w:p w:rsidR="002C35E9" w:rsidRDefault="009F4BC6">
      <w:pPr>
        <w:tabs>
          <w:tab w:val="left" w:pos="676"/>
        </w:tabs>
        <w:ind w:left="360" w:hanging="360"/>
      </w:pPr>
      <w:r>
        <w:t xml:space="preserve">6.6 </w:t>
      </w:r>
      <w:r>
        <w:tab/>
        <w:t>Nevymahatelnost nebo neplatnost kteréhok</w:t>
      </w:r>
      <w:r>
        <w:t>oli ustanovení této smlouvy neovlivní vynutitelnost nebo platnost ostatních ustanovení této smlouvy. V případě, že jakékoli ustanovení této smlouvy by mělo z jakéhokoli důvodu pozbýt platnosti či vymahatelnosti, zavazují se smluvní strany dohodnout se na n</w:t>
      </w:r>
      <w:r>
        <w:t>áhradě takového ustanovení novým, obdobného obsahu, významu a účelu.</w:t>
      </w:r>
    </w:p>
    <w:p w:rsidR="002C35E9" w:rsidRDefault="009F4BC6">
      <w:pPr>
        <w:tabs>
          <w:tab w:val="left" w:pos="676"/>
        </w:tabs>
        <w:ind w:left="360" w:hanging="360"/>
      </w:pPr>
      <w:r>
        <w:t>6.7</w:t>
      </w:r>
      <w:r>
        <w:tab/>
        <w:t>Nedílnou součástí této smlouvy jsou její přílohy:</w:t>
      </w:r>
    </w:p>
    <w:p w:rsidR="002C35E9" w:rsidRDefault="009F4BC6">
      <w:r>
        <w:t>• Příloha č. 1 - Seznam a rozsah dodaných aplikací.</w:t>
      </w:r>
    </w:p>
    <w:p w:rsidR="002C35E9" w:rsidRDefault="009F4BC6">
      <w:pPr>
        <w:tabs>
          <w:tab w:val="left" w:pos="676"/>
        </w:tabs>
        <w:ind w:left="360" w:hanging="360"/>
      </w:pPr>
      <w:r>
        <w:t>6.8</w:t>
      </w:r>
      <w:r>
        <w:tab/>
        <w:t>Smluvní strany této smlouvy prohlašují, že se řádně seznámily s jejím obsahem</w:t>
      </w:r>
      <w:r>
        <w:t>, který odpovídá jejich pravé a svobodné vůli, považují ho za určitý a srozumitelný a na důkaz tohoto připojují vlastnoruční podpisy:</w:t>
      </w:r>
    </w:p>
    <w:p w:rsidR="002C35E9" w:rsidRDefault="009F4BC6">
      <w:pPr>
        <w:tabs>
          <w:tab w:val="left" w:pos="4915"/>
        </w:tabs>
        <w:ind w:left="360" w:hanging="360"/>
      </w:pPr>
      <w:r>
        <w:t>V Liberci dne 27.11- 2017</w:t>
      </w:r>
      <w:r>
        <w:tab/>
        <w:t>V Brně dne 25.10.2017</w:t>
      </w:r>
    </w:p>
    <w:p w:rsidR="002C35E9" w:rsidRDefault="002C35E9"/>
    <w:p w:rsidR="002C35E9" w:rsidRDefault="009F4BC6">
      <w:r>
        <w:t>Ing. Jan Tomíšek předseda představenstva</w:t>
      </w:r>
    </w:p>
    <w:p w:rsidR="002C35E9" w:rsidRDefault="009F4BC6">
      <w:pPr>
        <w:outlineLvl w:val="0"/>
      </w:pPr>
      <w:bookmarkStart w:id="1" w:name="bookmark1"/>
      <w:r>
        <w:t>PŘÍLOHA</w:t>
      </w:r>
      <w:bookmarkEnd w:id="1"/>
    </w:p>
    <w:p w:rsidR="002C35E9" w:rsidRDefault="009F4BC6">
      <w:r>
        <w:t>č. 1 ke smlouvě č. 2017/267</w:t>
      </w:r>
    </w:p>
    <w:p w:rsidR="002C35E9" w:rsidRDefault="009F4BC6">
      <w:r>
        <w:t>Rozsah licence: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9"/>
        <w:gridCol w:w="1709"/>
        <w:gridCol w:w="2150"/>
      </w:tblGrid>
      <w:tr w:rsidR="002C35E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5E9" w:rsidRDefault="009F4BC6">
            <w:r>
              <w:t>uživatel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5E9" w:rsidRDefault="009F4BC6">
            <w:r>
              <w:t>IČ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5E9" w:rsidRDefault="009F4BC6">
            <w:r>
              <w:t>Počet osobních čí</w:t>
            </w:r>
            <w:r>
              <w:t>sel</w:t>
            </w:r>
          </w:p>
        </w:tc>
      </w:tr>
      <w:tr w:rsidR="002C35E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5E9" w:rsidRDefault="009F4BC6">
            <w:r>
              <w:t>Zoologická zahrada Liberec, příspěvková organizace Liberec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5E9" w:rsidRDefault="009F4BC6">
            <w:r>
              <w:t>00079651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5E9" w:rsidRDefault="009F4BC6">
            <w:r>
              <w:t>220</w:t>
            </w:r>
          </w:p>
        </w:tc>
      </w:tr>
    </w:tbl>
    <w:p w:rsidR="009F4BC6" w:rsidRDefault="009F4BC6"/>
    <w:p w:rsidR="002C35E9" w:rsidRDefault="009F4BC6">
      <w:bookmarkStart w:id="2" w:name="_GoBack"/>
      <w:bookmarkEnd w:id="2"/>
      <w:r>
        <w:lastRenderedPageBreak/>
        <w:t>Programové vybavení Vema se uživateli poskytuje v následujícím rozsahu:</w:t>
      </w:r>
    </w:p>
    <w:p w:rsidR="002C35E9" w:rsidRDefault="009F4BC6">
      <w:r>
        <w:t>komponenta</w:t>
      </w:r>
    </w:p>
    <w:p w:rsidR="002C35E9" w:rsidRDefault="009F4BC6">
      <w:r>
        <w:t>Ekonomika pro střední organizace - ELs Portál ELs - eEKOS Sklady - MTZ Saldokonto účtů - SLU</w:t>
      </w:r>
    </w:p>
    <w:p w:rsidR="002C35E9" w:rsidRDefault="009F4BC6">
      <w:r>
        <w:t>Kontroly výkazů před odesláním do CSÚIS - EU0013 Kontrola plátců DPH přes webové služby - EX0015 PAP - aktualizace konsolidačních partnerů - EX0021 Ochranné prostředky - OPO</w:t>
      </w:r>
    </w:p>
    <w:p w:rsidR="002C35E9" w:rsidRDefault="009F4BC6">
      <w:r>
        <w:t>počet os. čísel - řádků v účetním deníku/licencí</w:t>
      </w:r>
    </w:p>
    <w:p w:rsidR="002C35E9" w:rsidRDefault="009F4BC6">
      <w:r>
        <w:t>50.000</w:t>
      </w:r>
    </w:p>
    <w:p w:rsidR="002C35E9" w:rsidRDefault="009F4BC6">
      <w:r>
        <w:t>50.000</w:t>
      </w:r>
    </w:p>
    <w:p w:rsidR="002C35E9" w:rsidRDefault="009F4BC6">
      <w:r>
        <w:t>50.000</w:t>
      </w:r>
    </w:p>
    <w:p w:rsidR="002C35E9" w:rsidRDefault="009F4BC6">
      <w:r>
        <w:t>50.000 1</w:t>
      </w:r>
    </w:p>
    <w:p w:rsidR="002C35E9" w:rsidRDefault="009F4BC6">
      <w:r>
        <w:t>1</w:t>
      </w:r>
    </w:p>
    <w:p w:rsidR="002C35E9" w:rsidRDefault="009F4BC6">
      <w:r>
        <w:t>1</w:t>
      </w:r>
    </w:p>
    <w:p w:rsidR="002C35E9" w:rsidRDefault="009F4BC6">
      <w:r>
        <w:t>220</w:t>
      </w:r>
    </w:p>
    <w:p w:rsidR="002C35E9" w:rsidRDefault="009F4BC6">
      <w:r>
        <w:t>V Brně dne 25.10.2017</w:t>
      </w:r>
    </w:p>
    <w:sectPr w:rsidR="002C35E9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42" w:rsidRDefault="00FE2F42">
      <w:r>
        <w:separator/>
      </w:r>
    </w:p>
  </w:endnote>
  <w:endnote w:type="continuationSeparator" w:id="0">
    <w:p w:rsidR="00FE2F42" w:rsidRDefault="00FE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42" w:rsidRDefault="00FE2F42"/>
  </w:footnote>
  <w:footnote w:type="continuationSeparator" w:id="0">
    <w:p w:rsidR="00FE2F42" w:rsidRDefault="00FE2F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E9"/>
    <w:rsid w:val="002C35E9"/>
    <w:rsid w:val="009F4BC6"/>
    <w:rsid w:val="00F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F3117-A46A-43E6-A727-8202DD2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m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aznik.ve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s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Dostálová</dc:creator>
  <cp:lastModifiedBy>Ivana Dostálová</cp:lastModifiedBy>
  <cp:revision>1</cp:revision>
  <dcterms:created xsi:type="dcterms:W3CDTF">2017-12-15T07:43:00Z</dcterms:created>
  <dcterms:modified xsi:type="dcterms:W3CDTF">2017-12-15T08:06:00Z</dcterms:modified>
</cp:coreProperties>
</file>