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A1" w:rsidRDefault="00157CA1">
      <w:pPr>
        <w:pStyle w:val="Nadpis1"/>
        <w:spacing w:before="0" w:after="0"/>
        <w:rPr>
          <w:sz w:val="24"/>
        </w:rPr>
      </w:pPr>
      <w:bookmarkStart w:id="0" w:name="_GoBack"/>
      <w:bookmarkEnd w:id="0"/>
    </w:p>
    <w:p w:rsidR="00704A5A" w:rsidRDefault="00704A5A" w:rsidP="00704A5A"/>
    <w:p w:rsidR="00704A5A" w:rsidRDefault="00704A5A" w:rsidP="00704A5A"/>
    <w:p w:rsidR="00704A5A" w:rsidRPr="00704A5A" w:rsidRDefault="00704A5A" w:rsidP="00704A5A"/>
    <w:p w:rsidR="00157CA1" w:rsidRDefault="00157CA1">
      <w:pPr>
        <w:pStyle w:val="Nadpis1"/>
        <w:spacing w:before="0" w:after="0"/>
        <w:rPr>
          <w:sz w:val="24"/>
        </w:rPr>
      </w:pPr>
    </w:p>
    <w:p w:rsidR="00157CA1" w:rsidRDefault="00157CA1">
      <w:pPr>
        <w:pStyle w:val="Nadpis1"/>
        <w:spacing w:before="0" w:after="0"/>
        <w:rPr>
          <w:sz w:val="24"/>
        </w:rPr>
      </w:pPr>
    </w:p>
    <w:p w:rsidR="000E7AD6" w:rsidRDefault="000E7AD6">
      <w:pPr>
        <w:pStyle w:val="Nadpis1"/>
        <w:spacing w:before="0" w:after="0"/>
        <w:rPr>
          <w:sz w:val="24"/>
        </w:rPr>
      </w:pPr>
    </w:p>
    <w:p w:rsidR="000E665F" w:rsidRDefault="005227F4">
      <w:pPr>
        <w:pStyle w:val="Nadpis1"/>
        <w:spacing w:before="0" w:after="0"/>
        <w:rPr>
          <w:sz w:val="24"/>
        </w:rPr>
      </w:pPr>
      <w:r>
        <w:rPr>
          <w:sz w:val="24"/>
        </w:rPr>
        <w:t>DODATEK Č. 3</w:t>
      </w:r>
    </w:p>
    <w:p w:rsidR="00157CA1" w:rsidRDefault="000E665F">
      <w:pPr>
        <w:pStyle w:val="Nadpis1"/>
        <w:spacing w:before="0" w:after="0"/>
        <w:rPr>
          <w:sz w:val="24"/>
        </w:rPr>
      </w:pPr>
      <w:r>
        <w:rPr>
          <w:sz w:val="24"/>
        </w:rPr>
        <w:t>K POJISTNÉ SMLOUVĚ</w:t>
      </w:r>
      <w:r w:rsidR="00E95526">
        <w:rPr>
          <w:sz w:val="24"/>
        </w:rPr>
        <w:t xml:space="preserve"> č.</w:t>
      </w:r>
      <w:r w:rsidR="00C11182">
        <w:rPr>
          <w:sz w:val="24"/>
        </w:rPr>
        <w:t xml:space="preserve"> </w:t>
      </w:r>
      <w:r w:rsidR="001910F7" w:rsidRPr="001910F7">
        <w:rPr>
          <w:sz w:val="24"/>
        </w:rPr>
        <w:t>2141760328</w:t>
      </w:r>
    </w:p>
    <w:p w:rsidR="00157CA1" w:rsidRDefault="00157CA1">
      <w:pPr>
        <w:rPr>
          <w:rFonts w:ascii="Arial" w:hAnsi="Arial"/>
          <w:sz w:val="22"/>
        </w:rPr>
      </w:pPr>
    </w:p>
    <w:p w:rsidR="00157CA1" w:rsidRDefault="00157CA1">
      <w:pPr>
        <w:tabs>
          <w:tab w:val="left" w:pos="2803"/>
        </w:tabs>
        <w:rPr>
          <w:rFonts w:ascii="Arial" w:hAnsi="Arial"/>
          <w:sz w:val="22"/>
        </w:rPr>
      </w:pPr>
      <w:r>
        <w:rPr>
          <w:rFonts w:ascii="Arial" w:hAnsi="Arial"/>
          <w:sz w:val="22"/>
        </w:rPr>
        <w:tab/>
      </w:r>
    </w:p>
    <w:p w:rsidR="003436DC" w:rsidRDefault="00846BF4" w:rsidP="00846BF4">
      <w:pPr>
        <w:rPr>
          <w:rFonts w:ascii="Arial" w:hAnsi="Arial"/>
          <w:bCs/>
        </w:rPr>
      </w:pPr>
      <w:r>
        <w:rPr>
          <w:rFonts w:ascii="Arial" w:hAnsi="Arial"/>
          <w:b/>
        </w:rPr>
        <w:t>Generali Pojišťovna a.s.</w:t>
      </w:r>
    </w:p>
    <w:p w:rsidR="00846BF4" w:rsidRDefault="00846BF4" w:rsidP="00846BF4">
      <w:pPr>
        <w:rPr>
          <w:rFonts w:ascii="Arial" w:hAnsi="Arial"/>
        </w:rPr>
      </w:pPr>
      <w:r>
        <w:rPr>
          <w:rFonts w:ascii="Arial" w:hAnsi="Arial"/>
        </w:rPr>
        <w:t>Bělehradská 132, 120 84  Praha 2, Česká republika, IČ</w:t>
      </w:r>
      <w:r w:rsidR="00D80E00">
        <w:rPr>
          <w:rFonts w:ascii="Arial" w:hAnsi="Arial"/>
        </w:rPr>
        <w:t>O</w:t>
      </w:r>
      <w:r>
        <w:rPr>
          <w:rFonts w:ascii="Arial" w:hAnsi="Arial"/>
        </w:rPr>
        <w:t>: 61859869</w:t>
      </w:r>
    </w:p>
    <w:p w:rsidR="009E581C" w:rsidRPr="003436DC" w:rsidRDefault="009E581C" w:rsidP="009E581C">
      <w:pPr>
        <w:jc w:val="both"/>
        <w:rPr>
          <w:rFonts w:ascii="Arial" w:hAnsi="Arial" w:cs="Arial"/>
        </w:rPr>
      </w:pPr>
      <w:r w:rsidRPr="003436DC">
        <w:rPr>
          <w:rFonts w:ascii="Arial" w:hAnsi="Arial" w:cs="Arial"/>
        </w:rPr>
        <w:t xml:space="preserve">zastoupená </w:t>
      </w:r>
      <w:r w:rsidR="000E665F">
        <w:rPr>
          <w:rFonts w:ascii="Arial" w:hAnsi="Arial" w:cs="Arial"/>
        </w:rPr>
        <w:t>Ing. Milošem Foldou</w:t>
      </w:r>
      <w:r w:rsidR="003436DC" w:rsidRPr="003436DC">
        <w:rPr>
          <w:rFonts w:ascii="Arial" w:hAnsi="Arial" w:cs="Arial"/>
        </w:rPr>
        <w:t xml:space="preserve">, hlavním upisovatelem a </w:t>
      </w:r>
      <w:r w:rsidR="00D80E00">
        <w:rPr>
          <w:rFonts w:ascii="Arial" w:hAnsi="Arial" w:cs="Arial"/>
        </w:rPr>
        <w:t xml:space="preserve">Bc. </w:t>
      </w:r>
      <w:r w:rsidRPr="003436DC">
        <w:rPr>
          <w:rFonts w:ascii="Arial" w:hAnsi="Arial" w:cs="Arial"/>
        </w:rPr>
        <w:t xml:space="preserve">Alenou Rouskovou, upisovatelem </w:t>
      </w:r>
    </w:p>
    <w:p w:rsidR="00D80E00" w:rsidRDefault="00D80E00" w:rsidP="00D80E00">
      <w:pPr>
        <w:rPr>
          <w:rFonts w:ascii="Arial" w:hAnsi="Arial" w:cs="Arial"/>
          <w:sz w:val="16"/>
          <w:szCs w:val="16"/>
        </w:rPr>
      </w:pPr>
      <w:r>
        <w:rPr>
          <w:rFonts w:ascii="Arial" w:hAnsi="Arial" w:cs="Arial"/>
          <w:sz w:val="16"/>
          <w:szCs w:val="16"/>
        </w:rPr>
        <w:t xml:space="preserve">Společnost je </w:t>
      </w:r>
      <w:r w:rsidRPr="00A176D9">
        <w:rPr>
          <w:rFonts w:ascii="Arial" w:hAnsi="Arial" w:cs="Arial"/>
          <w:sz w:val="16"/>
          <w:szCs w:val="16"/>
        </w:rPr>
        <w:t xml:space="preserve">zapsaná v obchodním rejstříku vedeném Městským soudem v Praze, spisová značka B 2866 </w:t>
      </w:r>
    </w:p>
    <w:p w:rsidR="00D80E00" w:rsidRDefault="00D80E00" w:rsidP="00D80E00">
      <w:pPr>
        <w:rPr>
          <w:rFonts w:ascii="Arial" w:hAnsi="Arial" w:cs="Arial"/>
          <w:sz w:val="16"/>
          <w:szCs w:val="16"/>
        </w:rPr>
      </w:pPr>
      <w:r w:rsidRPr="00A176D9">
        <w:rPr>
          <w:rFonts w:ascii="Arial" w:hAnsi="Arial" w:cs="Arial"/>
          <w:sz w:val="16"/>
          <w:szCs w:val="16"/>
        </w:rPr>
        <w:t>a je členem Skupiny Generali, zapsané v italském registru pojišťovacích skupin, vedeném IVASS.</w:t>
      </w:r>
    </w:p>
    <w:p w:rsidR="00846BF4" w:rsidRDefault="00846BF4" w:rsidP="00846BF4">
      <w:pPr>
        <w:rPr>
          <w:rFonts w:ascii="Arial" w:hAnsi="Arial"/>
        </w:rPr>
      </w:pPr>
      <w:r>
        <w:rPr>
          <w:rFonts w:ascii="Arial" w:hAnsi="Arial"/>
        </w:rPr>
        <w:t>(dále jen “pojistitel”)</w:t>
      </w:r>
    </w:p>
    <w:p w:rsidR="00846BF4" w:rsidRDefault="00846BF4" w:rsidP="00846BF4">
      <w:pPr>
        <w:pStyle w:val="Zhlav"/>
        <w:tabs>
          <w:tab w:val="clear" w:pos="4536"/>
          <w:tab w:val="clear" w:pos="9072"/>
        </w:tabs>
        <w:spacing w:before="240" w:after="240"/>
        <w:rPr>
          <w:rFonts w:ascii="Arial" w:hAnsi="Arial"/>
        </w:rPr>
      </w:pPr>
      <w:r>
        <w:rPr>
          <w:rFonts w:ascii="Arial" w:hAnsi="Arial"/>
        </w:rPr>
        <w:t>a</w:t>
      </w:r>
    </w:p>
    <w:p w:rsidR="00846BF4" w:rsidRPr="003436DC" w:rsidRDefault="003436DC" w:rsidP="00846BF4">
      <w:pPr>
        <w:rPr>
          <w:rFonts w:ascii="Arial" w:hAnsi="Arial"/>
          <w:b/>
        </w:rPr>
      </w:pPr>
      <w:r w:rsidRPr="003436DC">
        <w:rPr>
          <w:rFonts w:ascii="Arial" w:hAnsi="Arial"/>
          <w:b/>
        </w:rPr>
        <w:t>Domov pro osoby se zdravotním postižením Rudné u Nejdku</w:t>
      </w:r>
    </w:p>
    <w:p w:rsidR="003436DC" w:rsidRPr="00101C12" w:rsidRDefault="003436DC" w:rsidP="00846BF4">
      <w:pPr>
        <w:rPr>
          <w:rFonts w:ascii="Arial" w:hAnsi="Arial"/>
        </w:rPr>
      </w:pPr>
      <w:r w:rsidRPr="00101C12">
        <w:rPr>
          <w:rFonts w:ascii="Arial" w:hAnsi="Arial"/>
        </w:rPr>
        <w:t>Rudné 8, 362 24 Vysoká Pec, Česká republika, IČ</w:t>
      </w:r>
      <w:r w:rsidR="00D80E00">
        <w:rPr>
          <w:rFonts w:ascii="Arial" w:hAnsi="Arial"/>
        </w:rPr>
        <w:t>O</w:t>
      </w:r>
      <w:r w:rsidRPr="00101C12">
        <w:rPr>
          <w:rFonts w:ascii="Arial" w:hAnsi="Arial"/>
        </w:rPr>
        <w:t>: 70890285</w:t>
      </w:r>
    </w:p>
    <w:p w:rsidR="00101C12" w:rsidRPr="00101C12" w:rsidRDefault="00D80E00" w:rsidP="00846BF4">
      <w:pPr>
        <w:rPr>
          <w:rFonts w:ascii="Arial" w:hAnsi="Arial"/>
        </w:rPr>
      </w:pPr>
      <w:r>
        <w:rPr>
          <w:rFonts w:ascii="Arial" w:hAnsi="Arial"/>
        </w:rPr>
        <w:t>zastoupená</w:t>
      </w:r>
      <w:r w:rsidR="00101C12" w:rsidRPr="00101C12">
        <w:rPr>
          <w:rFonts w:ascii="Arial" w:hAnsi="Arial"/>
        </w:rPr>
        <w:t xml:space="preserve"> Mgr. Petr</w:t>
      </w:r>
      <w:r>
        <w:rPr>
          <w:rFonts w:ascii="Arial" w:hAnsi="Arial"/>
        </w:rPr>
        <w:t>em</w:t>
      </w:r>
      <w:r w:rsidR="00101C12" w:rsidRPr="00101C12">
        <w:rPr>
          <w:rFonts w:ascii="Arial" w:hAnsi="Arial"/>
        </w:rPr>
        <w:t xml:space="preserve"> Maršoun</w:t>
      </w:r>
      <w:r>
        <w:rPr>
          <w:rFonts w:ascii="Arial" w:hAnsi="Arial"/>
        </w:rPr>
        <w:t>em</w:t>
      </w:r>
      <w:r w:rsidR="00101C12" w:rsidRPr="00101C12">
        <w:rPr>
          <w:rFonts w:ascii="Arial" w:hAnsi="Arial"/>
        </w:rPr>
        <w:t>, ředitel</w:t>
      </w:r>
      <w:r>
        <w:rPr>
          <w:rFonts w:ascii="Arial" w:hAnsi="Arial"/>
        </w:rPr>
        <w:t>em</w:t>
      </w:r>
      <w:r w:rsidR="00101C12" w:rsidRPr="00101C12">
        <w:rPr>
          <w:rFonts w:ascii="Arial" w:hAnsi="Arial"/>
        </w:rPr>
        <w:t xml:space="preserve"> </w:t>
      </w:r>
    </w:p>
    <w:p w:rsidR="00846BF4" w:rsidRDefault="00846BF4" w:rsidP="00846BF4">
      <w:pPr>
        <w:rPr>
          <w:rFonts w:ascii="Arial" w:hAnsi="Arial"/>
        </w:rPr>
      </w:pPr>
      <w:r>
        <w:rPr>
          <w:rFonts w:ascii="Arial" w:hAnsi="Arial"/>
        </w:rPr>
        <w:t>(dále jen „pojistník/pojištěný“)</w:t>
      </w:r>
    </w:p>
    <w:p w:rsidR="00157CA1" w:rsidRDefault="00157CA1">
      <w:pPr>
        <w:spacing w:before="120"/>
        <w:rPr>
          <w:rFonts w:ascii="Arial" w:hAnsi="Arial"/>
        </w:rPr>
      </w:pPr>
    </w:p>
    <w:p w:rsidR="008652EE" w:rsidRDefault="000E665F">
      <w:pPr>
        <w:spacing w:before="120"/>
        <w:rPr>
          <w:rFonts w:ascii="Arial" w:hAnsi="Arial"/>
        </w:rPr>
      </w:pPr>
      <w:r>
        <w:rPr>
          <w:rFonts w:ascii="Arial" w:hAnsi="Arial"/>
        </w:rPr>
        <w:t xml:space="preserve">uzavírají </w:t>
      </w:r>
      <w:r w:rsidR="00D80E00">
        <w:rPr>
          <w:rFonts w:ascii="Arial" w:hAnsi="Arial"/>
        </w:rPr>
        <w:t xml:space="preserve">tento dodatek č. </w:t>
      </w:r>
      <w:r w:rsidR="005227F4">
        <w:rPr>
          <w:rFonts w:ascii="Arial" w:hAnsi="Arial"/>
        </w:rPr>
        <w:t>3</w:t>
      </w:r>
      <w:r w:rsidRPr="000E665F">
        <w:rPr>
          <w:rFonts w:ascii="Arial" w:hAnsi="Arial"/>
        </w:rPr>
        <w:t xml:space="preserve"> k pojistné smlouvě č. 2141760328</w:t>
      </w:r>
      <w:r w:rsidR="00157CA1" w:rsidRPr="000E665F">
        <w:rPr>
          <w:rFonts w:ascii="Arial" w:hAnsi="Arial"/>
        </w:rPr>
        <w:t>.</w:t>
      </w:r>
    </w:p>
    <w:p w:rsidR="008652EE" w:rsidRDefault="008652EE">
      <w:pPr>
        <w:spacing w:before="120"/>
        <w:rPr>
          <w:rFonts w:ascii="Arial" w:hAnsi="Arial"/>
        </w:rPr>
      </w:pPr>
    </w:p>
    <w:p w:rsidR="005227F4" w:rsidRDefault="005227F4">
      <w:pPr>
        <w:spacing w:before="120"/>
        <w:rPr>
          <w:rFonts w:ascii="Arial" w:hAnsi="Arial"/>
        </w:rPr>
      </w:pPr>
    </w:p>
    <w:p w:rsidR="000E665F" w:rsidRDefault="000E665F" w:rsidP="005227F4">
      <w:pPr>
        <w:ind w:left="705" w:hanging="705"/>
        <w:rPr>
          <w:rFonts w:ascii="Arial" w:hAnsi="Arial"/>
        </w:rPr>
      </w:pPr>
      <w:r>
        <w:rPr>
          <w:rFonts w:ascii="Arial" w:hAnsi="Arial"/>
        </w:rPr>
        <w:t xml:space="preserve">I. </w:t>
      </w:r>
      <w:r>
        <w:rPr>
          <w:rFonts w:ascii="Arial" w:hAnsi="Arial"/>
        </w:rPr>
        <w:tab/>
      </w:r>
      <w:r w:rsidR="005227F4">
        <w:rPr>
          <w:rFonts w:ascii="Arial" w:hAnsi="Arial"/>
        </w:rPr>
        <w:t>Na základě tohoto dodatku se doplňuje předmět pojištění vlastní peníze a cennosti i o cizí peníze a cennosti a navyšuje se u tohoto předmětu pojištění pojistná částka. Vzhledem k těmto skutečnostem</w:t>
      </w:r>
      <w:r w:rsidR="008652EE">
        <w:rPr>
          <w:rFonts w:ascii="Arial" w:hAnsi="Arial"/>
        </w:rPr>
        <w:t xml:space="preserve"> se následující články pojistné smlouvy mění takto:</w:t>
      </w:r>
      <w:r w:rsidR="00D80E00">
        <w:rPr>
          <w:rFonts w:ascii="Arial" w:hAnsi="Arial"/>
        </w:rPr>
        <w:t xml:space="preserve"> </w:t>
      </w:r>
    </w:p>
    <w:p w:rsidR="005227F4" w:rsidRDefault="005227F4" w:rsidP="005227F4">
      <w:pPr>
        <w:ind w:left="705" w:hanging="705"/>
        <w:rPr>
          <w:rFonts w:ascii="Arial" w:hAnsi="Arial"/>
          <w:b/>
        </w:rPr>
      </w:pPr>
    </w:p>
    <w:p w:rsidR="00422BD2" w:rsidRDefault="00422BD2">
      <w:pPr>
        <w:pStyle w:val="Zpat"/>
        <w:tabs>
          <w:tab w:val="clear" w:pos="4536"/>
          <w:tab w:val="right" w:pos="2268"/>
          <w:tab w:val="left" w:pos="2410"/>
          <w:tab w:val="left" w:pos="2694"/>
          <w:tab w:val="left" w:pos="3969"/>
          <w:tab w:val="right" w:pos="5670"/>
          <w:tab w:val="left" w:pos="6663"/>
        </w:tabs>
        <w:rPr>
          <w:rFonts w:ascii="Arial_CE" w:hAnsi="Arial_CE"/>
          <w:sz w:val="20"/>
        </w:rPr>
      </w:pPr>
    </w:p>
    <w:p w:rsidR="005227F4" w:rsidRPr="00547593" w:rsidRDefault="005227F4" w:rsidP="005227F4">
      <w:pPr>
        <w:rPr>
          <w:rFonts w:ascii="Arial" w:hAnsi="Arial" w:cs="Arial"/>
          <w:b/>
        </w:rPr>
      </w:pPr>
      <w:r w:rsidRPr="00547593">
        <w:rPr>
          <w:rFonts w:ascii="Arial" w:hAnsi="Arial" w:cs="Arial"/>
          <w:b/>
        </w:rPr>
        <w:t xml:space="preserve">ŽIVELNÍ POJIŠTĚNÍ </w:t>
      </w:r>
    </w:p>
    <w:p w:rsidR="005227F4" w:rsidRPr="00547593" w:rsidRDefault="005227F4" w:rsidP="005227F4"/>
    <w:p w:rsidR="005227F4" w:rsidRPr="00AC65BD" w:rsidRDefault="005227F4" w:rsidP="005227F4">
      <w:pPr>
        <w:pStyle w:val="Nadpis3"/>
        <w:rPr>
          <w:szCs w:val="20"/>
        </w:rPr>
      </w:pPr>
      <w:r w:rsidRPr="00AC65BD">
        <w:rPr>
          <w:caps/>
          <w:szCs w:val="20"/>
        </w:rPr>
        <w:t>Pojistná nebezpečí - F</w:t>
      </w:r>
      <w:r w:rsidRPr="00AC65BD">
        <w:rPr>
          <w:szCs w:val="20"/>
        </w:rPr>
        <w:t>LEXA (Požár, Přímý úder blesku, Výbuch, Pád letadla), Vichřice/krupobití, Záplava/povodeň, Zemětřesení, Sesuv půdy a zřícení skal, Lavina, Tíha sněhu/námrazy, Pád stromu, Voda z vodovodních zařízení, Náraz vozidla, Kouř, Aerodynamický třesk,</w:t>
      </w:r>
    </w:p>
    <w:p w:rsidR="005227F4" w:rsidRPr="0081082F" w:rsidRDefault="005227F4" w:rsidP="005227F4">
      <w:pPr>
        <w:pStyle w:val="Nadpis3"/>
        <w:rPr>
          <w:b w:val="0"/>
          <w:szCs w:val="20"/>
        </w:rPr>
      </w:pPr>
      <w:r w:rsidRPr="0081082F">
        <w:rPr>
          <w:b w:val="0"/>
          <w:bCs/>
          <w:szCs w:val="20"/>
        </w:rPr>
        <w:t xml:space="preserve">v rozsahu </w:t>
      </w:r>
      <w:r w:rsidRPr="0081082F">
        <w:rPr>
          <w:b w:val="0"/>
          <w:szCs w:val="20"/>
        </w:rPr>
        <w:t>VPP PR-P 2005/01</w:t>
      </w:r>
    </w:p>
    <w:p w:rsidR="005227F4" w:rsidRDefault="005227F4" w:rsidP="005227F4">
      <w:pPr>
        <w:pStyle w:val="Nadpis4"/>
      </w:pPr>
      <w:r>
        <w:t xml:space="preserve">Pojištění souboru vlastních a cizích budov a staveb vč. stavebních součástí a příslušenství </w:t>
      </w:r>
      <w:r>
        <w:rPr>
          <w:i/>
          <w:iCs/>
        </w:rPr>
        <w:t xml:space="preserve">- </w:t>
      </w:r>
      <w:r>
        <w:t>na novou cenu</w:t>
      </w:r>
    </w:p>
    <w:p w:rsidR="005227F4" w:rsidRDefault="005227F4" w:rsidP="005227F4">
      <w:pPr>
        <w:pStyle w:val="Zpat"/>
        <w:tabs>
          <w:tab w:val="clear" w:pos="4536"/>
          <w:tab w:val="clear" w:pos="9072"/>
          <w:tab w:val="right" w:pos="3261"/>
          <w:tab w:val="right" w:pos="5103"/>
          <w:tab w:val="right" w:pos="6521"/>
          <w:tab w:val="right" w:pos="8222"/>
          <w:tab w:val="right" w:pos="9639"/>
        </w:tabs>
        <w:rPr>
          <w:rFonts w:ascii="Arial_CE" w:hAnsi="Arial_CE"/>
          <w:iCs/>
          <w:sz w:val="20"/>
        </w:rPr>
      </w:pPr>
      <w:r>
        <w:rPr>
          <w:rFonts w:ascii="Arial_CE" w:hAnsi="Arial_CE"/>
          <w:iCs/>
          <w:sz w:val="20"/>
        </w:rPr>
        <w:t>Pojistná částka:</w:t>
      </w:r>
      <w:r>
        <w:rPr>
          <w:rFonts w:ascii="Arial_CE" w:hAnsi="Arial_CE"/>
          <w:iCs/>
          <w:sz w:val="20"/>
        </w:rPr>
        <w:tab/>
      </w:r>
      <w:r w:rsidRPr="00AC65BD">
        <w:rPr>
          <w:rFonts w:ascii="Arial_CE" w:hAnsi="Arial_CE"/>
          <w:iCs/>
          <w:sz w:val="20"/>
        </w:rPr>
        <w:t>53 875 700,- Kč</w:t>
      </w:r>
      <w:r>
        <w:rPr>
          <w:rFonts w:ascii="Arial_CE" w:hAnsi="Arial_CE"/>
          <w:iCs/>
          <w:sz w:val="20"/>
        </w:rPr>
        <w:tab/>
      </w:r>
    </w:p>
    <w:p w:rsidR="005227F4" w:rsidRPr="00AC65BD" w:rsidRDefault="005227F4" w:rsidP="005227F4">
      <w:pPr>
        <w:pStyle w:val="Nadpis4"/>
      </w:pPr>
      <w:r>
        <w:t xml:space="preserve">Pojištění </w:t>
      </w:r>
      <w:r w:rsidRPr="00AC65BD">
        <w:t>souboru vlastního a cizího technického a obchodního vybavení provozu - na novou cenu</w:t>
      </w:r>
    </w:p>
    <w:p w:rsidR="005227F4" w:rsidRPr="00AC65BD" w:rsidRDefault="005227F4" w:rsidP="005227F4">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AC65BD">
        <w:rPr>
          <w:rFonts w:ascii="Arial_CE" w:hAnsi="Arial_CE"/>
          <w:iCs/>
          <w:sz w:val="20"/>
        </w:rPr>
        <w:t>Pojistná částka:</w:t>
      </w:r>
      <w:r w:rsidRPr="00AC65BD">
        <w:rPr>
          <w:rFonts w:ascii="Arial_CE" w:hAnsi="Arial_CE"/>
          <w:iCs/>
          <w:sz w:val="20"/>
        </w:rPr>
        <w:tab/>
        <w:t>2 000 000,- Kč</w:t>
      </w:r>
      <w:r w:rsidRPr="00AC65BD">
        <w:rPr>
          <w:rFonts w:ascii="Arial_CE" w:hAnsi="Arial_CE"/>
          <w:iCs/>
          <w:sz w:val="20"/>
        </w:rPr>
        <w:tab/>
      </w:r>
      <w:r w:rsidRPr="00AC65BD">
        <w:rPr>
          <w:rFonts w:ascii="Arial_CE" w:hAnsi="Arial_CE"/>
          <w:iCs/>
          <w:sz w:val="20"/>
        </w:rPr>
        <w:tab/>
      </w:r>
    </w:p>
    <w:p w:rsidR="005227F4" w:rsidRPr="00AC65BD" w:rsidRDefault="005227F4" w:rsidP="005227F4">
      <w:pPr>
        <w:pStyle w:val="Nadpis4"/>
      </w:pPr>
      <w:r w:rsidRPr="00AC65BD">
        <w:t>Pojištění souboru vlastních a cizích zásob - na novou cenu</w:t>
      </w:r>
    </w:p>
    <w:p w:rsidR="005227F4" w:rsidRDefault="005227F4" w:rsidP="005227F4">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AC65BD">
        <w:rPr>
          <w:rFonts w:ascii="Arial_CE" w:hAnsi="Arial_CE"/>
          <w:iCs/>
          <w:sz w:val="20"/>
        </w:rPr>
        <w:t>Pojistná částka:</w:t>
      </w:r>
      <w:r w:rsidRPr="00AC65BD">
        <w:rPr>
          <w:rFonts w:ascii="Arial_CE" w:hAnsi="Arial_CE"/>
          <w:iCs/>
          <w:sz w:val="20"/>
        </w:rPr>
        <w:tab/>
        <w:t>500 000,- Kč</w:t>
      </w:r>
    </w:p>
    <w:p w:rsidR="005227F4" w:rsidRPr="00AC65BD" w:rsidRDefault="005227F4" w:rsidP="005227F4">
      <w:pPr>
        <w:pStyle w:val="Nadpis4"/>
      </w:pPr>
      <w:r w:rsidRPr="00AC65BD">
        <w:t>Pojištění vlastních</w:t>
      </w:r>
      <w:r>
        <w:t xml:space="preserve"> a cizích</w:t>
      </w:r>
      <w:r w:rsidRPr="00AC65BD">
        <w:t xml:space="preserve"> </w:t>
      </w:r>
      <w:r>
        <w:t>peněz a cenností</w:t>
      </w:r>
      <w:r w:rsidRPr="00AC65BD">
        <w:t xml:space="preserve"> - na novou cenu</w:t>
      </w:r>
    </w:p>
    <w:p w:rsidR="005227F4" w:rsidRDefault="005227F4" w:rsidP="005227F4">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AC65BD">
        <w:rPr>
          <w:rFonts w:ascii="Arial_CE" w:hAnsi="Arial_CE"/>
          <w:iCs/>
          <w:sz w:val="20"/>
        </w:rPr>
        <w:t>Pojistná částka:</w:t>
      </w:r>
      <w:r w:rsidRPr="00AC65BD">
        <w:rPr>
          <w:rFonts w:ascii="Arial_CE" w:hAnsi="Arial_CE"/>
          <w:iCs/>
          <w:sz w:val="20"/>
        </w:rPr>
        <w:tab/>
      </w:r>
      <w:r>
        <w:rPr>
          <w:rFonts w:ascii="Arial_CE" w:hAnsi="Arial_CE"/>
          <w:iCs/>
          <w:sz w:val="20"/>
        </w:rPr>
        <w:t>200</w:t>
      </w:r>
      <w:r w:rsidRPr="00AC65BD">
        <w:rPr>
          <w:rFonts w:ascii="Arial_CE" w:hAnsi="Arial_CE"/>
          <w:iCs/>
          <w:sz w:val="20"/>
        </w:rPr>
        <w:t xml:space="preserve"> 000,- Kč</w:t>
      </w:r>
    </w:p>
    <w:p w:rsidR="005227F4" w:rsidRPr="00AC65BD" w:rsidRDefault="005227F4" w:rsidP="005227F4">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AC65BD">
        <w:rPr>
          <w:rFonts w:ascii="Arial_CE" w:hAnsi="Arial_CE"/>
          <w:iCs/>
          <w:sz w:val="20"/>
        </w:rPr>
        <w:tab/>
      </w:r>
      <w:r w:rsidRPr="00AC65BD">
        <w:rPr>
          <w:rFonts w:ascii="Arial_CE" w:hAnsi="Arial_CE"/>
          <w:iCs/>
          <w:sz w:val="20"/>
        </w:rPr>
        <w:tab/>
      </w:r>
    </w:p>
    <w:p w:rsidR="005227F4" w:rsidRPr="005543A5" w:rsidRDefault="005227F4" w:rsidP="005227F4">
      <w:pPr>
        <w:pStyle w:val="Nadpis4"/>
        <w:rPr>
          <w:color w:val="FF0000"/>
        </w:rPr>
      </w:pPr>
      <w:r w:rsidRPr="00AC65BD">
        <w:tab/>
        <w:t xml:space="preserve">Celkové </w:t>
      </w:r>
      <w:r>
        <w:t>pojistné za živelní pojištění:</w:t>
      </w:r>
      <w:r>
        <w:tab/>
        <w:t>27 958</w:t>
      </w:r>
      <w:r w:rsidRPr="00AC65BD">
        <w:t>,- Kč</w:t>
      </w:r>
    </w:p>
    <w:p w:rsidR="005227F4" w:rsidRDefault="005227F4" w:rsidP="005227F4">
      <w:pPr>
        <w:pStyle w:val="Zpat"/>
        <w:tabs>
          <w:tab w:val="clear" w:pos="4536"/>
          <w:tab w:val="right" w:pos="2268"/>
          <w:tab w:val="left" w:pos="2410"/>
          <w:tab w:val="left" w:pos="3969"/>
          <w:tab w:val="right" w:pos="5670"/>
          <w:tab w:val="left" w:pos="6663"/>
        </w:tabs>
        <w:rPr>
          <w:rFonts w:ascii="Arial" w:hAnsi="Arial" w:cs="Arial"/>
          <w:sz w:val="20"/>
        </w:rPr>
      </w:pPr>
    </w:p>
    <w:p w:rsidR="005227F4" w:rsidRPr="00746D13" w:rsidRDefault="005227F4" w:rsidP="005227F4">
      <w:pPr>
        <w:pStyle w:val="nadpis30"/>
        <w:tabs>
          <w:tab w:val="clear" w:pos="2835"/>
          <w:tab w:val="left" w:pos="2268"/>
          <w:tab w:val="left" w:pos="5954"/>
          <w:tab w:val="right" w:pos="9072"/>
        </w:tabs>
        <w:jc w:val="both"/>
        <w:outlineLvl w:val="9"/>
        <w:rPr>
          <w:rFonts w:ascii="Arial" w:hAnsi="Arial" w:cs="Arial"/>
          <w:caps w:val="0"/>
        </w:rPr>
      </w:pPr>
      <w:r w:rsidRPr="00746D13">
        <w:rPr>
          <w:rFonts w:ascii="Arial" w:hAnsi="Arial" w:cs="Arial"/>
          <w:caps w:val="0"/>
        </w:rPr>
        <w:t>Pro výše uvedená pojistná nebezpečí se sjednávají následující spoluúčasti:</w:t>
      </w:r>
    </w:p>
    <w:p w:rsidR="005227F4" w:rsidRPr="00746D13" w:rsidRDefault="005227F4" w:rsidP="005227F4">
      <w:pPr>
        <w:pStyle w:val="nadpis30"/>
        <w:tabs>
          <w:tab w:val="clear" w:pos="2835"/>
          <w:tab w:val="left" w:pos="2268"/>
          <w:tab w:val="left" w:pos="5954"/>
          <w:tab w:val="right" w:pos="9072"/>
        </w:tabs>
        <w:jc w:val="both"/>
        <w:outlineLvl w:val="9"/>
        <w:rPr>
          <w:rFonts w:ascii="Arial" w:hAnsi="Arial" w:cs="Arial"/>
          <w:caps w:val="0"/>
        </w:rPr>
      </w:pPr>
    </w:p>
    <w:p w:rsidR="005227F4" w:rsidRPr="00746D13" w:rsidRDefault="005227F4" w:rsidP="005227F4">
      <w:pPr>
        <w:pStyle w:val="Zhlav"/>
        <w:numPr>
          <w:ilvl w:val="0"/>
          <w:numId w:val="18"/>
        </w:numPr>
        <w:tabs>
          <w:tab w:val="clear" w:pos="9072"/>
          <w:tab w:val="right" w:pos="4536"/>
          <w:tab w:val="right" w:pos="7088"/>
        </w:tabs>
        <w:rPr>
          <w:rFonts w:ascii="Arial" w:hAnsi="Arial" w:cs="Arial"/>
        </w:rPr>
      </w:pPr>
      <w:r w:rsidRPr="00746D13">
        <w:rPr>
          <w:rFonts w:ascii="Arial" w:hAnsi="Arial" w:cs="Arial"/>
        </w:rPr>
        <w:t xml:space="preserve">FLEXA:                                                </w:t>
      </w:r>
      <w:r w:rsidRPr="00746D13">
        <w:rPr>
          <w:rFonts w:ascii="Arial" w:hAnsi="Arial" w:cs="Arial"/>
        </w:rPr>
        <w:tab/>
        <w:t>5 000,- Kč</w:t>
      </w:r>
      <w:r w:rsidRPr="00746D13">
        <w:rPr>
          <w:rFonts w:ascii="Arial" w:hAnsi="Arial" w:cs="Arial"/>
        </w:rPr>
        <w:tab/>
      </w:r>
      <w:r w:rsidRPr="00746D13">
        <w:rPr>
          <w:rFonts w:ascii="Arial" w:hAnsi="Arial" w:cs="Arial"/>
        </w:rPr>
        <w:tab/>
      </w:r>
      <w:r w:rsidRPr="00746D13">
        <w:rPr>
          <w:rFonts w:ascii="Arial" w:hAnsi="Arial" w:cs="Arial"/>
        </w:rPr>
        <w:tab/>
      </w:r>
      <w:r w:rsidRPr="00746D13">
        <w:rPr>
          <w:rFonts w:ascii="Arial" w:hAnsi="Arial" w:cs="Arial"/>
        </w:rPr>
        <w:tab/>
      </w:r>
      <w:r w:rsidRPr="00746D13">
        <w:rPr>
          <w:rFonts w:ascii="Arial" w:hAnsi="Arial" w:cs="Arial"/>
        </w:rPr>
        <w:tab/>
      </w:r>
    </w:p>
    <w:p w:rsidR="005227F4" w:rsidRPr="00746D13" w:rsidRDefault="005227F4" w:rsidP="005227F4">
      <w:pPr>
        <w:pStyle w:val="Zhlav"/>
        <w:numPr>
          <w:ilvl w:val="0"/>
          <w:numId w:val="18"/>
        </w:numPr>
        <w:tabs>
          <w:tab w:val="clear" w:pos="9072"/>
          <w:tab w:val="right" w:pos="4536"/>
          <w:tab w:val="right" w:pos="7088"/>
        </w:tabs>
        <w:rPr>
          <w:rFonts w:ascii="Arial" w:hAnsi="Arial" w:cs="Arial"/>
        </w:rPr>
      </w:pPr>
      <w:r w:rsidRPr="00746D13">
        <w:rPr>
          <w:rFonts w:ascii="Arial" w:hAnsi="Arial" w:cs="Arial"/>
        </w:rPr>
        <w:t xml:space="preserve">Záplava/povodeň:      </w:t>
      </w:r>
      <w:r w:rsidRPr="00746D13">
        <w:rPr>
          <w:rFonts w:ascii="Arial" w:hAnsi="Arial" w:cs="Arial"/>
        </w:rPr>
        <w:tab/>
        <w:t>10 %, min. 5 000,- Kč</w:t>
      </w:r>
      <w:r w:rsidRPr="00746D13">
        <w:rPr>
          <w:rFonts w:ascii="Arial" w:hAnsi="Arial" w:cs="Arial"/>
        </w:rPr>
        <w:tab/>
      </w:r>
      <w:r w:rsidRPr="00746D13">
        <w:rPr>
          <w:rFonts w:ascii="Arial" w:hAnsi="Arial" w:cs="Arial"/>
        </w:rPr>
        <w:tab/>
      </w:r>
      <w:r w:rsidRPr="00746D13">
        <w:rPr>
          <w:rFonts w:ascii="Arial" w:hAnsi="Arial" w:cs="Arial"/>
        </w:rPr>
        <w:tab/>
      </w:r>
      <w:r w:rsidRPr="00746D13">
        <w:rPr>
          <w:rFonts w:ascii="Arial" w:hAnsi="Arial" w:cs="Arial"/>
        </w:rPr>
        <w:tab/>
      </w:r>
      <w:r w:rsidRPr="00746D13">
        <w:rPr>
          <w:rFonts w:ascii="Arial" w:hAnsi="Arial" w:cs="Arial"/>
        </w:rPr>
        <w:tab/>
      </w:r>
    </w:p>
    <w:p w:rsidR="005227F4" w:rsidRPr="00746D13" w:rsidRDefault="005227F4" w:rsidP="005227F4">
      <w:pPr>
        <w:numPr>
          <w:ilvl w:val="0"/>
          <w:numId w:val="18"/>
        </w:numPr>
        <w:tabs>
          <w:tab w:val="left" w:pos="2268"/>
          <w:tab w:val="right" w:pos="4536"/>
          <w:tab w:val="left" w:pos="5954"/>
          <w:tab w:val="right" w:pos="9072"/>
        </w:tabs>
        <w:jc w:val="both"/>
        <w:rPr>
          <w:rFonts w:ascii="Arial" w:hAnsi="Arial" w:cs="Arial"/>
        </w:rPr>
      </w:pPr>
      <w:r w:rsidRPr="00746D13">
        <w:rPr>
          <w:rFonts w:ascii="Arial" w:hAnsi="Arial" w:cs="Arial"/>
        </w:rPr>
        <w:t xml:space="preserve">ostatní pojistná nebezpečí:      </w:t>
      </w:r>
      <w:r w:rsidRPr="00746D13">
        <w:rPr>
          <w:rFonts w:ascii="Arial" w:hAnsi="Arial" w:cs="Arial"/>
        </w:rPr>
        <w:tab/>
        <w:t xml:space="preserve">5 000,- Kč </w:t>
      </w:r>
    </w:p>
    <w:p w:rsidR="005227F4" w:rsidRDefault="005227F4" w:rsidP="005227F4">
      <w:pPr>
        <w:pStyle w:val="Zpat"/>
        <w:tabs>
          <w:tab w:val="clear" w:pos="4536"/>
          <w:tab w:val="right" w:pos="2268"/>
          <w:tab w:val="left" w:pos="2410"/>
          <w:tab w:val="left" w:pos="2694"/>
          <w:tab w:val="left" w:pos="3969"/>
          <w:tab w:val="right" w:pos="5670"/>
          <w:tab w:val="left" w:pos="6663"/>
        </w:tabs>
        <w:rPr>
          <w:rFonts w:ascii="Arial" w:hAnsi="Arial" w:cs="Arial"/>
          <w:sz w:val="20"/>
        </w:rPr>
      </w:pPr>
    </w:p>
    <w:p w:rsidR="005227F4" w:rsidRDefault="005227F4" w:rsidP="005227F4">
      <w:pPr>
        <w:pStyle w:val="Zpat"/>
        <w:tabs>
          <w:tab w:val="clear" w:pos="4536"/>
          <w:tab w:val="right" w:pos="2268"/>
          <w:tab w:val="left" w:pos="2410"/>
          <w:tab w:val="left" w:pos="2694"/>
          <w:tab w:val="left" w:pos="3969"/>
          <w:tab w:val="right" w:pos="5670"/>
          <w:tab w:val="left" w:pos="6663"/>
        </w:tabs>
        <w:rPr>
          <w:rFonts w:ascii="Arial" w:hAnsi="Arial" w:cs="Arial"/>
          <w:sz w:val="20"/>
        </w:rPr>
      </w:pPr>
    </w:p>
    <w:p w:rsidR="005227F4" w:rsidRDefault="005227F4" w:rsidP="005227F4">
      <w:pPr>
        <w:pStyle w:val="Zpat"/>
        <w:tabs>
          <w:tab w:val="right" w:pos="2268"/>
          <w:tab w:val="left" w:pos="2410"/>
          <w:tab w:val="left" w:pos="3969"/>
          <w:tab w:val="right" w:pos="5670"/>
          <w:tab w:val="left" w:pos="6663"/>
        </w:tabs>
        <w:rPr>
          <w:rFonts w:ascii="Arial" w:hAnsi="Arial"/>
          <w:b/>
          <w:bCs/>
          <w:sz w:val="20"/>
        </w:rPr>
      </w:pPr>
      <w:r>
        <w:rPr>
          <w:rFonts w:ascii="Arial" w:hAnsi="Arial"/>
          <w:b/>
          <w:bCs/>
          <w:sz w:val="20"/>
        </w:rPr>
        <w:t>UJEDNÁNÍ O MAXIMÁLNÍCH ROČNÍCH LIMITECH PLNĚNÍ</w:t>
      </w:r>
    </w:p>
    <w:p w:rsidR="005227F4" w:rsidRPr="00746D13" w:rsidRDefault="005227F4" w:rsidP="005227F4">
      <w:pPr>
        <w:pStyle w:val="Zpat"/>
        <w:tabs>
          <w:tab w:val="right" w:pos="2268"/>
          <w:tab w:val="left" w:pos="2410"/>
          <w:tab w:val="left" w:pos="3969"/>
          <w:tab w:val="right" w:pos="5670"/>
          <w:tab w:val="left" w:pos="6663"/>
        </w:tabs>
        <w:spacing w:before="120" w:after="120"/>
        <w:rPr>
          <w:rFonts w:ascii="Arial" w:hAnsi="Arial"/>
          <w:sz w:val="20"/>
        </w:rPr>
      </w:pPr>
      <w:r w:rsidRPr="00746D13">
        <w:rPr>
          <w:rFonts w:ascii="Arial" w:hAnsi="Arial"/>
          <w:sz w:val="20"/>
        </w:rPr>
        <w:t>Pro níže uvedená pojistná nebezpečí se sjednávají následující roční limity plnění</w:t>
      </w:r>
      <w:r>
        <w:rPr>
          <w:rFonts w:ascii="Arial" w:hAnsi="Arial"/>
          <w:sz w:val="20"/>
        </w:rPr>
        <w:t xml:space="preserve"> (za dobu trvání pojištění, pokud je pojistné období kratší než jeden rok)</w:t>
      </w:r>
      <w:r w:rsidRPr="00746D13">
        <w:rPr>
          <w:rFonts w:ascii="Arial" w:hAnsi="Arial"/>
          <w:sz w:val="20"/>
        </w:rPr>
        <w:t xml:space="preserve">:   </w:t>
      </w:r>
    </w:p>
    <w:p w:rsidR="005227F4" w:rsidRPr="00746D13" w:rsidRDefault="005227F4" w:rsidP="005227F4">
      <w:pPr>
        <w:pStyle w:val="Zpat"/>
        <w:tabs>
          <w:tab w:val="right" w:pos="2268"/>
          <w:tab w:val="left" w:pos="2410"/>
          <w:tab w:val="left" w:pos="3969"/>
          <w:tab w:val="right" w:pos="5670"/>
          <w:tab w:val="left" w:pos="6663"/>
        </w:tabs>
        <w:rPr>
          <w:rFonts w:ascii="Arial" w:hAnsi="Arial" w:cs="Arial"/>
          <w:sz w:val="20"/>
        </w:rPr>
      </w:pPr>
      <w:r w:rsidRPr="00746D13">
        <w:rPr>
          <w:rFonts w:ascii="Arial" w:hAnsi="Arial" w:cs="Arial"/>
          <w:iCs/>
          <w:sz w:val="20"/>
        </w:rPr>
        <w:t xml:space="preserve">- společný </w:t>
      </w:r>
      <w:r w:rsidRPr="00746D13">
        <w:rPr>
          <w:rFonts w:ascii="Arial" w:hAnsi="Arial" w:cs="Arial"/>
          <w:sz w:val="20"/>
        </w:rPr>
        <w:t>roční limit plnění p</w:t>
      </w:r>
      <w:r w:rsidRPr="00746D13">
        <w:rPr>
          <w:rFonts w:ascii="Arial" w:hAnsi="Arial" w:cs="Arial"/>
          <w:iCs/>
          <w:sz w:val="20"/>
        </w:rPr>
        <w:t>ro pojistná nebezpečí</w:t>
      </w:r>
      <w:r w:rsidRPr="00746D13">
        <w:rPr>
          <w:rFonts w:ascii="Arial" w:hAnsi="Arial" w:cs="Arial"/>
          <w:sz w:val="20"/>
        </w:rPr>
        <w:tab/>
        <w:t xml:space="preserve"> Vichřice/krupobití,</w:t>
      </w:r>
      <w:r w:rsidRPr="00746D13">
        <w:rPr>
          <w:sz w:val="20"/>
        </w:rPr>
        <w:t xml:space="preserve"> </w:t>
      </w:r>
      <w:r w:rsidRPr="00746D13">
        <w:rPr>
          <w:rFonts w:ascii="Arial" w:hAnsi="Arial" w:cs="Arial"/>
          <w:sz w:val="20"/>
        </w:rPr>
        <w:t>Tíha sněhu/námrazy, Náraz vozidla,</w:t>
      </w:r>
    </w:p>
    <w:p w:rsidR="005227F4" w:rsidRPr="00746D13" w:rsidRDefault="005227F4" w:rsidP="005227F4">
      <w:pPr>
        <w:pStyle w:val="Zpat"/>
        <w:tabs>
          <w:tab w:val="clear" w:pos="9072"/>
          <w:tab w:val="right" w:pos="2268"/>
          <w:tab w:val="left" w:pos="2410"/>
          <w:tab w:val="left" w:pos="3969"/>
          <w:tab w:val="right" w:pos="5670"/>
          <w:tab w:val="left" w:pos="6663"/>
          <w:tab w:val="right" w:pos="9639"/>
        </w:tabs>
        <w:rPr>
          <w:rFonts w:ascii="Arial" w:hAnsi="Arial" w:cs="Arial"/>
          <w:sz w:val="20"/>
        </w:rPr>
      </w:pPr>
      <w:r w:rsidRPr="00746D13">
        <w:rPr>
          <w:sz w:val="20"/>
        </w:rPr>
        <w:t xml:space="preserve">  </w:t>
      </w:r>
      <w:r w:rsidRPr="00746D13">
        <w:rPr>
          <w:rFonts w:ascii="Arial" w:hAnsi="Arial" w:cs="Arial"/>
          <w:sz w:val="20"/>
        </w:rPr>
        <w:t>Pád stromu, Sesuv půdy a zřícení skal, Kouř, Aerodynamický třesk,</w:t>
      </w:r>
      <w:r w:rsidRPr="00746D13">
        <w:rPr>
          <w:sz w:val="20"/>
        </w:rPr>
        <w:t xml:space="preserve"> </w:t>
      </w:r>
      <w:r w:rsidRPr="00746D13">
        <w:rPr>
          <w:rFonts w:ascii="Arial" w:hAnsi="Arial" w:cs="Arial"/>
          <w:sz w:val="20"/>
        </w:rPr>
        <w:t>Lavina činí:</w:t>
      </w:r>
      <w:r w:rsidRPr="00746D13">
        <w:rPr>
          <w:rFonts w:ascii="Arial" w:hAnsi="Arial" w:cs="Arial"/>
          <w:sz w:val="20"/>
        </w:rPr>
        <w:tab/>
        <w:t xml:space="preserve">30 000 000,- Kč </w:t>
      </w:r>
    </w:p>
    <w:p w:rsidR="005227F4" w:rsidRPr="00746D13" w:rsidRDefault="005227F4" w:rsidP="005227F4">
      <w:pPr>
        <w:pStyle w:val="Zpat"/>
        <w:tabs>
          <w:tab w:val="clear" w:pos="9072"/>
          <w:tab w:val="right" w:pos="2268"/>
          <w:tab w:val="left" w:pos="2410"/>
          <w:tab w:val="left" w:pos="3969"/>
          <w:tab w:val="right" w:pos="5670"/>
          <w:tab w:val="left" w:pos="6663"/>
          <w:tab w:val="right" w:pos="9639"/>
        </w:tabs>
        <w:rPr>
          <w:rFonts w:ascii="Arial" w:hAnsi="Arial"/>
          <w:sz w:val="20"/>
        </w:rPr>
      </w:pPr>
      <w:r w:rsidRPr="00746D13">
        <w:rPr>
          <w:rFonts w:ascii="Arial_CE" w:hAnsi="Arial_CE"/>
          <w:iCs/>
          <w:sz w:val="20"/>
        </w:rPr>
        <w:t xml:space="preserve">- společný </w:t>
      </w:r>
      <w:r w:rsidRPr="00746D13">
        <w:rPr>
          <w:rFonts w:ascii="Arial" w:hAnsi="Arial"/>
          <w:sz w:val="20"/>
        </w:rPr>
        <w:t>roční limit plnění p</w:t>
      </w:r>
      <w:r w:rsidRPr="00746D13">
        <w:rPr>
          <w:rFonts w:ascii="Arial_CE" w:hAnsi="Arial_CE"/>
          <w:iCs/>
          <w:sz w:val="20"/>
        </w:rPr>
        <w:t>ro pojistná nebezpečí</w:t>
      </w:r>
      <w:r w:rsidRPr="00746D13">
        <w:rPr>
          <w:rFonts w:ascii="Arial" w:hAnsi="Arial"/>
          <w:sz w:val="20"/>
        </w:rPr>
        <w:tab/>
      </w:r>
      <w:r w:rsidRPr="00746D13">
        <w:rPr>
          <w:rFonts w:ascii="Arial" w:hAnsi="Arial"/>
          <w:sz w:val="20"/>
        </w:rPr>
        <w:tab/>
        <w:t>Záplava/povodeň činí:</w:t>
      </w:r>
      <w:r w:rsidRPr="00746D13">
        <w:rPr>
          <w:rFonts w:ascii="Arial" w:hAnsi="Arial"/>
          <w:sz w:val="20"/>
        </w:rPr>
        <w:tab/>
      </w:r>
      <w:r w:rsidRPr="00746D13">
        <w:rPr>
          <w:rFonts w:ascii="Arial" w:hAnsi="Arial"/>
          <w:sz w:val="20"/>
        </w:rPr>
        <w:tab/>
        <w:t>10 000 000,- Kč</w:t>
      </w:r>
    </w:p>
    <w:p w:rsidR="005227F4" w:rsidRPr="00746D13" w:rsidRDefault="005227F4" w:rsidP="005227F4">
      <w:pPr>
        <w:pStyle w:val="Zpat"/>
        <w:tabs>
          <w:tab w:val="clear" w:pos="9072"/>
          <w:tab w:val="right" w:pos="2268"/>
          <w:tab w:val="left" w:pos="2410"/>
          <w:tab w:val="left" w:pos="3969"/>
          <w:tab w:val="right" w:pos="5670"/>
          <w:tab w:val="left" w:pos="6663"/>
          <w:tab w:val="right" w:pos="9639"/>
        </w:tabs>
        <w:ind w:left="4590" w:hanging="4590"/>
        <w:rPr>
          <w:rFonts w:ascii="Arial" w:hAnsi="Arial"/>
          <w:sz w:val="20"/>
        </w:rPr>
      </w:pPr>
      <w:r w:rsidRPr="00746D13">
        <w:rPr>
          <w:rFonts w:ascii="Arial" w:hAnsi="Arial"/>
          <w:sz w:val="20"/>
        </w:rPr>
        <w:t xml:space="preserve">- </w:t>
      </w:r>
      <w:r w:rsidRPr="00746D13">
        <w:rPr>
          <w:rFonts w:ascii="Arial_CE" w:hAnsi="Arial_CE"/>
          <w:iCs/>
          <w:sz w:val="20"/>
        </w:rPr>
        <w:t xml:space="preserve">společný </w:t>
      </w:r>
      <w:r w:rsidRPr="00746D13">
        <w:rPr>
          <w:rFonts w:ascii="Arial" w:hAnsi="Arial"/>
          <w:sz w:val="20"/>
        </w:rPr>
        <w:t>roční limit plnění p</w:t>
      </w:r>
      <w:r w:rsidRPr="00746D13">
        <w:rPr>
          <w:rFonts w:ascii="Arial_CE" w:hAnsi="Arial_CE"/>
          <w:iCs/>
          <w:sz w:val="20"/>
        </w:rPr>
        <w:t>ro pojistná nebezpečí</w:t>
      </w:r>
      <w:r w:rsidRPr="00746D13">
        <w:rPr>
          <w:rFonts w:ascii="Arial" w:hAnsi="Arial"/>
          <w:sz w:val="20"/>
        </w:rPr>
        <w:tab/>
        <w:t xml:space="preserve"> Zemětřesení činí:</w:t>
      </w:r>
      <w:r w:rsidRPr="00746D13">
        <w:rPr>
          <w:rFonts w:ascii="Arial" w:hAnsi="Arial"/>
          <w:sz w:val="20"/>
        </w:rPr>
        <w:tab/>
      </w:r>
      <w:r>
        <w:rPr>
          <w:rFonts w:ascii="Arial" w:hAnsi="Arial"/>
          <w:sz w:val="20"/>
        </w:rPr>
        <w:t xml:space="preserve">                            </w:t>
      </w:r>
      <w:r w:rsidRPr="00746D13">
        <w:rPr>
          <w:rFonts w:ascii="Arial" w:hAnsi="Arial"/>
          <w:sz w:val="20"/>
        </w:rPr>
        <w:t>30 000 000,- Kč</w:t>
      </w:r>
    </w:p>
    <w:p w:rsidR="005227F4" w:rsidRPr="00746D13" w:rsidRDefault="005227F4" w:rsidP="005227F4">
      <w:pPr>
        <w:pStyle w:val="Zpat"/>
        <w:tabs>
          <w:tab w:val="clear" w:pos="9072"/>
          <w:tab w:val="right" w:pos="2268"/>
          <w:tab w:val="left" w:pos="2410"/>
          <w:tab w:val="left" w:pos="3969"/>
          <w:tab w:val="right" w:pos="5670"/>
          <w:tab w:val="left" w:pos="6663"/>
          <w:tab w:val="right" w:pos="9639"/>
        </w:tabs>
        <w:rPr>
          <w:rFonts w:ascii="Arial" w:hAnsi="Arial"/>
          <w:sz w:val="20"/>
        </w:rPr>
      </w:pPr>
      <w:r w:rsidRPr="00746D13">
        <w:rPr>
          <w:rFonts w:ascii="Arial_CE" w:hAnsi="Arial_CE"/>
          <w:iCs/>
          <w:sz w:val="20"/>
        </w:rPr>
        <w:t xml:space="preserve">- společný </w:t>
      </w:r>
      <w:r w:rsidRPr="00746D13">
        <w:rPr>
          <w:rFonts w:ascii="Arial" w:hAnsi="Arial"/>
          <w:sz w:val="20"/>
        </w:rPr>
        <w:t>roční limit plnění p</w:t>
      </w:r>
      <w:r w:rsidRPr="00746D13">
        <w:rPr>
          <w:rFonts w:ascii="Arial_CE" w:hAnsi="Arial_CE"/>
          <w:iCs/>
          <w:sz w:val="20"/>
        </w:rPr>
        <w:t>ro pojistná nebezpečí</w:t>
      </w:r>
      <w:r w:rsidRPr="00746D13">
        <w:rPr>
          <w:rFonts w:ascii="Arial" w:hAnsi="Arial"/>
          <w:sz w:val="20"/>
        </w:rPr>
        <w:tab/>
      </w:r>
      <w:r w:rsidRPr="00746D13">
        <w:rPr>
          <w:rFonts w:ascii="Arial" w:hAnsi="Arial"/>
          <w:sz w:val="20"/>
        </w:rPr>
        <w:tab/>
        <w:t>Voda z vodovodních zařízení činí:</w:t>
      </w:r>
      <w:r w:rsidRPr="00746D13">
        <w:rPr>
          <w:rFonts w:ascii="Arial" w:hAnsi="Arial"/>
          <w:sz w:val="20"/>
        </w:rPr>
        <w:tab/>
        <w:t xml:space="preserve">  10 000 000,- Kč</w:t>
      </w:r>
    </w:p>
    <w:p w:rsidR="005227F4" w:rsidRDefault="005227F4" w:rsidP="005227F4">
      <w:pPr>
        <w:pStyle w:val="Zhlav"/>
        <w:tabs>
          <w:tab w:val="clear" w:pos="4536"/>
          <w:tab w:val="clear" w:pos="9072"/>
        </w:tabs>
        <w:rPr>
          <w:rFonts w:ascii="Arial" w:hAnsi="Arial" w:cs="Arial"/>
        </w:rPr>
      </w:pPr>
    </w:p>
    <w:p w:rsidR="005227F4" w:rsidRDefault="005227F4" w:rsidP="005227F4">
      <w:pPr>
        <w:pStyle w:val="Zhlav"/>
        <w:tabs>
          <w:tab w:val="clear" w:pos="4536"/>
          <w:tab w:val="clear" w:pos="9072"/>
        </w:tabs>
        <w:rPr>
          <w:rFonts w:ascii="Arial" w:hAnsi="Arial" w:cs="Arial"/>
        </w:rPr>
      </w:pPr>
    </w:p>
    <w:p w:rsidR="005227F4" w:rsidRDefault="005227F4" w:rsidP="005227F4">
      <w:pPr>
        <w:pStyle w:val="Nadpis3"/>
      </w:pPr>
      <w:r>
        <w:t xml:space="preserve">POJISTNÁ NEBEZPEČÍ KRÁDEŽ VLOUPÁNÍM, LOUPEŽ </w:t>
      </w:r>
    </w:p>
    <w:p w:rsidR="005227F4" w:rsidRPr="0081082F" w:rsidRDefault="005227F4" w:rsidP="005227F4">
      <w:pPr>
        <w:pStyle w:val="Nadpis3"/>
        <w:rPr>
          <w:b w:val="0"/>
        </w:rPr>
      </w:pPr>
      <w:r w:rsidRPr="0081082F">
        <w:rPr>
          <w:b w:val="0"/>
        </w:rPr>
        <w:t xml:space="preserve">v rozsahu VPP PR-P 2005/01, </w:t>
      </w:r>
      <w:r w:rsidRPr="004E1061">
        <w:rPr>
          <w:b w:val="0"/>
        </w:rPr>
        <w:t>TBP 2010</w:t>
      </w:r>
    </w:p>
    <w:p w:rsidR="005227F4" w:rsidRDefault="005227F4" w:rsidP="005227F4">
      <w:pPr>
        <w:pStyle w:val="Nadpis4"/>
      </w:pPr>
      <w:r>
        <w:t xml:space="preserve">Pojištění vnitřních i vnějších stavebních součástí vlastních budov a staveb </w:t>
      </w:r>
      <w:r>
        <w:rPr>
          <w:i/>
          <w:iCs/>
        </w:rPr>
        <w:t xml:space="preserve">- </w:t>
      </w:r>
      <w:r>
        <w:t>s limitem na první riziko</w:t>
      </w:r>
    </w:p>
    <w:p w:rsidR="005227F4" w:rsidRPr="0081082F" w:rsidRDefault="005227F4" w:rsidP="005227F4">
      <w:pPr>
        <w:pStyle w:val="Zpat"/>
        <w:tabs>
          <w:tab w:val="clear" w:pos="4536"/>
          <w:tab w:val="clear" w:pos="9072"/>
          <w:tab w:val="right" w:pos="3261"/>
          <w:tab w:val="right" w:pos="5103"/>
          <w:tab w:val="right" w:pos="6521"/>
          <w:tab w:val="right" w:pos="8222"/>
          <w:tab w:val="right" w:pos="9639"/>
        </w:tabs>
        <w:jc w:val="both"/>
        <w:rPr>
          <w:rFonts w:ascii="Arial_CE" w:hAnsi="Arial_CE"/>
          <w:i/>
          <w:sz w:val="19"/>
          <w:szCs w:val="19"/>
        </w:rPr>
      </w:pPr>
      <w:r w:rsidRPr="0081082F">
        <w:rPr>
          <w:rFonts w:ascii="Arial_CE" w:hAnsi="Arial_CE"/>
          <w:i/>
          <w:sz w:val="19"/>
          <w:szCs w:val="19"/>
        </w:rPr>
        <w:t xml:space="preserve">Zvláštní ujednání: pojištění se vztahuje také na škody, které nastanou na stavebních součástech pojištěných budov a staveb. Odchylně od VPP PR-P 2005/01 jsou pojištěny také škody na vnějších stavebních součástech, způsobené jejich odcizením, popř. jejich poškozením nebo zničením, ke kterému dojde při pokusu o jejich odcizení. Odcizení v tomto případě nemusí vykazovat známky krádeže vloupáním. Stavební součásti musí být upevněny obvyklým způsobem a při jejich odcizení musí pachatel prokazatelně použít násilí (násilím překonat konstrukční upevnění – demontáž není možné provést běžně dostupnými prostředky). Všechny takto vzniklé škody musí být nahlášeny Policii ČR. Pojištění se nevztahuje na škody, které způsobí pojistník, pojištěný, osoby za něho jednající nebo jeho zaměstnanci. </w:t>
      </w:r>
    </w:p>
    <w:p w:rsidR="005227F4" w:rsidRDefault="005227F4" w:rsidP="005227F4">
      <w:pPr>
        <w:pStyle w:val="Zpat"/>
        <w:tabs>
          <w:tab w:val="clear" w:pos="4536"/>
          <w:tab w:val="clear" w:pos="9072"/>
          <w:tab w:val="right" w:pos="3261"/>
          <w:tab w:val="right" w:pos="5103"/>
          <w:tab w:val="right" w:pos="6521"/>
          <w:tab w:val="right" w:pos="8222"/>
          <w:tab w:val="right" w:pos="9639"/>
        </w:tabs>
        <w:spacing w:before="60"/>
        <w:rPr>
          <w:rFonts w:ascii="Arial_CE" w:hAnsi="Arial_CE"/>
          <w:iCs/>
          <w:sz w:val="20"/>
        </w:rPr>
      </w:pPr>
      <w:r>
        <w:rPr>
          <w:rFonts w:ascii="Arial_CE" w:hAnsi="Arial_CE"/>
          <w:iCs/>
          <w:sz w:val="20"/>
        </w:rPr>
        <w:t>Pojistná částka:</w:t>
      </w:r>
      <w:r>
        <w:rPr>
          <w:rFonts w:ascii="Arial_CE" w:hAnsi="Arial_CE"/>
          <w:iCs/>
          <w:sz w:val="20"/>
        </w:rPr>
        <w:tab/>
        <w:t>100 000,- Kč</w:t>
      </w:r>
      <w:r>
        <w:rPr>
          <w:rFonts w:ascii="Arial_CE" w:hAnsi="Arial_CE"/>
          <w:iCs/>
          <w:sz w:val="20"/>
        </w:rPr>
        <w:tab/>
        <w:t>Spoluúčast:</w:t>
      </w:r>
      <w:r>
        <w:rPr>
          <w:rFonts w:ascii="Arial_CE" w:hAnsi="Arial_CE"/>
          <w:iCs/>
          <w:sz w:val="20"/>
        </w:rPr>
        <w:tab/>
        <w:t>1 000,- Kč</w:t>
      </w:r>
      <w:r>
        <w:rPr>
          <w:rFonts w:ascii="Arial_CE" w:hAnsi="Arial_CE"/>
          <w:iCs/>
          <w:sz w:val="20"/>
        </w:rPr>
        <w:tab/>
        <w:t>Pojistné:</w:t>
      </w:r>
      <w:r>
        <w:rPr>
          <w:rFonts w:ascii="Arial_CE" w:hAnsi="Arial_CE"/>
          <w:iCs/>
          <w:sz w:val="20"/>
        </w:rPr>
        <w:tab/>
        <w:t>2 000,- Kč</w:t>
      </w:r>
    </w:p>
    <w:p w:rsidR="005227F4" w:rsidRPr="004E1061" w:rsidRDefault="005227F4" w:rsidP="005227F4">
      <w:pPr>
        <w:pStyle w:val="Nadpis4"/>
      </w:pPr>
      <w:r w:rsidRPr="004E1061">
        <w:t>Pojištění souboru vlastního a cizího technického a obchodního vybavení provozu a zásob - s limitem na první riziko</w:t>
      </w:r>
    </w:p>
    <w:p w:rsidR="005227F4" w:rsidRPr="004E1061" w:rsidRDefault="005227F4" w:rsidP="005227F4">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4E1061">
        <w:rPr>
          <w:rFonts w:ascii="Arial_CE" w:hAnsi="Arial_CE"/>
          <w:iCs/>
          <w:sz w:val="20"/>
        </w:rPr>
        <w:t>Pojistná částka:</w:t>
      </w:r>
      <w:r w:rsidRPr="004E1061">
        <w:rPr>
          <w:rFonts w:ascii="Arial_CE" w:hAnsi="Arial_CE"/>
          <w:iCs/>
          <w:sz w:val="20"/>
        </w:rPr>
        <w:tab/>
        <w:t>250 000,- Kč</w:t>
      </w:r>
      <w:r w:rsidRPr="004E1061">
        <w:rPr>
          <w:rFonts w:ascii="Arial_CE" w:hAnsi="Arial_CE"/>
          <w:iCs/>
          <w:sz w:val="20"/>
        </w:rPr>
        <w:tab/>
        <w:t>Spoluúčast:</w:t>
      </w:r>
      <w:r w:rsidRPr="004E1061">
        <w:rPr>
          <w:rFonts w:ascii="Arial_CE" w:hAnsi="Arial_CE"/>
          <w:iCs/>
          <w:sz w:val="20"/>
        </w:rPr>
        <w:tab/>
        <w:t>1 000,- Kč</w:t>
      </w:r>
      <w:r w:rsidRPr="004E1061">
        <w:rPr>
          <w:rFonts w:ascii="Arial_CE" w:hAnsi="Arial_CE"/>
          <w:iCs/>
          <w:sz w:val="20"/>
        </w:rPr>
        <w:tab/>
        <w:t>Pojistné:</w:t>
      </w:r>
      <w:r w:rsidRPr="004E1061">
        <w:rPr>
          <w:rFonts w:ascii="Arial_CE" w:hAnsi="Arial_CE"/>
          <w:iCs/>
          <w:sz w:val="20"/>
        </w:rPr>
        <w:tab/>
        <w:t>2 250,- Kč</w:t>
      </w:r>
    </w:p>
    <w:p w:rsidR="005227F4" w:rsidRPr="004E1061" w:rsidRDefault="005227F4" w:rsidP="005227F4">
      <w:pPr>
        <w:pStyle w:val="Nadpis4"/>
      </w:pPr>
      <w:r w:rsidRPr="004E1061">
        <w:t>Pojištění vlastních</w:t>
      </w:r>
      <w:r>
        <w:t xml:space="preserve"> a cizích</w:t>
      </w:r>
      <w:r w:rsidRPr="004E1061">
        <w:t xml:space="preserve"> peněz a cenností </w:t>
      </w:r>
      <w:r w:rsidRPr="004E1061">
        <w:rPr>
          <w:i/>
          <w:iCs/>
        </w:rPr>
        <w:t xml:space="preserve">– </w:t>
      </w:r>
      <w:r w:rsidRPr="004E1061">
        <w:t>s limitem na první riziko</w:t>
      </w:r>
    </w:p>
    <w:p w:rsidR="005227F4" w:rsidRPr="004E1061" w:rsidRDefault="005227F4" w:rsidP="005227F4">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4E1061">
        <w:rPr>
          <w:rFonts w:ascii="Arial_CE" w:hAnsi="Arial_CE"/>
          <w:iCs/>
          <w:sz w:val="20"/>
        </w:rPr>
        <w:t>Pojistná částka:</w:t>
      </w:r>
      <w:r w:rsidRPr="004E1061">
        <w:rPr>
          <w:rFonts w:ascii="Arial_CE" w:hAnsi="Arial_CE"/>
          <w:iCs/>
          <w:sz w:val="20"/>
        </w:rPr>
        <w:tab/>
      </w:r>
      <w:r>
        <w:rPr>
          <w:rFonts w:ascii="Arial_CE" w:hAnsi="Arial_CE"/>
          <w:iCs/>
          <w:sz w:val="20"/>
        </w:rPr>
        <w:t>200</w:t>
      </w:r>
      <w:r w:rsidRPr="004E1061">
        <w:rPr>
          <w:rFonts w:ascii="Arial_CE" w:hAnsi="Arial_CE"/>
          <w:iCs/>
          <w:sz w:val="20"/>
        </w:rPr>
        <w:t xml:space="preserve"> 000,- Kč</w:t>
      </w:r>
      <w:r w:rsidRPr="004E1061">
        <w:rPr>
          <w:rFonts w:ascii="Arial_CE" w:hAnsi="Arial_CE"/>
          <w:iCs/>
          <w:sz w:val="20"/>
        </w:rPr>
        <w:tab/>
        <w:t>Spoluúčast:</w:t>
      </w:r>
      <w:r w:rsidRPr="004E1061">
        <w:rPr>
          <w:rFonts w:ascii="Arial_CE" w:hAnsi="Arial_CE"/>
          <w:iCs/>
          <w:sz w:val="20"/>
        </w:rPr>
        <w:tab/>
        <w:t>1 000,- Kč</w:t>
      </w:r>
      <w:r w:rsidRPr="004E1061">
        <w:rPr>
          <w:rFonts w:ascii="Arial_CE" w:hAnsi="Arial_CE"/>
          <w:iCs/>
          <w:sz w:val="20"/>
        </w:rPr>
        <w:tab/>
        <w:t>Pojistné:</w:t>
      </w:r>
      <w:r w:rsidRPr="004E1061">
        <w:rPr>
          <w:rFonts w:ascii="Arial_CE" w:hAnsi="Arial_CE"/>
          <w:iCs/>
          <w:sz w:val="20"/>
        </w:rPr>
        <w:tab/>
      </w:r>
      <w:r>
        <w:rPr>
          <w:rFonts w:ascii="Arial_CE" w:hAnsi="Arial_CE"/>
          <w:iCs/>
          <w:sz w:val="20"/>
        </w:rPr>
        <w:t>2 000</w:t>
      </w:r>
      <w:r w:rsidRPr="004E1061">
        <w:rPr>
          <w:rFonts w:ascii="Arial_CE" w:hAnsi="Arial_CE"/>
          <w:iCs/>
          <w:sz w:val="20"/>
        </w:rPr>
        <w:t>,- Kč</w:t>
      </w:r>
    </w:p>
    <w:p w:rsidR="005227F4" w:rsidRPr="004E1061" w:rsidRDefault="005227F4" w:rsidP="005227F4">
      <w:pPr>
        <w:pStyle w:val="Nadpis4"/>
      </w:pPr>
      <w:r w:rsidRPr="004E1061">
        <w:tab/>
        <w:t>Celkové pojistné za pojistná nebezpečí krádež vloupáním, loupež:</w:t>
      </w:r>
      <w:r w:rsidRPr="004E1061">
        <w:tab/>
      </w:r>
      <w:r>
        <w:t>6 250</w:t>
      </w:r>
      <w:r w:rsidRPr="004E1061">
        <w:t>,- Kč</w:t>
      </w:r>
    </w:p>
    <w:p w:rsidR="008B1228" w:rsidRDefault="008B1228">
      <w:pPr>
        <w:tabs>
          <w:tab w:val="left" w:pos="3119"/>
          <w:tab w:val="right" w:pos="6237"/>
        </w:tabs>
        <w:rPr>
          <w:rFonts w:ascii="Arial_CE" w:hAnsi="Arial_CE"/>
          <w:b/>
        </w:rPr>
      </w:pPr>
    </w:p>
    <w:p w:rsidR="005227F4" w:rsidRDefault="005227F4">
      <w:pPr>
        <w:tabs>
          <w:tab w:val="left" w:pos="3119"/>
          <w:tab w:val="right" w:pos="6237"/>
        </w:tabs>
        <w:rPr>
          <w:rFonts w:ascii="Arial_CE" w:hAnsi="Arial_CE"/>
          <w:b/>
        </w:rPr>
      </w:pPr>
    </w:p>
    <w:p w:rsidR="005227F4" w:rsidRDefault="005227F4" w:rsidP="005227F4">
      <w:pPr>
        <w:pStyle w:val="Nadpis2"/>
      </w:pPr>
      <w:r>
        <w:t>REKAPITULACE POJISTNÝCH NEBEZPEČÍ A POJISTNÉHO</w:t>
      </w:r>
      <w:r>
        <w:tab/>
      </w:r>
    </w:p>
    <w:p w:rsidR="005227F4" w:rsidRDefault="005227F4" w:rsidP="005227F4">
      <w:pPr>
        <w:pStyle w:val="Zpat"/>
        <w:tabs>
          <w:tab w:val="clear" w:pos="4536"/>
          <w:tab w:val="left" w:pos="-1985"/>
        </w:tabs>
        <w:spacing w:before="120" w:after="120"/>
        <w:rPr>
          <w:rFonts w:ascii="Arial" w:hAnsi="Arial"/>
          <w:b/>
          <w:sz w:val="20"/>
        </w:rPr>
      </w:pPr>
      <w:r>
        <w:rPr>
          <w:rFonts w:ascii="Arial" w:hAnsi="Arial"/>
          <w:b/>
          <w:sz w:val="20"/>
        </w:rPr>
        <w:t>Pojistné nebezpečí</w:t>
      </w:r>
      <w:r>
        <w:rPr>
          <w:rFonts w:ascii="Arial" w:hAnsi="Arial"/>
          <w:b/>
          <w:sz w:val="20"/>
        </w:rPr>
        <w:tab/>
        <w:t>Pojistné</w:t>
      </w:r>
    </w:p>
    <w:p w:rsidR="005227F4" w:rsidRDefault="005227F4" w:rsidP="005227F4">
      <w:pPr>
        <w:pStyle w:val="Zpat"/>
        <w:pBdr>
          <w:top w:val="single" w:sz="4" w:space="1" w:color="auto"/>
        </w:pBdr>
        <w:tabs>
          <w:tab w:val="clear" w:pos="4536"/>
          <w:tab w:val="clear" w:pos="9072"/>
          <w:tab w:val="left" w:pos="-1985"/>
          <w:tab w:val="right" w:pos="9639"/>
        </w:tabs>
        <w:rPr>
          <w:rFonts w:ascii="Arial" w:hAnsi="Arial"/>
          <w:sz w:val="20"/>
        </w:rPr>
      </w:pPr>
      <w:r>
        <w:rPr>
          <w:rFonts w:ascii="Arial" w:hAnsi="Arial"/>
          <w:sz w:val="20"/>
        </w:rPr>
        <w:t xml:space="preserve">Živelní pojištění </w:t>
      </w:r>
      <w:r>
        <w:rPr>
          <w:rFonts w:ascii="Arial" w:hAnsi="Arial"/>
          <w:sz w:val="20"/>
        </w:rPr>
        <w:tab/>
      </w:r>
      <w:r w:rsidRPr="00422BD2">
        <w:rPr>
          <w:rFonts w:ascii="Arial" w:hAnsi="Arial"/>
          <w:sz w:val="20"/>
        </w:rPr>
        <w:t>27 9</w:t>
      </w:r>
      <w:r>
        <w:rPr>
          <w:rFonts w:ascii="Arial" w:hAnsi="Arial"/>
          <w:sz w:val="20"/>
        </w:rPr>
        <w:t>58</w:t>
      </w:r>
      <w:r w:rsidRPr="00422BD2">
        <w:rPr>
          <w:rFonts w:ascii="Arial" w:hAnsi="Arial"/>
          <w:sz w:val="20"/>
        </w:rPr>
        <w:t>,- Kč</w:t>
      </w:r>
    </w:p>
    <w:p w:rsidR="005227F4" w:rsidRDefault="005227F4" w:rsidP="005227F4">
      <w:pPr>
        <w:pStyle w:val="Zpat"/>
        <w:tabs>
          <w:tab w:val="clear" w:pos="4536"/>
          <w:tab w:val="clear" w:pos="9072"/>
          <w:tab w:val="left" w:pos="-1985"/>
          <w:tab w:val="right" w:pos="9639"/>
        </w:tabs>
        <w:rPr>
          <w:rFonts w:ascii="Arial" w:hAnsi="Arial"/>
          <w:sz w:val="20"/>
        </w:rPr>
      </w:pPr>
      <w:r>
        <w:rPr>
          <w:rFonts w:ascii="Arial" w:hAnsi="Arial"/>
          <w:sz w:val="20"/>
        </w:rPr>
        <w:t>Pojištění nákladů</w:t>
      </w:r>
      <w:r>
        <w:rPr>
          <w:rFonts w:ascii="Arial" w:hAnsi="Arial"/>
          <w:sz w:val="20"/>
        </w:rPr>
        <w:tab/>
        <w:t>303,- Kč</w:t>
      </w:r>
    </w:p>
    <w:p w:rsidR="005227F4" w:rsidRDefault="005227F4" w:rsidP="005227F4">
      <w:pPr>
        <w:pStyle w:val="Zpat"/>
        <w:tabs>
          <w:tab w:val="clear" w:pos="4536"/>
          <w:tab w:val="clear" w:pos="9072"/>
          <w:tab w:val="left" w:pos="-1985"/>
          <w:tab w:val="right" w:pos="9639"/>
        </w:tabs>
        <w:rPr>
          <w:rFonts w:ascii="Arial" w:hAnsi="Arial"/>
          <w:sz w:val="20"/>
        </w:rPr>
      </w:pPr>
      <w:r>
        <w:rPr>
          <w:rFonts w:ascii="Arial" w:hAnsi="Arial"/>
          <w:sz w:val="20"/>
        </w:rPr>
        <w:t>Atmosférické srážky</w:t>
      </w:r>
      <w:r>
        <w:rPr>
          <w:rFonts w:ascii="Arial" w:hAnsi="Arial"/>
          <w:sz w:val="20"/>
        </w:rPr>
        <w:tab/>
      </w:r>
      <w:r w:rsidRPr="00422BD2">
        <w:rPr>
          <w:rFonts w:ascii="Arial" w:hAnsi="Arial"/>
          <w:sz w:val="20"/>
        </w:rPr>
        <w:t>3 000,- Kč</w:t>
      </w:r>
    </w:p>
    <w:p w:rsidR="005227F4" w:rsidRDefault="005227F4" w:rsidP="005227F4">
      <w:pPr>
        <w:pStyle w:val="Zpat"/>
        <w:tabs>
          <w:tab w:val="clear" w:pos="4536"/>
          <w:tab w:val="clear" w:pos="9072"/>
          <w:tab w:val="left" w:pos="-1985"/>
          <w:tab w:val="right" w:pos="9639"/>
        </w:tabs>
        <w:rPr>
          <w:rFonts w:ascii="Arial" w:hAnsi="Arial"/>
          <w:sz w:val="20"/>
        </w:rPr>
      </w:pPr>
      <w:r>
        <w:rPr>
          <w:rFonts w:ascii="Arial" w:hAnsi="Arial"/>
          <w:sz w:val="20"/>
        </w:rPr>
        <w:t xml:space="preserve">Krádež vloupáním, loupež </w:t>
      </w:r>
      <w:r>
        <w:rPr>
          <w:rFonts w:ascii="Arial" w:hAnsi="Arial"/>
          <w:sz w:val="20"/>
        </w:rPr>
        <w:tab/>
      </w:r>
      <w:r w:rsidR="00C94086">
        <w:rPr>
          <w:rFonts w:ascii="Arial" w:hAnsi="Arial"/>
          <w:sz w:val="20"/>
        </w:rPr>
        <w:t>6 250</w:t>
      </w:r>
      <w:r w:rsidRPr="00194F3F">
        <w:rPr>
          <w:rFonts w:ascii="Arial" w:hAnsi="Arial"/>
          <w:sz w:val="20"/>
        </w:rPr>
        <w:t>,- Kč</w:t>
      </w:r>
    </w:p>
    <w:p w:rsidR="005227F4" w:rsidRDefault="005227F4" w:rsidP="005227F4">
      <w:pPr>
        <w:pStyle w:val="Zpat"/>
        <w:tabs>
          <w:tab w:val="clear" w:pos="4536"/>
          <w:tab w:val="clear" w:pos="9072"/>
          <w:tab w:val="left" w:pos="-1985"/>
          <w:tab w:val="right" w:pos="9639"/>
        </w:tabs>
        <w:rPr>
          <w:rFonts w:ascii="Arial" w:hAnsi="Arial"/>
          <w:sz w:val="20"/>
        </w:rPr>
      </w:pPr>
      <w:r>
        <w:rPr>
          <w:rFonts w:ascii="Arial" w:hAnsi="Arial"/>
          <w:sz w:val="20"/>
        </w:rPr>
        <w:t xml:space="preserve">Vandalismus </w:t>
      </w:r>
      <w:r>
        <w:rPr>
          <w:rFonts w:ascii="Arial" w:hAnsi="Arial"/>
          <w:sz w:val="20"/>
        </w:rPr>
        <w:tab/>
        <w:t>2 352,- Kč</w:t>
      </w:r>
    </w:p>
    <w:p w:rsidR="005227F4" w:rsidRDefault="005227F4" w:rsidP="005227F4">
      <w:pPr>
        <w:pStyle w:val="Zpat"/>
        <w:tabs>
          <w:tab w:val="clear" w:pos="4536"/>
          <w:tab w:val="clear" w:pos="9072"/>
          <w:tab w:val="left" w:pos="-1985"/>
          <w:tab w:val="right" w:pos="9639"/>
        </w:tabs>
        <w:rPr>
          <w:rFonts w:ascii="Arial" w:hAnsi="Arial"/>
          <w:sz w:val="20"/>
        </w:rPr>
      </w:pPr>
      <w:r>
        <w:rPr>
          <w:rFonts w:ascii="Arial" w:hAnsi="Arial"/>
          <w:sz w:val="20"/>
        </w:rPr>
        <w:t>Nepřímý úder blesku</w:t>
      </w:r>
      <w:r>
        <w:rPr>
          <w:rFonts w:ascii="Arial" w:hAnsi="Arial"/>
          <w:sz w:val="20"/>
        </w:rPr>
        <w:tab/>
        <w:t>600,- Kč</w:t>
      </w:r>
    </w:p>
    <w:p w:rsidR="005227F4" w:rsidRDefault="005227F4" w:rsidP="005227F4">
      <w:pPr>
        <w:pStyle w:val="Zpat"/>
        <w:pBdr>
          <w:bottom w:val="single" w:sz="4" w:space="1" w:color="auto"/>
        </w:pBdr>
        <w:tabs>
          <w:tab w:val="clear" w:pos="4536"/>
          <w:tab w:val="clear" w:pos="9072"/>
          <w:tab w:val="left" w:pos="-1985"/>
          <w:tab w:val="right" w:pos="9639"/>
        </w:tabs>
        <w:rPr>
          <w:rFonts w:ascii="Arial" w:hAnsi="Arial"/>
          <w:sz w:val="20"/>
        </w:rPr>
      </w:pPr>
      <w:r>
        <w:rPr>
          <w:rFonts w:ascii="Arial" w:hAnsi="Arial"/>
          <w:sz w:val="20"/>
        </w:rPr>
        <w:t>Odpovědnost za škodu z provozní činnosti</w:t>
      </w:r>
      <w:r>
        <w:rPr>
          <w:rFonts w:ascii="Arial" w:hAnsi="Arial"/>
          <w:sz w:val="20"/>
        </w:rPr>
        <w:tab/>
        <w:t>28 958,- Kč</w:t>
      </w:r>
    </w:p>
    <w:p w:rsidR="005227F4" w:rsidRPr="00C94086" w:rsidRDefault="005227F4" w:rsidP="005227F4">
      <w:pPr>
        <w:pStyle w:val="Zpat"/>
        <w:tabs>
          <w:tab w:val="clear" w:pos="4536"/>
          <w:tab w:val="clear" w:pos="9072"/>
          <w:tab w:val="left" w:pos="-1985"/>
          <w:tab w:val="right" w:pos="7938"/>
          <w:tab w:val="right" w:pos="9639"/>
        </w:tabs>
        <w:spacing w:before="120"/>
        <w:rPr>
          <w:rFonts w:ascii="Arial_CE" w:hAnsi="Arial_CE"/>
          <w:b/>
          <w:bCs/>
          <w:sz w:val="20"/>
        </w:rPr>
      </w:pPr>
      <w:r>
        <w:rPr>
          <w:rFonts w:ascii="Arial_CE" w:hAnsi="Arial_CE"/>
          <w:bCs/>
          <w:sz w:val="20"/>
        </w:rPr>
        <w:tab/>
      </w:r>
      <w:r w:rsidRPr="00C94086">
        <w:rPr>
          <w:rFonts w:ascii="Arial_CE" w:hAnsi="Arial_CE"/>
          <w:b/>
          <w:bCs/>
          <w:sz w:val="20"/>
        </w:rPr>
        <w:t>Celkové roční pojistné:</w:t>
      </w:r>
      <w:r w:rsidRPr="00C94086">
        <w:rPr>
          <w:rFonts w:ascii="Arial_CE" w:hAnsi="Arial_CE"/>
          <w:b/>
          <w:bCs/>
          <w:sz w:val="20"/>
        </w:rPr>
        <w:tab/>
      </w:r>
      <w:r w:rsidR="00C94086" w:rsidRPr="00C94086">
        <w:rPr>
          <w:rFonts w:ascii="Arial_CE" w:hAnsi="Arial_CE"/>
          <w:b/>
          <w:bCs/>
          <w:sz w:val="20"/>
        </w:rPr>
        <w:t>69 421</w:t>
      </w:r>
      <w:r w:rsidRPr="00C94086">
        <w:rPr>
          <w:rFonts w:ascii="Arial_CE" w:hAnsi="Arial_CE"/>
          <w:b/>
          <w:bCs/>
          <w:sz w:val="20"/>
        </w:rPr>
        <w:t>,- Kč</w:t>
      </w:r>
    </w:p>
    <w:p w:rsidR="00C94086" w:rsidRDefault="00C94086" w:rsidP="00D75559">
      <w:pPr>
        <w:pStyle w:val="Nadpis3"/>
      </w:pPr>
    </w:p>
    <w:p w:rsidR="00C94086" w:rsidRDefault="00C94086" w:rsidP="00D75559">
      <w:pPr>
        <w:pStyle w:val="Nadpis3"/>
      </w:pPr>
    </w:p>
    <w:p w:rsidR="00157CA1" w:rsidRDefault="00157CA1" w:rsidP="00D75559">
      <w:pPr>
        <w:pStyle w:val="Nadpis3"/>
      </w:pPr>
      <w:r>
        <w:t>SPLATNOST POJISTNÉHO A ZPŮSOB PLACENÍ</w:t>
      </w:r>
    </w:p>
    <w:p w:rsidR="008652EE" w:rsidRDefault="00157CA1">
      <w:pPr>
        <w:tabs>
          <w:tab w:val="left" w:pos="3119"/>
          <w:tab w:val="right" w:pos="6237"/>
        </w:tabs>
        <w:jc w:val="both"/>
        <w:rPr>
          <w:rFonts w:ascii="Arial" w:hAnsi="Arial"/>
        </w:rPr>
      </w:pPr>
      <w:r w:rsidRPr="00194F3F">
        <w:rPr>
          <w:rFonts w:ascii="Arial" w:hAnsi="Arial"/>
        </w:rPr>
        <w:t xml:space="preserve">Pojistné </w:t>
      </w:r>
      <w:r w:rsidR="00194F3F" w:rsidRPr="00194F3F">
        <w:rPr>
          <w:rFonts w:ascii="Arial" w:hAnsi="Arial"/>
        </w:rPr>
        <w:t>se sjedná</w:t>
      </w:r>
      <w:r w:rsidR="00B360E0">
        <w:rPr>
          <w:rFonts w:ascii="Arial" w:hAnsi="Arial"/>
        </w:rPr>
        <w:t xml:space="preserve">vá jako </w:t>
      </w:r>
      <w:r w:rsidR="00515FC9">
        <w:rPr>
          <w:rFonts w:ascii="Arial" w:hAnsi="Arial"/>
        </w:rPr>
        <w:t>běžné</w:t>
      </w:r>
      <w:r w:rsidR="00B360E0">
        <w:rPr>
          <w:rFonts w:ascii="Arial" w:hAnsi="Arial"/>
        </w:rPr>
        <w:t xml:space="preserve"> a je splatné </w:t>
      </w:r>
      <w:r w:rsidR="00C94086">
        <w:rPr>
          <w:rFonts w:ascii="Arial" w:hAnsi="Arial"/>
        </w:rPr>
        <w:t>ve dvou splátkách k </w:t>
      </w:r>
      <w:r w:rsidR="000E665F">
        <w:rPr>
          <w:rFonts w:ascii="Arial" w:hAnsi="Arial"/>
        </w:rPr>
        <w:t>1.1. a 1.7.</w:t>
      </w:r>
      <w:r w:rsidR="001D396C">
        <w:rPr>
          <w:rFonts w:ascii="Arial" w:hAnsi="Arial"/>
        </w:rPr>
        <w:t xml:space="preserve"> Výše splátky činí </w:t>
      </w:r>
      <w:r w:rsidR="00C94086">
        <w:rPr>
          <w:rFonts w:ascii="Arial" w:hAnsi="Arial"/>
          <w:b/>
        </w:rPr>
        <w:t>34 711</w:t>
      </w:r>
      <w:r w:rsidR="001D396C" w:rsidRPr="008652EE">
        <w:rPr>
          <w:rFonts w:ascii="Arial" w:hAnsi="Arial"/>
          <w:b/>
        </w:rPr>
        <w:t>,- Kč</w:t>
      </w:r>
      <w:r w:rsidR="006E32CB">
        <w:rPr>
          <w:rFonts w:ascii="Arial" w:hAnsi="Arial"/>
          <w:b/>
        </w:rPr>
        <w:t xml:space="preserve"> </w:t>
      </w:r>
      <w:r w:rsidR="006E32CB">
        <w:rPr>
          <w:rFonts w:ascii="Arial" w:hAnsi="Arial"/>
        </w:rPr>
        <w:t>(pojistitel neuplatňuje přirážku za področní způsob platby)</w:t>
      </w:r>
      <w:r w:rsidR="001D396C">
        <w:rPr>
          <w:rFonts w:ascii="Arial" w:hAnsi="Arial"/>
        </w:rPr>
        <w:t xml:space="preserve">. </w:t>
      </w:r>
      <w:r w:rsidR="00B360E0">
        <w:rPr>
          <w:rFonts w:ascii="Arial" w:hAnsi="Arial"/>
        </w:rPr>
        <w:t xml:space="preserve">Platba bude provedena </w:t>
      </w:r>
      <w:r w:rsidRPr="006272A6">
        <w:rPr>
          <w:rFonts w:ascii="Arial" w:hAnsi="Arial"/>
        </w:rPr>
        <w:t>na účet</w:t>
      </w:r>
      <w:r w:rsidR="003B4961">
        <w:rPr>
          <w:rFonts w:ascii="Arial" w:hAnsi="Arial"/>
          <w:color w:val="FF0000"/>
        </w:rPr>
        <w:t xml:space="preserve"> </w:t>
      </w:r>
      <w:r w:rsidRPr="00B360E0">
        <w:rPr>
          <w:rFonts w:ascii="Arial" w:hAnsi="Arial"/>
        </w:rPr>
        <w:t>zplnomocněného makléře</w:t>
      </w:r>
      <w:r w:rsidR="00B360E0" w:rsidRPr="00B360E0">
        <w:rPr>
          <w:rFonts w:ascii="Arial" w:hAnsi="Arial"/>
        </w:rPr>
        <w:t>.</w:t>
      </w:r>
    </w:p>
    <w:p w:rsidR="00C94086" w:rsidRPr="00C94086" w:rsidRDefault="00C94086">
      <w:pPr>
        <w:tabs>
          <w:tab w:val="left" w:pos="3119"/>
          <w:tab w:val="right" w:pos="6237"/>
        </w:tabs>
        <w:jc w:val="both"/>
        <w:rPr>
          <w:rFonts w:ascii="Arial" w:hAnsi="Arial"/>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515FC9" w:rsidRDefault="00515FC9" w:rsidP="00515FC9">
      <w:pPr>
        <w:pStyle w:val="Zpat"/>
        <w:widowControl w:val="0"/>
        <w:tabs>
          <w:tab w:val="clear" w:pos="4536"/>
          <w:tab w:val="clear" w:pos="9072"/>
        </w:tabs>
        <w:spacing w:after="120"/>
        <w:jc w:val="both"/>
        <w:rPr>
          <w:rFonts w:ascii="Arial" w:hAnsi="Arial" w:cs="Arial"/>
          <w:sz w:val="20"/>
        </w:rPr>
      </w:pPr>
      <w:r>
        <w:rPr>
          <w:rFonts w:ascii="Arial" w:hAnsi="Arial" w:cs="Arial"/>
          <w:sz w:val="20"/>
        </w:rPr>
        <w:t xml:space="preserve">II.   </w:t>
      </w:r>
      <w:r>
        <w:rPr>
          <w:rFonts w:ascii="Arial" w:hAnsi="Arial" w:cs="Arial"/>
          <w:sz w:val="20"/>
        </w:rPr>
        <w:tab/>
        <w:t>Ostatní články pojistné smlouvy se nemění.</w:t>
      </w:r>
    </w:p>
    <w:p w:rsidR="00515FC9" w:rsidRDefault="00515FC9" w:rsidP="00515FC9">
      <w:pPr>
        <w:pStyle w:val="Zkladntext"/>
        <w:widowControl w:val="0"/>
        <w:jc w:val="left"/>
        <w:rPr>
          <w:rFonts w:cs="Arial"/>
        </w:rPr>
      </w:pPr>
      <w:r>
        <w:rPr>
          <w:rFonts w:cs="Arial"/>
        </w:rPr>
        <w:t xml:space="preserve">III.    </w:t>
      </w:r>
      <w:r>
        <w:rPr>
          <w:rFonts w:cs="Arial"/>
        </w:rPr>
        <w:tab/>
      </w:r>
      <w:r w:rsidRPr="000D0CEE">
        <w:rPr>
          <w:rFonts w:cs="Arial"/>
        </w:rPr>
        <w:t>Tento dodatek vstupuje v účinnost</w:t>
      </w:r>
      <w:r w:rsidR="00C94086">
        <w:rPr>
          <w:rFonts w:cs="Arial"/>
        </w:rPr>
        <w:t xml:space="preserve"> dne 10. 1. 2015</w:t>
      </w:r>
      <w:r w:rsidRPr="000D0CEE">
        <w:rPr>
          <w:rFonts w:cs="Arial"/>
        </w:rPr>
        <w:t xml:space="preserve"> a v platnost dnem podpisu obou smluvních</w:t>
      </w:r>
    </w:p>
    <w:p w:rsidR="00515FC9" w:rsidRDefault="00515FC9" w:rsidP="00515FC9">
      <w:pPr>
        <w:pStyle w:val="Zkladntext"/>
        <w:widowControl w:val="0"/>
        <w:jc w:val="left"/>
        <w:rPr>
          <w:rFonts w:cs="Arial"/>
        </w:rPr>
      </w:pPr>
      <w:r>
        <w:rPr>
          <w:rFonts w:cs="Arial"/>
        </w:rPr>
        <w:t xml:space="preserve">            </w:t>
      </w:r>
      <w:r w:rsidRPr="000D0CEE">
        <w:rPr>
          <w:rFonts w:cs="Arial"/>
        </w:rPr>
        <w:t xml:space="preserve"> stran (pojistitele a pojistníka/pojištěného).</w:t>
      </w:r>
    </w:p>
    <w:p w:rsidR="00C94086" w:rsidRDefault="00C94086" w:rsidP="00515FC9">
      <w:pPr>
        <w:pStyle w:val="Zkladntext"/>
        <w:widowControl w:val="0"/>
        <w:jc w:val="left"/>
        <w:rPr>
          <w:rFonts w:cs="Arial"/>
        </w:rPr>
      </w:pPr>
    </w:p>
    <w:p w:rsidR="00C94086" w:rsidRPr="00C94086" w:rsidRDefault="00C94086" w:rsidP="00C94086">
      <w:pPr>
        <w:pStyle w:val="Zkladntext"/>
        <w:widowControl w:val="0"/>
        <w:rPr>
          <w:rFonts w:cs="Arial"/>
        </w:rPr>
      </w:pPr>
      <w:r>
        <w:rPr>
          <w:rFonts w:cs="Arial"/>
        </w:rPr>
        <w:t>IV.</w:t>
      </w:r>
      <w:r>
        <w:rPr>
          <w:rFonts w:cs="Arial"/>
        </w:rPr>
        <w:tab/>
      </w:r>
      <w:r w:rsidRPr="00C94086">
        <w:rPr>
          <w:rFonts w:cs="Arial"/>
        </w:rPr>
        <w:t>Doplatek pojistného ve smys</w:t>
      </w:r>
      <w:r>
        <w:rPr>
          <w:rFonts w:cs="Arial"/>
        </w:rPr>
        <w:t>lu tohoto dodatku za období od 10. 1. 2015 do 30. 6. 2015</w:t>
      </w:r>
      <w:r w:rsidRPr="00C94086">
        <w:rPr>
          <w:rFonts w:cs="Arial"/>
        </w:rPr>
        <w:t xml:space="preserve"> činí </w:t>
      </w:r>
    </w:p>
    <w:p w:rsidR="00C94086" w:rsidRPr="00C94086" w:rsidRDefault="00C94086" w:rsidP="00C94086">
      <w:pPr>
        <w:pStyle w:val="Zkladntext"/>
        <w:widowControl w:val="0"/>
        <w:rPr>
          <w:rFonts w:cs="Arial"/>
        </w:rPr>
      </w:pPr>
      <w:r>
        <w:rPr>
          <w:rFonts w:cs="Arial"/>
        </w:rPr>
        <w:t xml:space="preserve">   </w:t>
      </w:r>
      <w:r>
        <w:rPr>
          <w:rFonts w:cs="Arial"/>
        </w:rPr>
        <w:tab/>
      </w:r>
      <w:r w:rsidRPr="00C94086">
        <w:rPr>
          <w:rFonts w:cs="Arial"/>
          <w:b/>
        </w:rPr>
        <w:t>249,- Kč</w:t>
      </w:r>
      <w:r w:rsidRPr="00C94086">
        <w:rPr>
          <w:rFonts w:cs="Arial"/>
        </w:rPr>
        <w:t xml:space="preserve"> (pro rata pojistné je vypočteno interním systémem Generali Pojišťovna a.s. – základem  </w:t>
      </w:r>
    </w:p>
    <w:p w:rsidR="00C94086" w:rsidRDefault="00C94086" w:rsidP="00C94086">
      <w:pPr>
        <w:pStyle w:val="Zkladntext"/>
        <w:widowControl w:val="0"/>
        <w:jc w:val="left"/>
        <w:rPr>
          <w:rFonts w:cs="Arial"/>
        </w:rPr>
      </w:pPr>
      <w:r>
        <w:rPr>
          <w:rFonts w:cs="Arial"/>
        </w:rPr>
        <w:t xml:space="preserve">   </w:t>
      </w:r>
      <w:r>
        <w:rPr>
          <w:rFonts w:cs="Arial"/>
        </w:rPr>
        <w:tab/>
      </w:r>
      <w:r w:rsidRPr="00C94086">
        <w:rPr>
          <w:rFonts w:cs="Arial"/>
        </w:rPr>
        <w:t xml:space="preserve">je 360 dní v roce) a je splatný na účet zplnomocněné </w:t>
      </w:r>
      <w:r>
        <w:rPr>
          <w:rFonts w:cs="Arial"/>
        </w:rPr>
        <w:t>makléřské společnosti 1. 2. 2015</w:t>
      </w:r>
      <w:r w:rsidRPr="00C94086">
        <w:rPr>
          <w:rFonts w:cs="Arial"/>
        </w:rPr>
        <w:t>.</w:t>
      </w:r>
    </w:p>
    <w:p w:rsidR="00515FC9" w:rsidRPr="009155C2" w:rsidRDefault="00515FC9" w:rsidP="00515FC9">
      <w:pPr>
        <w:jc w:val="both"/>
        <w:rPr>
          <w:rFonts w:ascii="Arial" w:hAnsi="Arial" w:cs="Arial"/>
        </w:rPr>
      </w:pPr>
    </w:p>
    <w:p w:rsidR="00C94086" w:rsidRDefault="00C94086" w:rsidP="00515FC9">
      <w:pPr>
        <w:pStyle w:val="Zkladntext"/>
        <w:widowControl w:val="0"/>
        <w:ind w:left="426" w:hanging="426"/>
        <w:rPr>
          <w:rFonts w:cs="Arial"/>
        </w:rPr>
      </w:pPr>
    </w:p>
    <w:p w:rsidR="00C94086" w:rsidRDefault="00C94086" w:rsidP="00515FC9">
      <w:pPr>
        <w:pStyle w:val="Zkladntext"/>
        <w:widowControl w:val="0"/>
        <w:ind w:left="426" w:hanging="426"/>
        <w:rPr>
          <w:rFonts w:cs="Arial"/>
        </w:rPr>
      </w:pPr>
    </w:p>
    <w:p w:rsidR="00C94086" w:rsidRDefault="00C94086" w:rsidP="00515FC9">
      <w:pPr>
        <w:pStyle w:val="Zkladntext"/>
        <w:widowControl w:val="0"/>
        <w:ind w:left="426" w:hanging="426"/>
        <w:rPr>
          <w:rFonts w:cs="Arial"/>
        </w:rPr>
      </w:pPr>
    </w:p>
    <w:p w:rsidR="00C94086" w:rsidRDefault="00C94086" w:rsidP="00515FC9">
      <w:pPr>
        <w:pStyle w:val="Zkladntext"/>
        <w:widowControl w:val="0"/>
        <w:ind w:left="426" w:hanging="426"/>
        <w:rPr>
          <w:rFonts w:cs="Arial"/>
        </w:rPr>
      </w:pPr>
    </w:p>
    <w:p w:rsidR="00515FC9" w:rsidRDefault="00515FC9" w:rsidP="00515FC9">
      <w:pPr>
        <w:pStyle w:val="Zkladntext"/>
        <w:widowControl w:val="0"/>
        <w:ind w:left="426" w:hanging="426"/>
        <w:rPr>
          <w:rFonts w:cs="Arial"/>
        </w:rPr>
      </w:pPr>
      <w:r>
        <w:rPr>
          <w:rFonts w:cs="Arial"/>
        </w:rPr>
        <w:t xml:space="preserve">V.   </w:t>
      </w:r>
      <w:r>
        <w:rPr>
          <w:rFonts w:cs="Arial"/>
        </w:rPr>
        <w:tab/>
      </w:r>
      <w:r>
        <w:rPr>
          <w:rFonts w:cs="Arial"/>
        </w:rPr>
        <w:tab/>
        <w:t xml:space="preserve">Tento dodatek obsahuje 2 strany a vyhotovuje se ve dvou exemplářích, z nichž každá ze smluvních </w:t>
      </w:r>
    </w:p>
    <w:p w:rsidR="00515FC9" w:rsidRDefault="00515FC9" w:rsidP="00515FC9">
      <w:pPr>
        <w:pStyle w:val="Zkladntext"/>
        <w:widowControl w:val="0"/>
        <w:ind w:left="426" w:hanging="426"/>
        <w:rPr>
          <w:rFonts w:cs="Arial"/>
        </w:rPr>
      </w:pPr>
      <w:r>
        <w:rPr>
          <w:rFonts w:cs="Arial"/>
        </w:rPr>
        <w:t xml:space="preserve">             stran obdrží po jednom.</w:t>
      </w:r>
    </w:p>
    <w:p w:rsidR="00515FC9" w:rsidRDefault="00515FC9" w:rsidP="00515FC9">
      <w:pPr>
        <w:pStyle w:val="Zhlav"/>
        <w:tabs>
          <w:tab w:val="clear" w:pos="4536"/>
          <w:tab w:val="clear" w:pos="9072"/>
          <w:tab w:val="left" w:pos="3119"/>
          <w:tab w:val="right" w:pos="6237"/>
        </w:tabs>
        <w:rPr>
          <w:rFonts w:ascii="Arial" w:hAnsi="Arial" w:cs="Arial"/>
        </w:rPr>
      </w:pPr>
    </w:p>
    <w:p w:rsidR="00157CA1" w:rsidRDefault="00157CA1">
      <w:pPr>
        <w:pStyle w:val="Zhlav"/>
        <w:tabs>
          <w:tab w:val="clear" w:pos="4536"/>
          <w:tab w:val="clear" w:pos="9072"/>
          <w:tab w:val="right" w:pos="6237"/>
        </w:tabs>
        <w:rPr>
          <w:rFonts w:ascii="Arial" w:hAnsi="Arial"/>
        </w:rPr>
      </w:pPr>
    </w:p>
    <w:p w:rsidR="003A3098" w:rsidRDefault="003A3098">
      <w:pPr>
        <w:pStyle w:val="Zhlav"/>
        <w:tabs>
          <w:tab w:val="clear" w:pos="4536"/>
          <w:tab w:val="clear" w:pos="9072"/>
          <w:tab w:val="right" w:pos="6237"/>
        </w:tabs>
        <w:rPr>
          <w:rFonts w:ascii="Arial" w:hAnsi="Arial"/>
        </w:rPr>
      </w:pPr>
    </w:p>
    <w:p w:rsidR="000E7AD6" w:rsidRPr="00A75BFE" w:rsidRDefault="000E7AD6" w:rsidP="000E7AD6">
      <w:pPr>
        <w:jc w:val="both"/>
        <w:rPr>
          <w:rFonts w:ascii="Arial" w:hAnsi="Arial" w:cs="Arial"/>
        </w:rPr>
      </w:pPr>
      <w:r w:rsidRPr="00A75BFE">
        <w:rPr>
          <w:rFonts w:ascii="Arial" w:hAnsi="Arial" w:cs="Arial"/>
        </w:rPr>
        <w:t>V Praze dne</w:t>
      </w:r>
      <w:r w:rsidR="00515FC9">
        <w:rPr>
          <w:rFonts w:ascii="Arial" w:hAnsi="Arial" w:cs="Arial"/>
        </w:rPr>
        <w:t xml:space="preserve"> </w:t>
      </w:r>
      <w:r w:rsidR="00C94086">
        <w:rPr>
          <w:rFonts w:ascii="Arial" w:hAnsi="Arial" w:cs="Arial"/>
        </w:rPr>
        <w:t>9. 1. 2015</w:t>
      </w:r>
      <w:r>
        <w:rPr>
          <w:rFonts w:ascii="Arial" w:hAnsi="Arial" w:cs="Arial"/>
        </w:rPr>
        <w:tab/>
      </w:r>
      <w:r>
        <w:rPr>
          <w:rFonts w:ascii="Arial" w:hAnsi="Arial" w:cs="Arial"/>
        </w:rPr>
        <w:tab/>
        <w:t xml:space="preserve">           </w:t>
      </w:r>
      <w:r w:rsidR="00C94086">
        <w:rPr>
          <w:rFonts w:ascii="Arial" w:hAnsi="Arial" w:cs="Arial"/>
        </w:rPr>
        <w:tab/>
        <w:t xml:space="preserve">            </w:t>
      </w:r>
      <w:r w:rsidRPr="00A75BFE">
        <w:rPr>
          <w:rFonts w:ascii="Arial" w:hAnsi="Arial" w:cs="Arial"/>
        </w:rPr>
        <w:t xml:space="preserve">V </w:t>
      </w:r>
      <w:r>
        <w:rPr>
          <w:rFonts w:ascii="Arial" w:hAnsi="Arial" w:cs="Arial"/>
        </w:rPr>
        <w:t>………..</w:t>
      </w:r>
      <w:r w:rsidRPr="00A75BFE">
        <w:rPr>
          <w:rFonts w:ascii="Arial" w:hAnsi="Arial" w:cs="Arial"/>
        </w:rPr>
        <w:t xml:space="preserve"> dne</w:t>
      </w:r>
      <w:r>
        <w:rPr>
          <w:rFonts w:ascii="Arial" w:hAnsi="Arial" w:cs="Arial"/>
        </w:rPr>
        <w:t xml:space="preserve"> ………………..</w:t>
      </w:r>
      <w:r w:rsidRPr="00A75BFE">
        <w:rPr>
          <w:rFonts w:ascii="Arial" w:hAnsi="Arial" w:cs="Arial"/>
        </w:rPr>
        <w:tab/>
      </w:r>
    </w:p>
    <w:p w:rsidR="000E7AD6" w:rsidRDefault="000E7AD6" w:rsidP="000E7AD6">
      <w:pPr>
        <w:jc w:val="both"/>
        <w:rPr>
          <w:rFonts w:ascii="Arial" w:hAnsi="Arial" w:cs="Arial"/>
        </w:rPr>
      </w:pPr>
    </w:p>
    <w:p w:rsidR="000E7AD6" w:rsidRDefault="000E7AD6" w:rsidP="000E7AD6">
      <w:pPr>
        <w:jc w:val="both"/>
        <w:rPr>
          <w:rFonts w:ascii="Arial" w:hAnsi="Arial" w:cs="Arial"/>
        </w:rPr>
      </w:pPr>
    </w:p>
    <w:p w:rsidR="000E7AD6" w:rsidRDefault="000E7AD6" w:rsidP="000E7AD6">
      <w:pPr>
        <w:jc w:val="both"/>
        <w:rPr>
          <w:rFonts w:ascii="Arial" w:hAnsi="Arial" w:cs="Arial"/>
        </w:rPr>
      </w:pPr>
    </w:p>
    <w:p w:rsidR="008652EE" w:rsidRDefault="008652EE" w:rsidP="000E7AD6">
      <w:pPr>
        <w:jc w:val="both"/>
        <w:rPr>
          <w:rFonts w:ascii="Arial" w:hAnsi="Arial" w:cs="Arial"/>
        </w:rPr>
      </w:pPr>
    </w:p>
    <w:p w:rsidR="008652EE" w:rsidRPr="00A75BFE" w:rsidRDefault="008652EE" w:rsidP="000E7AD6">
      <w:pPr>
        <w:jc w:val="both"/>
        <w:rPr>
          <w:rFonts w:ascii="Arial" w:hAnsi="Arial" w:cs="Arial"/>
        </w:rPr>
      </w:pPr>
    </w:p>
    <w:p w:rsidR="000E7AD6" w:rsidRPr="00A75BFE" w:rsidRDefault="000E7AD6" w:rsidP="000E7AD6">
      <w:pPr>
        <w:jc w:val="both"/>
        <w:rPr>
          <w:rFonts w:ascii="Arial" w:hAnsi="Arial" w:cs="Arial"/>
        </w:rPr>
      </w:pPr>
      <w:r>
        <w:rPr>
          <w:rFonts w:ascii="Arial" w:hAnsi="Arial" w:cs="Arial"/>
        </w:rPr>
        <w:t>……………………………………….</w:t>
      </w:r>
      <w:r>
        <w:rPr>
          <w:rFonts w:ascii="Arial" w:hAnsi="Arial" w:cs="Arial"/>
        </w:rPr>
        <w:tab/>
        <w:t xml:space="preserve">            </w:t>
      </w:r>
      <w:r w:rsidRPr="00A75BFE">
        <w:rPr>
          <w:rFonts w:ascii="Arial" w:hAnsi="Arial" w:cs="Arial"/>
        </w:rPr>
        <w:t>……………………………………….</w:t>
      </w:r>
      <w:r w:rsidRPr="00A75BFE">
        <w:rPr>
          <w:rFonts w:ascii="Arial" w:hAnsi="Arial" w:cs="Arial"/>
        </w:rPr>
        <w:tab/>
      </w:r>
    </w:p>
    <w:p w:rsidR="000E7AD6" w:rsidRPr="00A75BFE" w:rsidRDefault="000E7AD6" w:rsidP="000E7AD6">
      <w:pPr>
        <w:jc w:val="both"/>
        <w:rPr>
          <w:rFonts w:ascii="Arial" w:hAnsi="Arial" w:cs="Arial"/>
        </w:rPr>
      </w:pPr>
      <w:r w:rsidRPr="00A75BFE">
        <w:rPr>
          <w:rFonts w:ascii="Arial" w:hAnsi="Arial" w:cs="Arial"/>
        </w:rPr>
        <w:t>Generali P</w:t>
      </w:r>
      <w:r>
        <w:rPr>
          <w:rFonts w:ascii="Arial" w:hAnsi="Arial" w:cs="Arial"/>
        </w:rPr>
        <w:t>ojišťovna a.s.</w:t>
      </w:r>
      <w:r>
        <w:rPr>
          <w:rFonts w:ascii="Arial" w:hAnsi="Arial" w:cs="Arial"/>
        </w:rPr>
        <w:tab/>
      </w:r>
      <w:r>
        <w:rPr>
          <w:rFonts w:ascii="Arial" w:hAnsi="Arial" w:cs="Arial"/>
        </w:rPr>
        <w:tab/>
        <w:t xml:space="preserve">            </w:t>
      </w:r>
      <w:r w:rsidRPr="000E7AD6">
        <w:rPr>
          <w:rFonts w:ascii="Arial" w:hAnsi="Arial" w:cs="Arial"/>
        </w:rPr>
        <w:t>Domov pro osoby se zdravotním postižením Rudné u Nejdku</w:t>
      </w:r>
    </w:p>
    <w:p w:rsidR="000E7AD6" w:rsidRDefault="00515FC9" w:rsidP="000E7AD6">
      <w:pPr>
        <w:jc w:val="both"/>
        <w:rPr>
          <w:rFonts w:ascii="Arial" w:hAnsi="Arial" w:cs="Arial"/>
        </w:rPr>
      </w:pPr>
      <w:r>
        <w:rPr>
          <w:rFonts w:ascii="Arial" w:hAnsi="Arial" w:cs="Arial"/>
        </w:rPr>
        <w:t>Ing. Miloš Folda</w:t>
      </w:r>
      <w:r w:rsidR="00101C12">
        <w:rPr>
          <w:rFonts w:ascii="Arial" w:hAnsi="Arial" w:cs="Arial"/>
        </w:rPr>
        <w:t xml:space="preserve">, </w:t>
      </w:r>
      <w:r w:rsidR="008652EE">
        <w:rPr>
          <w:rFonts w:ascii="Arial" w:hAnsi="Arial" w:cs="Arial"/>
        </w:rPr>
        <w:t xml:space="preserve">Bc. </w:t>
      </w:r>
      <w:r w:rsidR="00101C12">
        <w:rPr>
          <w:rFonts w:ascii="Arial" w:hAnsi="Arial" w:cs="Arial"/>
        </w:rPr>
        <w:t>Alena Rousková</w:t>
      </w:r>
      <w:r w:rsidR="00101C12">
        <w:rPr>
          <w:rFonts w:ascii="Arial" w:hAnsi="Arial" w:cs="Arial"/>
        </w:rPr>
        <w:tab/>
        <w:t xml:space="preserve">            </w:t>
      </w:r>
      <w:r w:rsidR="00101C12" w:rsidRPr="00101C12">
        <w:rPr>
          <w:rFonts w:ascii="Arial" w:hAnsi="Arial" w:cs="Arial"/>
        </w:rPr>
        <w:t>Mgr. Petr Maršoun, ředitel</w:t>
      </w:r>
    </w:p>
    <w:p w:rsidR="000E7AD6" w:rsidRPr="00A75BFE" w:rsidRDefault="008652EE" w:rsidP="000E7AD6">
      <w:pPr>
        <w:jc w:val="both"/>
        <w:rPr>
          <w:rFonts w:ascii="Arial" w:hAnsi="Arial" w:cs="Arial"/>
        </w:rPr>
      </w:pPr>
      <w:r>
        <w:rPr>
          <w:rFonts w:ascii="Arial" w:hAnsi="Arial" w:cs="Arial"/>
        </w:rPr>
        <w:t>Korporátní a průmyslové pojištění</w:t>
      </w:r>
      <w:r w:rsidR="003B4961">
        <w:rPr>
          <w:rFonts w:ascii="Arial" w:hAnsi="Arial" w:cs="Arial"/>
        </w:rPr>
        <w:t xml:space="preserve">                </w:t>
      </w:r>
      <w:r>
        <w:rPr>
          <w:rFonts w:ascii="Arial" w:hAnsi="Arial" w:cs="Arial"/>
        </w:rPr>
        <w:t xml:space="preserve">     </w:t>
      </w:r>
      <w:r w:rsidR="003B4961">
        <w:rPr>
          <w:rFonts w:ascii="Arial" w:hAnsi="Arial" w:cs="Arial"/>
        </w:rPr>
        <w:t xml:space="preserve"> </w:t>
      </w:r>
      <w:r w:rsidR="00101C12">
        <w:rPr>
          <w:rFonts w:ascii="Arial" w:hAnsi="Arial" w:cs="Arial"/>
        </w:rPr>
        <w:t>(</w:t>
      </w:r>
      <w:r w:rsidR="000E7AD6" w:rsidRPr="00A75BFE">
        <w:rPr>
          <w:rFonts w:ascii="Arial" w:hAnsi="Arial" w:cs="Arial"/>
        </w:rPr>
        <w:t>pojistník</w:t>
      </w:r>
      <w:r w:rsidR="000E7AD6">
        <w:rPr>
          <w:rFonts w:ascii="Arial" w:hAnsi="Arial" w:cs="Arial"/>
        </w:rPr>
        <w:t>/pojištěný</w:t>
      </w:r>
      <w:r w:rsidR="000E7AD6" w:rsidRPr="00A75BFE">
        <w:rPr>
          <w:rFonts w:ascii="Arial" w:hAnsi="Arial" w:cs="Arial"/>
        </w:rPr>
        <w:t>)</w:t>
      </w:r>
    </w:p>
    <w:p w:rsidR="000E7AD6" w:rsidRPr="00A75BFE" w:rsidRDefault="000E7AD6" w:rsidP="000E7AD6">
      <w:pPr>
        <w:jc w:val="both"/>
        <w:rPr>
          <w:rFonts w:ascii="Arial" w:hAnsi="Arial" w:cs="Arial"/>
        </w:rPr>
      </w:pPr>
      <w:r w:rsidRPr="00A75BFE">
        <w:rPr>
          <w:rFonts w:ascii="Arial" w:hAnsi="Arial" w:cs="Arial"/>
        </w:rPr>
        <w:t xml:space="preserve">(pojistitel)                                                                       </w:t>
      </w:r>
      <w:r w:rsidRPr="00A75BFE">
        <w:rPr>
          <w:rFonts w:ascii="Arial" w:hAnsi="Arial" w:cs="Arial"/>
        </w:rPr>
        <w:tab/>
      </w:r>
    </w:p>
    <w:p w:rsidR="000E7AD6" w:rsidRPr="00A75BFE" w:rsidRDefault="000E7AD6" w:rsidP="000E7AD6">
      <w:pPr>
        <w:jc w:val="both"/>
        <w:rPr>
          <w:rFonts w:ascii="Arial" w:hAnsi="Arial" w:cs="Arial"/>
        </w:rPr>
      </w:pPr>
      <w:r w:rsidRPr="00A75BFE">
        <w:rPr>
          <w:rFonts w:ascii="Arial" w:hAnsi="Arial" w:cs="Arial"/>
        </w:rPr>
        <w:tab/>
      </w:r>
    </w:p>
    <w:p w:rsidR="00515FC9" w:rsidRDefault="00515FC9" w:rsidP="000E7AD6">
      <w:pPr>
        <w:jc w:val="both"/>
        <w:rPr>
          <w:rFonts w:ascii="Arial" w:hAnsi="Arial" w:cs="Arial"/>
        </w:rPr>
      </w:pPr>
    </w:p>
    <w:p w:rsidR="00515FC9" w:rsidRDefault="00515FC9" w:rsidP="000E7AD6">
      <w:pPr>
        <w:jc w:val="both"/>
        <w:rPr>
          <w:rFonts w:ascii="Arial" w:hAnsi="Arial" w:cs="Arial"/>
        </w:rPr>
      </w:pPr>
    </w:p>
    <w:p w:rsidR="000E7AD6" w:rsidRPr="00A75BFE" w:rsidRDefault="000E7AD6" w:rsidP="000E7AD6">
      <w:pPr>
        <w:jc w:val="both"/>
        <w:rPr>
          <w:rFonts w:ascii="Arial" w:hAnsi="Arial" w:cs="Arial"/>
        </w:rPr>
      </w:pPr>
      <w:r w:rsidRPr="00A75BFE">
        <w:rPr>
          <w:rFonts w:ascii="Arial" w:hAnsi="Arial" w:cs="Arial"/>
        </w:rPr>
        <w:t>Vystavil</w:t>
      </w:r>
      <w:r>
        <w:rPr>
          <w:rFonts w:ascii="Arial" w:hAnsi="Arial" w:cs="Arial"/>
        </w:rPr>
        <w:t xml:space="preserve">a: </w:t>
      </w:r>
      <w:r w:rsidR="008652EE">
        <w:rPr>
          <w:rFonts w:ascii="Arial" w:hAnsi="Arial" w:cs="Arial"/>
        </w:rPr>
        <w:t xml:space="preserve">Bc. </w:t>
      </w:r>
      <w:r>
        <w:rPr>
          <w:rFonts w:ascii="Arial" w:hAnsi="Arial" w:cs="Arial"/>
        </w:rPr>
        <w:t xml:space="preserve">Alena Rousková, </w:t>
      </w:r>
      <w:r w:rsidR="008652EE">
        <w:rPr>
          <w:rFonts w:ascii="Arial" w:hAnsi="Arial" w:cs="Arial"/>
        </w:rPr>
        <w:t>Korporátní a průmyslové pojištění</w:t>
      </w:r>
      <w:r>
        <w:rPr>
          <w:rFonts w:ascii="Arial" w:hAnsi="Arial" w:cs="Arial"/>
        </w:rPr>
        <w:t xml:space="preserve"> </w:t>
      </w:r>
      <w:r w:rsidRPr="00A75BFE">
        <w:rPr>
          <w:rFonts w:ascii="Arial" w:hAnsi="Arial" w:cs="Arial"/>
        </w:rPr>
        <w:t xml:space="preserve">  </w:t>
      </w:r>
    </w:p>
    <w:p w:rsidR="000E7AD6" w:rsidRPr="00A75BFE" w:rsidRDefault="000E7AD6" w:rsidP="000E7AD6">
      <w:pPr>
        <w:jc w:val="both"/>
        <w:rPr>
          <w:rFonts w:ascii="Arial" w:hAnsi="Arial" w:cs="Arial"/>
        </w:rPr>
      </w:pPr>
    </w:p>
    <w:p w:rsidR="00547593" w:rsidRDefault="00547593" w:rsidP="00547593">
      <w:pPr>
        <w:tabs>
          <w:tab w:val="left" w:pos="993"/>
          <w:tab w:val="right" w:pos="5103"/>
        </w:tabs>
        <w:rPr>
          <w:rFonts w:ascii="Arial" w:hAnsi="Arial"/>
        </w:rPr>
      </w:pPr>
    </w:p>
    <w:p w:rsidR="00515FC9" w:rsidRDefault="00515FC9" w:rsidP="00547593">
      <w:pPr>
        <w:tabs>
          <w:tab w:val="left" w:pos="993"/>
          <w:tab w:val="right" w:pos="5103"/>
        </w:tabs>
        <w:rPr>
          <w:rFonts w:ascii="Arial" w:hAnsi="Arial"/>
        </w:rPr>
      </w:pPr>
    </w:p>
    <w:p w:rsidR="00515FC9" w:rsidRDefault="00515FC9" w:rsidP="00547593">
      <w:pPr>
        <w:tabs>
          <w:tab w:val="left" w:pos="993"/>
          <w:tab w:val="right" w:pos="5103"/>
        </w:tabs>
        <w:rPr>
          <w:rFonts w:ascii="Arial" w:hAnsi="Arial"/>
        </w:rPr>
      </w:pPr>
    </w:p>
    <w:p w:rsidR="00157CA1" w:rsidRDefault="00157CA1"/>
    <w:sectPr w:rsidR="00157CA1">
      <w:headerReference w:type="default" r:id="rId7"/>
      <w:footerReference w:type="default" r:id="rId8"/>
      <w:pgSz w:w="11907" w:h="16840"/>
      <w:pgMar w:top="1418" w:right="1134" w:bottom="851" w:left="1134" w:header="709" w:footer="39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96C" w:rsidRDefault="001D396C">
      <w:r>
        <w:separator/>
      </w:r>
    </w:p>
  </w:endnote>
  <w:endnote w:type="continuationSeparator" w:id="0">
    <w:p w:rsidR="001D396C" w:rsidRDefault="001D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_CE">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YIULPZ+Generali-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6C" w:rsidRDefault="001D396C">
    <w:pPr>
      <w:pStyle w:val="Zpat"/>
      <w:jc w:val="center"/>
      <w:rPr>
        <w:rFonts w:ascii="Arial_CE" w:hAnsi="Arial_CE"/>
        <w:sz w:val="16"/>
      </w:rPr>
    </w:pPr>
    <w:r>
      <w:rPr>
        <w:rStyle w:val="slostrnky"/>
        <w:rFonts w:ascii="Arial_CE" w:hAnsi="Arial_CE"/>
        <w:snapToGrid w:val="0"/>
        <w:sz w:val="16"/>
      </w:rPr>
      <w:t xml:space="preserve">Strana </w:t>
    </w:r>
    <w:r>
      <w:rPr>
        <w:rStyle w:val="slostrnky"/>
        <w:rFonts w:ascii="Arial_CE" w:hAnsi="Arial_CE"/>
        <w:snapToGrid w:val="0"/>
        <w:sz w:val="16"/>
      </w:rPr>
      <w:fldChar w:fldCharType="begin"/>
    </w:r>
    <w:r>
      <w:rPr>
        <w:rStyle w:val="slostrnky"/>
        <w:rFonts w:ascii="Arial_CE" w:hAnsi="Arial_CE"/>
        <w:snapToGrid w:val="0"/>
        <w:sz w:val="16"/>
      </w:rPr>
      <w:instrText xml:space="preserve"> PAGE </w:instrText>
    </w:r>
    <w:r>
      <w:rPr>
        <w:rStyle w:val="slostrnky"/>
        <w:rFonts w:ascii="Arial_CE" w:hAnsi="Arial_CE"/>
        <w:snapToGrid w:val="0"/>
        <w:sz w:val="16"/>
      </w:rPr>
      <w:fldChar w:fldCharType="separate"/>
    </w:r>
    <w:r w:rsidR="00B9066C">
      <w:rPr>
        <w:rStyle w:val="slostrnky"/>
        <w:rFonts w:ascii="Arial_CE" w:hAnsi="Arial_CE"/>
        <w:noProof/>
        <w:snapToGrid w:val="0"/>
        <w:sz w:val="16"/>
      </w:rPr>
      <w:t>2</w:t>
    </w:r>
    <w:r>
      <w:rPr>
        <w:rStyle w:val="slostrnky"/>
        <w:rFonts w:ascii="Arial_CE" w:hAnsi="Arial_CE"/>
        <w:snapToGrid w:val="0"/>
        <w:sz w:val="16"/>
      </w:rPr>
      <w:fldChar w:fldCharType="end"/>
    </w:r>
    <w:r>
      <w:rPr>
        <w:rStyle w:val="slostrnky"/>
        <w:rFonts w:ascii="Arial_CE" w:hAnsi="Arial_CE"/>
        <w:snapToGrid w:val="0"/>
        <w:sz w:val="16"/>
      </w:rPr>
      <w:t xml:space="preserve"> (celkem </w:t>
    </w:r>
    <w:r>
      <w:rPr>
        <w:rStyle w:val="slostrnky"/>
        <w:rFonts w:ascii="Arial_CE" w:hAnsi="Arial_CE"/>
        <w:snapToGrid w:val="0"/>
        <w:sz w:val="16"/>
      </w:rPr>
      <w:fldChar w:fldCharType="begin"/>
    </w:r>
    <w:r>
      <w:rPr>
        <w:rStyle w:val="slostrnky"/>
        <w:rFonts w:ascii="Arial_CE" w:hAnsi="Arial_CE"/>
        <w:snapToGrid w:val="0"/>
        <w:sz w:val="16"/>
      </w:rPr>
      <w:instrText xml:space="preserve"> NUMPAGES </w:instrText>
    </w:r>
    <w:r>
      <w:rPr>
        <w:rStyle w:val="slostrnky"/>
        <w:rFonts w:ascii="Arial_CE" w:hAnsi="Arial_CE"/>
        <w:snapToGrid w:val="0"/>
        <w:sz w:val="16"/>
      </w:rPr>
      <w:fldChar w:fldCharType="separate"/>
    </w:r>
    <w:r w:rsidR="00B9066C">
      <w:rPr>
        <w:rStyle w:val="slostrnky"/>
        <w:rFonts w:ascii="Arial_CE" w:hAnsi="Arial_CE"/>
        <w:noProof/>
        <w:snapToGrid w:val="0"/>
        <w:sz w:val="16"/>
      </w:rPr>
      <w:t>3</w:t>
    </w:r>
    <w:r>
      <w:rPr>
        <w:rStyle w:val="slostrnky"/>
        <w:rFonts w:ascii="Arial_CE" w:hAnsi="Arial_CE"/>
        <w:snapToGrid w:val="0"/>
        <w:sz w:val="16"/>
      </w:rPr>
      <w:fldChar w:fldCharType="end"/>
    </w:r>
    <w:r>
      <w:rPr>
        <w:rStyle w:val="slostrnky"/>
        <w:rFonts w:ascii="Arial_CE" w:hAnsi="Arial_CE"/>
        <w:snapToGrid w:val="0"/>
        <w:sz w:val="16"/>
      </w:rPr>
      <w:t>)</w:t>
    </w:r>
    <w:r>
      <w:rPr>
        <w:rFonts w:ascii="Arial_CE" w:hAnsi="Arial_CE"/>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96C" w:rsidRDefault="001D396C">
      <w:r>
        <w:separator/>
      </w:r>
    </w:p>
  </w:footnote>
  <w:footnote w:type="continuationSeparator" w:id="0">
    <w:p w:rsidR="001D396C" w:rsidRDefault="001D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6C" w:rsidRDefault="001D396C">
    <w:pPr>
      <w:pStyle w:val="Zhlav"/>
      <w:rPr>
        <w:rFonts w:ascii="Arial_CE" w:hAnsi="Arial_CE"/>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ACA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B23E1"/>
    <w:multiLevelType w:val="hybridMultilevel"/>
    <w:tmpl w:val="08A28E18"/>
    <w:lvl w:ilvl="0" w:tplc="2C02D758">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A2B49"/>
    <w:multiLevelType w:val="hybridMultilevel"/>
    <w:tmpl w:val="68CE362C"/>
    <w:lvl w:ilvl="0" w:tplc="407AFD92">
      <w:start w:val="1"/>
      <w:numFmt w:val="bullet"/>
      <w:lvlText w:val=""/>
      <w:lvlJc w:val="left"/>
      <w:pPr>
        <w:tabs>
          <w:tab w:val="num" w:pos="2838"/>
        </w:tabs>
        <w:ind w:left="2838" w:hanging="705"/>
      </w:pPr>
      <w:rPr>
        <w:rFonts w:ascii="Symbol" w:eastAsia="Times New Roman" w:hAnsi="Symbol" w:cs="Times New Roman" w:hint="default"/>
      </w:rPr>
    </w:lvl>
    <w:lvl w:ilvl="1" w:tplc="04050003" w:tentative="1">
      <w:start w:val="1"/>
      <w:numFmt w:val="bullet"/>
      <w:lvlText w:val="o"/>
      <w:lvlJc w:val="left"/>
      <w:pPr>
        <w:tabs>
          <w:tab w:val="num" w:pos="3213"/>
        </w:tabs>
        <w:ind w:left="3213" w:hanging="360"/>
      </w:pPr>
      <w:rPr>
        <w:rFonts w:ascii="Courier New" w:hAnsi="Courier New" w:hint="default"/>
      </w:rPr>
    </w:lvl>
    <w:lvl w:ilvl="2" w:tplc="04050005" w:tentative="1">
      <w:start w:val="1"/>
      <w:numFmt w:val="bullet"/>
      <w:lvlText w:val=""/>
      <w:lvlJc w:val="left"/>
      <w:pPr>
        <w:tabs>
          <w:tab w:val="num" w:pos="3933"/>
        </w:tabs>
        <w:ind w:left="3933" w:hanging="360"/>
      </w:pPr>
      <w:rPr>
        <w:rFonts w:ascii="Wingdings" w:hAnsi="Wingdings" w:hint="default"/>
      </w:rPr>
    </w:lvl>
    <w:lvl w:ilvl="3" w:tplc="04050001" w:tentative="1">
      <w:start w:val="1"/>
      <w:numFmt w:val="bullet"/>
      <w:lvlText w:val=""/>
      <w:lvlJc w:val="left"/>
      <w:pPr>
        <w:tabs>
          <w:tab w:val="num" w:pos="4653"/>
        </w:tabs>
        <w:ind w:left="4653" w:hanging="360"/>
      </w:pPr>
      <w:rPr>
        <w:rFonts w:ascii="Symbol" w:hAnsi="Symbol" w:hint="default"/>
      </w:rPr>
    </w:lvl>
    <w:lvl w:ilvl="4" w:tplc="04050003" w:tentative="1">
      <w:start w:val="1"/>
      <w:numFmt w:val="bullet"/>
      <w:lvlText w:val="o"/>
      <w:lvlJc w:val="left"/>
      <w:pPr>
        <w:tabs>
          <w:tab w:val="num" w:pos="5373"/>
        </w:tabs>
        <w:ind w:left="5373" w:hanging="360"/>
      </w:pPr>
      <w:rPr>
        <w:rFonts w:ascii="Courier New" w:hAnsi="Courier New" w:hint="default"/>
      </w:rPr>
    </w:lvl>
    <w:lvl w:ilvl="5" w:tplc="04050005" w:tentative="1">
      <w:start w:val="1"/>
      <w:numFmt w:val="bullet"/>
      <w:lvlText w:val=""/>
      <w:lvlJc w:val="left"/>
      <w:pPr>
        <w:tabs>
          <w:tab w:val="num" w:pos="6093"/>
        </w:tabs>
        <w:ind w:left="6093" w:hanging="360"/>
      </w:pPr>
      <w:rPr>
        <w:rFonts w:ascii="Wingdings" w:hAnsi="Wingdings" w:hint="default"/>
      </w:rPr>
    </w:lvl>
    <w:lvl w:ilvl="6" w:tplc="04050001" w:tentative="1">
      <w:start w:val="1"/>
      <w:numFmt w:val="bullet"/>
      <w:lvlText w:val=""/>
      <w:lvlJc w:val="left"/>
      <w:pPr>
        <w:tabs>
          <w:tab w:val="num" w:pos="6813"/>
        </w:tabs>
        <w:ind w:left="6813" w:hanging="360"/>
      </w:pPr>
      <w:rPr>
        <w:rFonts w:ascii="Symbol" w:hAnsi="Symbol" w:hint="default"/>
      </w:rPr>
    </w:lvl>
    <w:lvl w:ilvl="7" w:tplc="04050003" w:tentative="1">
      <w:start w:val="1"/>
      <w:numFmt w:val="bullet"/>
      <w:lvlText w:val="o"/>
      <w:lvlJc w:val="left"/>
      <w:pPr>
        <w:tabs>
          <w:tab w:val="num" w:pos="7533"/>
        </w:tabs>
        <w:ind w:left="7533" w:hanging="360"/>
      </w:pPr>
      <w:rPr>
        <w:rFonts w:ascii="Courier New" w:hAnsi="Courier New" w:hint="default"/>
      </w:rPr>
    </w:lvl>
    <w:lvl w:ilvl="8" w:tplc="04050005" w:tentative="1">
      <w:start w:val="1"/>
      <w:numFmt w:val="bullet"/>
      <w:lvlText w:val=""/>
      <w:lvlJc w:val="left"/>
      <w:pPr>
        <w:tabs>
          <w:tab w:val="num" w:pos="8253"/>
        </w:tabs>
        <w:ind w:left="8253" w:hanging="360"/>
      </w:pPr>
      <w:rPr>
        <w:rFonts w:ascii="Wingdings" w:hAnsi="Wingdings" w:hint="default"/>
      </w:rPr>
    </w:lvl>
  </w:abstractNum>
  <w:abstractNum w:abstractNumId="4" w15:restartNumberingAfterBreak="0">
    <w:nsid w:val="0975022D"/>
    <w:multiLevelType w:val="hybridMultilevel"/>
    <w:tmpl w:val="0F9C35A8"/>
    <w:lvl w:ilvl="0" w:tplc="31CCAE1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F92104"/>
    <w:multiLevelType w:val="multilevel"/>
    <w:tmpl w:val="D0246DC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4.6.3.%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BF06C1"/>
    <w:multiLevelType w:val="hybridMultilevel"/>
    <w:tmpl w:val="27AAFDB8"/>
    <w:lvl w:ilvl="0" w:tplc="3E7EF2A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371B7E"/>
    <w:multiLevelType w:val="hybridMultilevel"/>
    <w:tmpl w:val="8D66072A"/>
    <w:lvl w:ilvl="0" w:tplc="3BAEE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C024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32689"/>
    <w:multiLevelType w:val="singleLevel"/>
    <w:tmpl w:val="566E22FC"/>
    <w:lvl w:ilvl="0">
      <w:numFmt w:val="bullet"/>
      <w:lvlText w:val="-"/>
      <w:lvlJc w:val="left"/>
      <w:pPr>
        <w:tabs>
          <w:tab w:val="num" w:pos="360"/>
        </w:tabs>
        <w:ind w:left="360" w:hanging="360"/>
      </w:pPr>
      <w:rPr>
        <w:rFonts w:hint="default"/>
        <w:b w:val="0"/>
      </w:rPr>
    </w:lvl>
  </w:abstractNum>
  <w:abstractNum w:abstractNumId="11" w15:restartNumberingAfterBreak="0">
    <w:nsid w:val="411454B4"/>
    <w:multiLevelType w:val="singleLevel"/>
    <w:tmpl w:val="92567A74"/>
    <w:lvl w:ilvl="0">
      <w:start w:val="1"/>
      <w:numFmt w:val="decimal"/>
      <w:lvlText w:val="%1."/>
      <w:lvlJc w:val="left"/>
      <w:pPr>
        <w:tabs>
          <w:tab w:val="num" w:pos="420"/>
        </w:tabs>
        <w:ind w:left="420" w:hanging="420"/>
      </w:pPr>
      <w:rPr>
        <w:b/>
      </w:rPr>
    </w:lvl>
  </w:abstractNum>
  <w:abstractNum w:abstractNumId="12" w15:restartNumberingAfterBreak="0">
    <w:nsid w:val="452E4299"/>
    <w:multiLevelType w:val="singleLevel"/>
    <w:tmpl w:val="566E22FC"/>
    <w:lvl w:ilvl="0">
      <w:numFmt w:val="bullet"/>
      <w:lvlText w:val="-"/>
      <w:lvlJc w:val="left"/>
      <w:pPr>
        <w:tabs>
          <w:tab w:val="num" w:pos="360"/>
        </w:tabs>
        <w:ind w:left="360" w:hanging="360"/>
      </w:pPr>
      <w:rPr>
        <w:rFonts w:hint="default"/>
        <w:b w:val="0"/>
      </w:rPr>
    </w:lvl>
  </w:abstractNum>
  <w:abstractNum w:abstractNumId="13" w15:restartNumberingAfterBreak="0">
    <w:nsid w:val="4D032B1C"/>
    <w:multiLevelType w:val="multilevel"/>
    <w:tmpl w:val="A0C4EA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567"/>
        </w:tabs>
        <w:ind w:left="567" w:hanging="567"/>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98A59F6"/>
    <w:multiLevelType w:val="hybridMultilevel"/>
    <w:tmpl w:val="0A8CE85A"/>
    <w:lvl w:ilvl="0" w:tplc="81F075A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3B657E"/>
    <w:multiLevelType w:val="hybridMultilevel"/>
    <w:tmpl w:val="6AE0B228"/>
    <w:lvl w:ilvl="0" w:tplc="89C02358">
      <w:start w:val="1"/>
      <w:numFmt w:val="bullet"/>
      <w:lvlText w:val=""/>
      <w:lvlJc w:val="left"/>
      <w:pPr>
        <w:tabs>
          <w:tab w:val="num" w:pos="1065"/>
        </w:tabs>
        <w:ind w:left="1065" w:hanging="705"/>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40CCB"/>
    <w:multiLevelType w:val="singleLevel"/>
    <w:tmpl w:val="3E06EBC6"/>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6BF312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3E33CF"/>
    <w:multiLevelType w:val="hybridMultilevel"/>
    <w:tmpl w:val="A5147904"/>
    <w:lvl w:ilvl="0" w:tplc="40CC4ED4">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5E242CB"/>
    <w:multiLevelType w:val="hybridMultilevel"/>
    <w:tmpl w:val="5B5C63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2D5F17"/>
    <w:multiLevelType w:val="hybridMultilevel"/>
    <w:tmpl w:val="1ECE4906"/>
    <w:lvl w:ilvl="0" w:tplc="E76014E0">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17"/>
  </w:num>
  <w:num w:numId="4">
    <w:abstractNumId w:val="7"/>
  </w:num>
  <w:num w:numId="5">
    <w:abstractNumId w:val="9"/>
  </w:num>
  <w:num w:numId="6">
    <w:abstractNumId w:val="16"/>
  </w:num>
  <w:num w:numId="7">
    <w:abstractNumId w:val="12"/>
  </w:num>
  <w:num w:numId="8">
    <w:abstractNumId w:val="10"/>
  </w:num>
  <w:num w:numId="9">
    <w:abstractNumId w:val="18"/>
  </w:num>
  <w:num w:numId="10">
    <w:abstractNumId w:val="13"/>
  </w:num>
  <w:num w:numId="11">
    <w:abstractNumId w:val="8"/>
  </w:num>
  <w:num w:numId="12">
    <w:abstractNumId w:val="6"/>
  </w:num>
  <w:num w:numId="13">
    <w:abstractNumId w:val="5"/>
  </w:num>
  <w:num w:numId="14">
    <w:abstractNumId w:val="20"/>
  </w:num>
  <w:num w:numId="15">
    <w:abstractNumId w:val="2"/>
  </w:num>
  <w:num w:numId="16">
    <w:abstractNumId w:val="15"/>
  </w:num>
  <w:num w:numId="17">
    <w:abstractNumId w:val="3"/>
  </w:num>
  <w:num w:numId="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9"/>
  </w:num>
  <w:num w:numId="20">
    <w:abstractNumId w:val="11"/>
    <w:lvlOverride w:ilvl="0">
      <w:startOverride w:val="1"/>
    </w:lvlOverride>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8"/>
    <w:rsid w:val="00010D5D"/>
    <w:rsid w:val="00027E69"/>
    <w:rsid w:val="00045969"/>
    <w:rsid w:val="000572A9"/>
    <w:rsid w:val="00065FAE"/>
    <w:rsid w:val="0006777D"/>
    <w:rsid w:val="0007238B"/>
    <w:rsid w:val="00093166"/>
    <w:rsid w:val="000E665F"/>
    <w:rsid w:val="000E7AD6"/>
    <w:rsid w:val="00101C12"/>
    <w:rsid w:val="00157CA1"/>
    <w:rsid w:val="00174DBA"/>
    <w:rsid w:val="001910F7"/>
    <w:rsid w:val="001938FF"/>
    <w:rsid w:val="00194F3F"/>
    <w:rsid w:val="001963D8"/>
    <w:rsid w:val="001D396C"/>
    <w:rsid w:val="001E6B4B"/>
    <w:rsid w:val="0021707E"/>
    <w:rsid w:val="00222C52"/>
    <w:rsid w:val="00235D26"/>
    <w:rsid w:val="00264DDE"/>
    <w:rsid w:val="002E425C"/>
    <w:rsid w:val="002F7CF4"/>
    <w:rsid w:val="003436DC"/>
    <w:rsid w:val="003A3098"/>
    <w:rsid w:val="003B4961"/>
    <w:rsid w:val="00422BD2"/>
    <w:rsid w:val="00432B1C"/>
    <w:rsid w:val="0043477B"/>
    <w:rsid w:val="00490CE1"/>
    <w:rsid w:val="004D074E"/>
    <w:rsid w:val="004E1061"/>
    <w:rsid w:val="00507528"/>
    <w:rsid w:val="00515FC9"/>
    <w:rsid w:val="005227F4"/>
    <w:rsid w:val="0054599D"/>
    <w:rsid w:val="00547593"/>
    <w:rsid w:val="00547D85"/>
    <w:rsid w:val="005543A5"/>
    <w:rsid w:val="00567A88"/>
    <w:rsid w:val="005A0182"/>
    <w:rsid w:val="005A3C65"/>
    <w:rsid w:val="005C2460"/>
    <w:rsid w:val="0061043C"/>
    <w:rsid w:val="006217B7"/>
    <w:rsid w:val="006272A6"/>
    <w:rsid w:val="00650F4D"/>
    <w:rsid w:val="0066395A"/>
    <w:rsid w:val="00663B92"/>
    <w:rsid w:val="00693C28"/>
    <w:rsid w:val="006C7666"/>
    <w:rsid w:val="006D41A1"/>
    <w:rsid w:val="006E32CB"/>
    <w:rsid w:val="006E504E"/>
    <w:rsid w:val="00704A5A"/>
    <w:rsid w:val="007249CA"/>
    <w:rsid w:val="00742437"/>
    <w:rsid w:val="0074519E"/>
    <w:rsid w:val="00746348"/>
    <w:rsid w:val="00746D13"/>
    <w:rsid w:val="00750A49"/>
    <w:rsid w:val="0075571F"/>
    <w:rsid w:val="0078793D"/>
    <w:rsid w:val="007A34D8"/>
    <w:rsid w:val="007B195E"/>
    <w:rsid w:val="007C58DE"/>
    <w:rsid w:val="008008E1"/>
    <w:rsid w:val="00803C71"/>
    <w:rsid w:val="0081082F"/>
    <w:rsid w:val="00811D17"/>
    <w:rsid w:val="00812A9B"/>
    <w:rsid w:val="00846BF4"/>
    <w:rsid w:val="008652EE"/>
    <w:rsid w:val="0087227F"/>
    <w:rsid w:val="00881EE6"/>
    <w:rsid w:val="008915B1"/>
    <w:rsid w:val="008B1228"/>
    <w:rsid w:val="008B61A7"/>
    <w:rsid w:val="008E6F39"/>
    <w:rsid w:val="008F2EBC"/>
    <w:rsid w:val="008F7CF5"/>
    <w:rsid w:val="00904292"/>
    <w:rsid w:val="009272BB"/>
    <w:rsid w:val="009309F7"/>
    <w:rsid w:val="00984820"/>
    <w:rsid w:val="009858E6"/>
    <w:rsid w:val="009E581C"/>
    <w:rsid w:val="00A0544A"/>
    <w:rsid w:val="00A13EB2"/>
    <w:rsid w:val="00A43DD7"/>
    <w:rsid w:val="00A4498E"/>
    <w:rsid w:val="00A50806"/>
    <w:rsid w:val="00AC3484"/>
    <w:rsid w:val="00AC65BD"/>
    <w:rsid w:val="00AC7761"/>
    <w:rsid w:val="00AE21C4"/>
    <w:rsid w:val="00B360E0"/>
    <w:rsid w:val="00B37101"/>
    <w:rsid w:val="00B9066C"/>
    <w:rsid w:val="00B956C0"/>
    <w:rsid w:val="00BB5649"/>
    <w:rsid w:val="00BC2E4A"/>
    <w:rsid w:val="00BD555A"/>
    <w:rsid w:val="00BD716C"/>
    <w:rsid w:val="00BF0275"/>
    <w:rsid w:val="00BF2F8A"/>
    <w:rsid w:val="00C0604C"/>
    <w:rsid w:val="00C11182"/>
    <w:rsid w:val="00C17732"/>
    <w:rsid w:val="00C411AF"/>
    <w:rsid w:val="00C41708"/>
    <w:rsid w:val="00C423FE"/>
    <w:rsid w:val="00C71055"/>
    <w:rsid w:val="00C86A44"/>
    <w:rsid w:val="00C94086"/>
    <w:rsid w:val="00CA39A0"/>
    <w:rsid w:val="00CA76C7"/>
    <w:rsid w:val="00CE457A"/>
    <w:rsid w:val="00D116C4"/>
    <w:rsid w:val="00D31C41"/>
    <w:rsid w:val="00D62E52"/>
    <w:rsid w:val="00D75559"/>
    <w:rsid w:val="00D80E00"/>
    <w:rsid w:val="00D84E3B"/>
    <w:rsid w:val="00D9047D"/>
    <w:rsid w:val="00DA4954"/>
    <w:rsid w:val="00E10974"/>
    <w:rsid w:val="00E12067"/>
    <w:rsid w:val="00E46B5C"/>
    <w:rsid w:val="00E73A10"/>
    <w:rsid w:val="00E95526"/>
    <w:rsid w:val="00EA4704"/>
    <w:rsid w:val="00EB09CA"/>
    <w:rsid w:val="00EC209E"/>
    <w:rsid w:val="00EC3040"/>
    <w:rsid w:val="00ED29EC"/>
    <w:rsid w:val="00F41BF3"/>
    <w:rsid w:val="00F64741"/>
    <w:rsid w:val="00F7665E"/>
    <w:rsid w:val="00FD6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572C87-B57E-426A-9EA3-DDBD537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autoRedefine/>
    <w:qFormat/>
    <w:rsid w:val="00432B1C"/>
    <w:pPr>
      <w:keepNext/>
      <w:shd w:val="pct12" w:color="000000" w:fill="FFFFFF"/>
      <w:tabs>
        <w:tab w:val="right" w:pos="9639"/>
      </w:tabs>
      <w:outlineLvl w:val="1"/>
    </w:pPr>
    <w:rPr>
      <w:rFonts w:ascii="Arial_CE" w:hAnsi="Arial_CE"/>
      <w:b/>
    </w:rPr>
  </w:style>
  <w:style w:type="paragraph" w:styleId="Nadpis3">
    <w:name w:val="heading 3"/>
    <w:basedOn w:val="Normln"/>
    <w:next w:val="Normln"/>
    <w:link w:val="Nadpis3Char"/>
    <w:autoRedefine/>
    <w:uiPriority w:val="99"/>
    <w:qFormat/>
    <w:rsid w:val="00D75559"/>
    <w:pPr>
      <w:keepNext/>
      <w:tabs>
        <w:tab w:val="left" w:pos="567"/>
      </w:tabs>
      <w:outlineLvl w:val="2"/>
    </w:pPr>
    <w:rPr>
      <w:rFonts w:ascii="Arial" w:hAnsi="Arial" w:cs="Arial"/>
      <w:b/>
      <w:szCs w:val="24"/>
    </w:rPr>
  </w:style>
  <w:style w:type="paragraph" w:styleId="Nadpis4">
    <w:name w:val="heading 4"/>
    <w:basedOn w:val="Normln"/>
    <w:next w:val="Normln"/>
    <w:autoRedefine/>
    <w:qFormat/>
    <w:rsid w:val="0074519E"/>
    <w:pPr>
      <w:keepNext/>
      <w:tabs>
        <w:tab w:val="right" w:pos="8222"/>
        <w:tab w:val="right" w:pos="9639"/>
      </w:tabs>
      <w:spacing w:before="120"/>
      <w:outlineLvl w:val="3"/>
    </w:pPr>
    <w:rPr>
      <w:rFonts w:ascii="Arial" w:hAnsi="Arial" w:cs="Arial"/>
      <w:b/>
    </w:rPr>
  </w:style>
  <w:style w:type="paragraph" w:styleId="Nadpis5">
    <w:name w:val="heading 5"/>
    <w:basedOn w:val="Normln"/>
    <w:next w:val="Normln"/>
    <w:qFormat/>
    <w:pPr>
      <w:keepNext/>
      <w:tabs>
        <w:tab w:val="left" w:pos="567"/>
        <w:tab w:val="right" w:pos="9072"/>
      </w:tabs>
      <w:outlineLvl w:val="4"/>
    </w:pPr>
    <w:rPr>
      <w:rFonts w:ascii="Arial" w:hAnsi="Arial"/>
      <w:b/>
      <w:bCs/>
      <w:sz w:val="22"/>
    </w:rPr>
  </w:style>
  <w:style w:type="paragraph" w:styleId="Nadpis6">
    <w:name w:val="heading 6"/>
    <w:basedOn w:val="Normln"/>
    <w:next w:val="Normln"/>
    <w:qFormat/>
    <w:pPr>
      <w:keepNext/>
      <w:spacing w:before="120"/>
      <w:jc w:val="both"/>
      <w:outlineLvl w:val="5"/>
    </w:pPr>
    <w:rPr>
      <w:rFonts w:ascii="Arial" w:hAnsi="Arial" w:cs="Arial"/>
      <w:b/>
      <w:color w:val="FF0000"/>
    </w:rPr>
  </w:style>
  <w:style w:type="paragraph" w:styleId="Nadpis7">
    <w:name w:val="heading 7"/>
    <w:basedOn w:val="Normln"/>
    <w:next w:val="Normln"/>
    <w:qFormat/>
    <w:pPr>
      <w:keepNext/>
      <w:tabs>
        <w:tab w:val="left" w:pos="4536"/>
        <w:tab w:val="right" w:pos="9072"/>
      </w:tabs>
      <w:outlineLvl w:val="6"/>
    </w:pPr>
    <w:rPr>
      <w:sz w:val="24"/>
      <w:u w:val="single"/>
    </w:rPr>
  </w:style>
  <w:style w:type="paragraph" w:styleId="Nadpis8">
    <w:name w:val="heading 8"/>
    <w:basedOn w:val="Normln"/>
    <w:next w:val="Normln"/>
    <w:qFormat/>
    <w:pPr>
      <w:keepNext/>
      <w:pBdr>
        <w:top w:val="single" w:sz="4" w:space="1" w:color="auto"/>
      </w:pBdr>
      <w:tabs>
        <w:tab w:val="left" w:pos="2268"/>
        <w:tab w:val="right" w:pos="9072"/>
      </w:tabs>
      <w:spacing w:before="120"/>
      <w:outlineLvl w:val="7"/>
    </w:pPr>
    <w:rPr>
      <w:b/>
      <w:sz w:val="28"/>
    </w:rPr>
  </w:style>
  <w:style w:type="paragraph" w:styleId="Nadpis9">
    <w:name w:val="heading 9"/>
    <w:basedOn w:val="Normln"/>
    <w:next w:val="Normln"/>
    <w:qFormat/>
    <w:pPr>
      <w:keepNext/>
      <w:jc w:val="center"/>
      <w:outlineLvl w:val="8"/>
    </w:pPr>
    <w:rPr>
      <w:rFonts w:ascii="Courier New" w:hAnsi="Courier New"/>
      <w:b/>
      <w:caps/>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ris">
    <w:name w:val="boris"/>
    <w:basedOn w:val="Normln"/>
    <w:pPr>
      <w:shd w:val="pct12" w:color="auto" w:fill="FFFFFF"/>
      <w:tabs>
        <w:tab w:val="right" w:pos="9072"/>
      </w:tabs>
      <w:outlineLvl w:val="0"/>
    </w:pPr>
    <w:rPr>
      <w:b/>
    </w:rPr>
  </w:style>
  <w:style w:type="paragraph" w:customStyle="1" w:styleId="nadpis30">
    <w:name w:val="nadpis 3"/>
    <w:basedOn w:val="Normln"/>
    <w:pPr>
      <w:tabs>
        <w:tab w:val="left" w:pos="2835"/>
      </w:tabs>
      <w:outlineLvl w:val="0"/>
    </w:pPr>
    <w:rPr>
      <w:b/>
      <w:caps/>
    </w:rPr>
  </w:style>
  <w:style w:type="paragraph" w:styleId="Zpat">
    <w:name w:val="footer"/>
    <w:basedOn w:val="Normln"/>
    <w:link w:val="ZpatChar"/>
    <w:pPr>
      <w:tabs>
        <w:tab w:val="center" w:pos="4536"/>
        <w:tab w:val="right" w:pos="9072"/>
      </w:tabs>
    </w:pPr>
    <w:rPr>
      <w:sz w:val="24"/>
    </w:rPr>
  </w:style>
  <w:style w:type="paragraph" w:styleId="Zkladntext2">
    <w:name w:val="Body Text 2"/>
    <w:basedOn w:val="Normln"/>
    <w:rPr>
      <w:rFonts w:ascii="Arial" w:hAnsi="Arial"/>
    </w:rPr>
  </w:style>
  <w:style w:type="paragraph" w:styleId="Zkladntext3">
    <w:name w:val="Body Text 3"/>
    <w:basedOn w:val="Normln"/>
    <w:pPr>
      <w:tabs>
        <w:tab w:val="left" w:pos="3119"/>
        <w:tab w:val="right" w:pos="6237"/>
      </w:tabs>
    </w:pPr>
    <w:rPr>
      <w:b/>
      <w:sz w:val="24"/>
    </w:r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hlav">
    <w:name w:val="header"/>
    <w:basedOn w:val="Normln"/>
    <w:link w:val="ZhlavChar"/>
    <w:uiPriority w:val="99"/>
    <w:pPr>
      <w:tabs>
        <w:tab w:val="center" w:pos="4536"/>
        <w:tab w:val="right" w:pos="9072"/>
      </w:tabs>
    </w:pPr>
  </w:style>
  <w:style w:type="paragraph" w:styleId="Zkladntext">
    <w:name w:val="Body Text"/>
    <w:aliases w:val="Smlouva"/>
    <w:basedOn w:val="Normln"/>
    <w:pPr>
      <w:jc w:val="both"/>
    </w:pPr>
    <w:rPr>
      <w:rFonts w:ascii="Arial" w:hAnsi="Arial"/>
    </w:rPr>
  </w:style>
  <w:style w:type="paragraph" w:styleId="Textkomente">
    <w:name w:val="annotation text"/>
    <w:basedOn w:val="Normln"/>
    <w:semiHidden/>
  </w:style>
  <w:style w:type="table" w:styleId="Mkatabulky">
    <w:name w:val="Table Grid"/>
    <w:basedOn w:val="Normlntabulka"/>
    <w:rsid w:val="00D3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75559"/>
    <w:rPr>
      <w:rFonts w:cs="YIULPZ+Generali-Light"/>
      <w:color w:val="000000"/>
      <w:sz w:val="14"/>
      <w:szCs w:val="14"/>
    </w:rPr>
  </w:style>
  <w:style w:type="paragraph" w:styleId="Textbubliny">
    <w:name w:val="Balloon Text"/>
    <w:basedOn w:val="Normln"/>
    <w:semiHidden/>
    <w:rsid w:val="009858E6"/>
    <w:rPr>
      <w:rFonts w:ascii="Tahoma" w:hAnsi="Tahoma" w:cs="Tahoma"/>
      <w:sz w:val="16"/>
      <w:szCs w:val="16"/>
    </w:rPr>
  </w:style>
  <w:style w:type="paragraph" w:styleId="Zkladntextodsazen">
    <w:name w:val="Body Text Indent"/>
    <w:basedOn w:val="Normln"/>
    <w:rsid w:val="003A3098"/>
    <w:pPr>
      <w:spacing w:after="120"/>
      <w:ind w:left="283"/>
    </w:pPr>
  </w:style>
  <w:style w:type="character" w:customStyle="1" w:styleId="ZhlavChar">
    <w:name w:val="Záhlaví Char"/>
    <w:link w:val="Zhlav"/>
    <w:uiPriority w:val="99"/>
    <w:rsid w:val="00A43DD7"/>
  </w:style>
  <w:style w:type="character" w:customStyle="1" w:styleId="Nadpis3Char">
    <w:name w:val="Nadpis 3 Char"/>
    <w:basedOn w:val="Standardnpsmoodstavce"/>
    <w:link w:val="Nadpis3"/>
    <w:uiPriority w:val="99"/>
    <w:locked/>
    <w:rsid w:val="00101C12"/>
    <w:rPr>
      <w:rFonts w:ascii="Arial" w:hAnsi="Arial" w:cs="Arial"/>
      <w:b/>
      <w:szCs w:val="24"/>
    </w:rPr>
  </w:style>
  <w:style w:type="character" w:customStyle="1" w:styleId="ZpatChar">
    <w:name w:val="Zápatí Char"/>
    <w:link w:val="Zpat"/>
    <w:rsid w:val="00515F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802">
      <w:bodyDiv w:val="1"/>
      <w:marLeft w:val="0"/>
      <w:marRight w:val="0"/>
      <w:marTop w:val="0"/>
      <w:marBottom w:val="0"/>
      <w:divBdr>
        <w:top w:val="none" w:sz="0" w:space="0" w:color="auto"/>
        <w:left w:val="none" w:sz="0" w:space="0" w:color="auto"/>
        <w:bottom w:val="none" w:sz="0" w:space="0" w:color="auto"/>
        <w:right w:val="none" w:sz="0" w:space="0" w:color="auto"/>
      </w:divBdr>
    </w:div>
    <w:div w:id="365956682">
      <w:bodyDiv w:val="1"/>
      <w:marLeft w:val="0"/>
      <w:marRight w:val="0"/>
      <w:marTop w:val="0"/>
      <w:marBottom w:val="0"/>
      <w:divBdr>
        <w:top w:val="none" w:sz="0" w:space="0" w:color="auto"/>
        <w:left w:val="none" w:sz="0" w:space="0" w:color="auto"/>
        <w:bottom w:val="none" w:sz="0" w:space="0" w:color="auto"/>
        <w:right w:val="none" w:sz="0" w:space="0" w:color="auto"/>
      </w:divBdr>
    </w:div>
    <w:div w:id="463470831">
      <w:bodyDiv w:val="1"/>
      <w:marLeft w:val="0"/>
      <w:marRight w:val="0"/>
      <w:marTop w:val="0"/>
      <w:marBottom w:val="0"/>
      <w:divBdr>
        <w:top w:val="none" w:sz="0" w:space="0" w:color="auto"/>
        <w:left w:val="none" w:sz="0" w:space="0" w:color="auto"/>
        <w:bottom w:val="none" w:sz="0" w:space="0" w:color="auto"/>
        <w:right w:val="none" w:sz="0" w:space="0" w:color="auto"/>
      </w:divBdr>
    </w:div>
    <w:div w:id="20006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5156</Characters>
  <Application>Microsoft Office Word</Application>
  <DocSecurity>4</DocSecurity>
  <Lines>42</Lines>
  <Paragraphs>12</Paragraphs>
  <ScaleCrop>false</ScaleCrop>
  <HeadingPairs>
    <vt:vector size="2" baseType="variant">
      <vt:variant>
        <vt:lpstr>Název</vt:lpstr>
      </vt:variant>
      <vt:variant>
        <vt:i4>1</vt:i4>
      </vt:variant>
    </vt:vector>
  </HeadingPairs>
  <TitlesOfParts>
    <vt:vector size="1" baseType="lpstr">
      <vt:lpstr>Pojistná smlouva na pojištění majetku a odpovědnosti za škodu</vt:lpstr>
    </vt:vector>
  </TitlesOfParts>
  <Company>Generali Pojišťovna a.s.</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na pojištění majetku a odpovědnosti za škodu</dc:title>
  <dc:creator>Rousková Alena</dc:creator>
  <cp:lastModifiedBy>Stanislava Gondzsalová</cp:lastModifiedBy>
  <cp:revision>2</cp:revision>
  <cp:lastPrinted>2014-11-04T16:13:00Z</cp:lastPrinted>
  <dcterms:created xsi:type="dcterms:W3CDTF">2018-01-08T06:12:00Z</dcterms:created>
  <dcterms:modified xsi:type="dcterms:W3CDTF">2018-01-08T06:12:00Z</dcterms:modified>
</cp:coreProperties>
</file>