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SMLOUVA O DÍLO SD 2018/1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Smluvní strany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Objednatel :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Národní kulturní památka Vy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šehrad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organisace hl.m. Prahy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 sídlem  V pevnosti 159/5b, 128 00  Praha 2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zastoupený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ředitelem: Ing. Františkem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ádníkem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  :  004 19 745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: CZ 00419745</w:t>
        <w:tab/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Tel :  241410348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Zhotovitel : </w:t>
        <w:tab/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STAVOS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Ing.Horá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ček, s.r.o.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 sídlem -  Pikovická 206/11, 147 00 Praha 4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Adresa provozovny, zasílací adresa: Perunova 10/1412, 130 00 Praha 3</w:t>
        <w:tab/>
        <w:tab/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Zastoupena jednatelem :  Ing.T.Horá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čkem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  :  25118056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: CZ25118056</w:t>
        <w:tab/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Tel,Fax:  272 739 603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e-mail : info@stavos-horacek.cz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5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ředmět 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ísto 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se zavazuje v termínech stanovených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III.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 dílo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ředat objednateli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Oprava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údr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žba veřejn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WC za kostelem na parc.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76/2 v are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álu NKP Vy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šehrad“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projektu Ing. Arch. Z. Kabel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 z 08/2017 a v rozsahu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Dílo bude z hlediska technologických postup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kvalitativn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podmínek provedeno dle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norem a 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stavebních zvyklostí.</w:t>
      </w:r>
    </w:p>
    <w:p>
      <w:pPr>
        <w:numPr>
          <w:ilvl w:val="0"/>
          <w:numId w:val="7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se zavazuje k realizaci tohoto díla a objednatel k jeho zaplacení.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9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 plněn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se zavazuje splnit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ávazek tak, jak je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 v 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ánku II. této smlouvy, v následujících termínech:</w:t>
      </w:r>
    </w:p>
    <w:p>
      <w:pPr>
        <w:tabs>
          <w:tab w:val="left" w:pos="2520" w:leader="none"/>
          <w:tab w:val="left" w:pos="540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  <w:tab w:val="left" w:pos="54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Termín zahájení        - 15.1.2018 </w:t>
      </w:r>
    </w:p>
    <w:p>
      <w:pPr>
        <w:tabs>
          <w:tab w:val="left" w:pos="2520" w:leader="none"/>
          <w:tab w:val="left" w:pos="54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</w:p>
    <w:p>
      <w:pPr>
        <w:tabs>
          <w:tab w:val="left" w:pos="2520" w:leader="none"/>
          <w:tab w:val="left" w:pos="54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Termín 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   - 16.2.2018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 důvodů,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prokazateln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 straně objednatele, bude zhotoviteli zabr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 v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jeho smluvních povinností, nebo nastanou klimatické podmínky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nevhodné pro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díla, má  zhotovitel právo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řiměřeně prodloužit sjednanou dobu na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díla.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že objednatel pož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 zhotovitele o provedení víceprací, které mají prokazateln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vliv na časov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postup prací, má zhotovitel nárok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řiměřen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posunutí termínu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9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tabs>
          <w:tab w:val="left" w:pos="357" w:leader="none"/>
          <w:tab w:val="decimal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tabs>
          <w:tab w:val="left" w:pos="2520" w:leader="none"/>
          <w:tab w:val="left" w:pos="400" w:leader="none"/>
        </w:tabs>
        <w:suppressAutoHyphens w:val="true"/>
        <w:spacing w:before="0" w:after="0" w:line="240"/>
        <w:ind w:right="0" w:left="40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za dílo byla stanovena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ídkového 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čtu.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1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7" w:leader="none"/>
          <w:tab w:val="decimal" w:pos="0" w:leader="none"/>
        </w:tabs>
        <w:suppressAutoHyphens w:val="true"/>
        <w:spacing w:before="0" w:after="0" w:line="240"/>
        <w:ind w:right="0" w:left="4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Celková cena za dílo bez  DPH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549.696,36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357" w:leader="none"/>
          <w:tab w:val="decimal" w:pos="0" w:leader="none"/>
        </w:tabs>
        <w:suppressAutoHyphens w:val="true"/>
        <w:spacing w:before="0" w:after="0" w:line="240"/>
        <w:ind w:right="0" w:left="4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DPH 21 %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115.436,24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tabs>
          <w:tab w:val="left" w:pos="357" w:leader="none"/>
          <w:tab w:val="decimal" w:pos="0" w:leader="none"/>
        </w:tabs>
        <w:suppressAutoHyphens w:val="true"/>
        <w:spacing w:before="0" w:after="0" w:line="240"/>
        <w:ind w:right="0" w:left="4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Celková cena za dílo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21 % DPH 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  <w:tab/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665.132,60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decimal" w:pos="0" w:leader="none"/>
          <w:tab w:val="decimal" w:pos="400" w:leader="none"/>
        </w:tabs>
        <w:suppressAutoHyphens w:val="true"/>
        <w:spacing w:before="0" w:after="0" w:line="240"/>
        <w:ind w:right="0" w:left="40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numPr>
          <w:ilvl w:val="0"/>
          <w:numId w:val="25"/>
        </w:numPr>
        <w:tabs>
          <w:tab w:val="left" w:pos="2520" w:leader="none"/>
          <w:tab w:val="decimal" w:pos="0" w:leader="none"/>
          <w:tab w:val="decimal" w:pos="400" w:leader="none"/>
        </w:tabs>
        <w:suppressAutoHyphens w:val="true"/>
        <w:spacing w:before="0" w:after="0" w:line="240"/>
        <w:ind w:right="0" w:left="40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Uvedená cena je cenou maximální, pokud se nezm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smluvní rozsah prací, nebo sazba DPH. Náklady na dopravu na místo stavby, náklady na ochranná a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áklady na denní úklid staveni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jsou zahrnuty v 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nabídky. Neprovedené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žky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budou z celkové ceny ode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čteny jako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áce.</w:t>
      </w:r>
    </w:p>
    <w:p>
      <w:pPr>
        <w:tabs>
          <w:tab w:val="left" w:pos="2520" w:leader="none"/>
          <w:tab w:val="decimal" w:pos="0" w:leader="none"/>
          <w:tab w:val="decimal" w:pos="400" w:leader="none"/>
        </w:tabs>
        <w:suppressAutoHyphens w:val="true"/>
        <w:spacing w:before="0" w:after="0" w:line="240"/>
        <w:ind w:right="0" w:left="40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tabs>
          <w:tab w:val="left" w:pos="2520" w:leader="none"/>
          <w:tab w:val="decimal" w:pos="0" w:leader="none"/>
          <w:tab w:val="decimal" w:pos="400" w:leader="none"/>
        </w:tabs>
        <w:suppressAutoHyphens w:val="true"/>
        <w:spacing w:before="0" w:after="0" w:line="240"/>
        <w:ind w:right="0" w:left="40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Vícepráce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objednatelem budou zhotoviteli uhrazeny 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šť. Ujedn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ceny za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ícepráce bude provedeno písemn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před zač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átkem jejich realizace.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žadavek na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ěchto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íceprací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objednatel uplatnit buď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ápisem ve stavebním deníku nebo v podob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projektov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dokumentace nebo jinou technicky srozumitelnou formou. </w:t>
      </w:r>
    </w:p>
    <w:p>
      <w:pPr>
        <w:tabs>
          <w:tab w:val="left" w:pos="2520" w:leader="none"/>
          <w:tab w:val="decimal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tabs>
          <w:tab w:val="left" w:pos="2520" w:leader="none"/>
          <w:tab w:val="decimal" w:pos="0" w:leader="none"/>
          <w:tab w:val="decimal" w:pos="400" w:leader="none"/>
        </w:tabs>
        <w:suppressAutoHyphens w:val="true"/>
        <w:spacing w:before="0" w:after="0" w:line="240"/>
        <w:ind w:right="0" w:left="40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vícepráce bude stanovena dle jednotkových  cen z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nabídky. Vícepráce, které se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nabídce nevyskytovaly  budou  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dle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cenového  podkladu jako ceny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 nabídce.</w:t>
      </w:r>
    </w:p>
    <w:p>
      <w:pPr>
        <w:tabs>
          <w:tab w:val="left" w:pos="2520" w:leader="none"/>
          <w:tab w:val="left" w:pos="400" w:leader="none"/>
        </w:tabs>
        <w:suppressAutoHyphens w:val="true"/>
        <w:spacing w:before="0" w:after="0" w:line="240"/>
        <w:ind w:right="0" w:left="40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6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3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Platební podmínky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5"/>
        </w:numPr>
        <w:tabs>
          <w:tab w:val="left" w:pos="2520" w:leader="none"/>
          <w:tab w:val="left" w:pos="100" w:leader="none"/>
          <w:tab w:val="left" w:pos="400" w:leader="none"/>
          <w:tab w:val="left" w:pos="6840" w:leader="none"/>
        </w:tabs>
        <w:suppressAutoHyphens w:val="true"/>
        <w:spacing w:before="0" w:after="0" w:line="240"/>
        <w:ind w:right="0" w:left="4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bude fakturovat dle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prací a to do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90% 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ceny.</w:t>
      </w:r>
    </w:p>
    <w:p>
      <w:pPr>
        <w:tabs>
          <w:tab w:val="left" w:pos="2520" w:leader="none"/>
          <w:tab w:val="left" w:pos="400" w:leader="none"/>
          <w:tab w:val="left" w:pos="6840" w:leader="none"/>
        </w:tabs>
        <w:suppressAutoHyphens w:val="true"/>
        <w:spacing w:before="0" w:after="0" w:line="24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tabs>
          <w:tab w:val="left" w:pos="2520" w:leader="none"/>
          <w:tab w:val="left" w:pos="100" w:leader="none"/>
          <w:tab w:val="left" w:pos="400" w:leader="none"/>
          <w:tab w:val="left" w:pos="6840" w:leader="none"/>
        </w:tabs>
        <w:suppressAutoHyphens w:val="true"/>
        <w:spacing w:before="0" w:after="0" w:line="240"/>
        <w:ind w:right="0" w:left="4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faktura do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100% 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ceny bude objednatelem proplacena po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díla a odstran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ípadných vad a nedod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ělků.</w:t>
      </w:r>
    </w:p>
    <w:p>
      <w:pPr>
        <w:tabs>
          <w:tab w:val="left" w:pos="2520" w:leader="none"/>
          <w:tab w:val="left" w:pos="400" w:leader="none"/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2520" w:leader="none"/>
          <w:tab w:val="left" w:pos="100" w:leader="none"/>
          <w:tab w:val="left" w:pos="400" w:leader="none"/>
        </w:tabs>
        <w:suppressAutoHyphens w:val="true"/>
        <w:spacing w:before="0" w:after="0" w:line="240"/>
        <w:ind w:right="0" w:left="4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Úhradu provede objednatel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íkazem na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zhotovitele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 faktur a podkladů podle odst. V.1.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smlouvy, do 21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ode dne doručen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pochybnostech se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faktura byla doručena do 3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 data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prokazatelného odeslání na adresu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íjemce.  Faktura musí mít 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žitosti daňov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dokladu.</w:t>
      </w:r>
    </w:p>
    <w:p>
      <w:pPr>
        <w:tabs>
          <w:tab w:val="left" w:pos="100" w:leader="none"/>
          <w:tab w:val="left" w:pos="400" w:leader="none"/>
        </w:tabs>
        <w:suppressAutoHyphens w:val="true"/>
        <w:spacing w:before="0" w:after="0" w:line="240"/>
        <w:ind w:right="0" w:left="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42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Smluvní pokuty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zhotovitele s 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díla se sjednává smluvní pokuta zhotoviteli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0,05% z 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ceny díla,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i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prodlení.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objednatele s úhradou faktury se sjednává smluvní pokuta objednateli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0,05% z ceny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faktury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prodlení.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Právo na náhradu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škody, vznikl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objednateli z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ůvodu 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zhotovitele,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objednateli zachováno.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50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Povinnosti objednatele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Objednatel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zhotoviteli zápisem prostor staveni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poskytne zhotoviteli prostor pro uložen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drobného materiálu,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zajist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specifické podmínky dohodnuté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ště, např. napojen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el. energie a vody pro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řebu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prací a to proti úhrad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zhotovitele.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52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Povinnosti zhotovitele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Zhotovitel je povinen zejména: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tabs>
          <w:tab w:val="left" w:pos="2520" w:leader="none"/>
        </w:tabs>
        <w:suppressAutoHyphens w:val="true"/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žovat 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technické normy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ČSN) v rozsahu jejich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ávazných i nezávazných (doporu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ých) ustanovení. </w:t>
      </w:r>
    </w:p>
    <w:p>
      <w:pPr>
        <w:numPr>
          <w:ilvl w:val="0"/>
          <w:numId w:val="56"/>
        </w:numPr>
        <w:tabs>
          <w:tab w:val="left" w:pos="2520" w:leader="none"/>
        </w:tabs>
        <w:suppressAutoHyphens w:val="true"/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Ode dne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staveni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stavební deník a zapisovat do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 všechny skutečnosti   rozhodn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smlouvy</w:t>
      </w:r>
    </w:p>
    <w:p>
      <w:pPr>
        <w:numPr>
          <w:ilvl w:val="0"/>
          <w:numId w:val="56"/>
        </w:numPr>
        <w:tabs>
          <w:tab w:val="left" w:pos="2520" w:leader="none"/>
        </w:tabs>
        <w:suppressAutoHyphens w:val="true"/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Akceptovat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stavby pokyny technického dozoru objednatele, které jsou zapsány do stavebního deníku</w:t>
      </w:r>
    </w:p>
    <w:p>
      <w:pPr>
        <w:numPr>
          <w:ilvl w:val="0"/>
          <w:numId w:val="56"/>
        </w:numPr>
        <w:tabs>
          <w:tab w:val="left" w:pos="2520" w:leader="none"/>
        </w:tabs>
        <w:suppressAutoHyphens w:val="true"/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celou dobu stavby,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do vyklizen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žovat poř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ádek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čistotu na staveništi a odstraňovat odpad, vznikl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jeho činnosti, jakož i zajišťovat odvoz odpadu vznikl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 v souvislosti s realizací díla.</w:t>
      </w:r>
    </w:p>
    <w:p>
      <w:pPr>
        <w:numPr>
          <w:ilvl w:val="0"/>
          <w:numId w:val="56"/>
        </w:numPr>
        <w:tabs>
          <w:tab w:val="left" w:pos="2520" w:leader="none"/>
        </w:tabs>
        <w:suppressAutoHyphens w:val="true"/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žovat 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ínky stanovené pro stavební práce orgány památkové 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če,ochrany 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 ostatních 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átní správy,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řičemž vešker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pokuty za nedodr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jdou na vrub zhotovitele a nesm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být 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čteny do ceny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íla.</w:t>
      </w:r>
    </w:p>
    <w:p>
      <w:pPr>
        <w:numPr>
          <w:ilvl w:val="0"/>
          <w:numId w:val="56"/>
        </w:numPr>
        <w:tabs>
          <w:tab w:val="left" w:pos="2520" w:leader="none"/>
        </w:tabs>
        <w:suppressAutoHyphens w:val="true"/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šťovat opatřen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 hlediska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 a ochrany zdraví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protipož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árních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vyplývající z povahy práce, a to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řiměřen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spolupráci  s objednatelem.</w:t>
      </w:r>
    </w:p>
    <w:p>
      <w:pPr>
        <w:numPr>
          <w:ilvl w:val="0"/>
          <w:numId w:val="56"/>
        </w:numPr>
        <w:tabs>
          <w:tab w:val="left" w:pos="2520" w:leader="none"/>
        </w:tabs>
        <w:suppressAutoHyphens w:val="true"/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Vyklidit staveni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do 1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ýdne dne po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stavby   objednateli.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je povinen provést dílo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a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 svůj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 a na své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podle 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této smlouvy.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0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je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 předat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ukončen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dílo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termínem a za podmínek této  smlouvy je objednatel povinen dílo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zajist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tak, aby činnost na pracovišti nezatěžovala  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hlukem a pra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5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se zavazuje provést na vlastní náklady opravu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vzniknou jeho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staveni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 i na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ástech stavby.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67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ímání díla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9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se zavazuje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ředat objednateli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dílo nejpozd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v 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ínech uvedených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ánku III. této smlouvy.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Objednatel je povinen zahájit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ímací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provedeného díla do 7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ýzvy zhotovitele ve stavebním deníku.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ímací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se uskute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stavb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je povinen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řipravit před zah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ájením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ímacího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nezbytné doklady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ředat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ápisem objednateli.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6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ímacím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se vyhotoví zápis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 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díla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“, který podepí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osoby obou smluvních stran.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8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dílo se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 bezvadné. Pokud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íla vykazuje významné vady, není objednatel povinen takové dílo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ít.  Objednatel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převz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dílo i s drobnými vadami, které nebrání 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ívání díla a nesni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jakost díla.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0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je povinen odstranit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závady z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ímky nejpozd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ve lhůtě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 zápise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2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Neodstraní-li zhotovitel závady z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ímky do termínu uvedeného v zápise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zavazuje se objednateli uhradit smluvní pokutu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200,- Kč za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prodlení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do doby potvrzen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 odstran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závad.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85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doba a odpov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ědnost za vady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300" w:hanging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Zhotovitel 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 úplné a kvalitní provedení a funkci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ředmětu smlouvy v rozsahu a        parametrech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 ustanoveními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ČSN,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ávazných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a touto smlouvou po dobu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36 měs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ode dne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 díla  objednateli. 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300" w:hanging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300" w:hanging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 zji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 vady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ůběhu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áruky budou odstran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ěny neprodleně. O způsobu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200" w:hanging="2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odstran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 závady bude sepsán protokol. Práce na odstra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ání závad budou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čeny do   20 dnů ode dne nahl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 závady.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ě, že by dodržov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ání technologických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ředpisů               neumožňovalo dokončen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 opravy  závady do 20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ů, bude 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ín na odstran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 závady prodlou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žen o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šnou dobu  potřebnou pro dodržen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 technologických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ředpisů. Po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éto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ůtě je objednatel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ěn   odstranit vady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ám na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čet zhotovitele.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90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Ostatní ujednání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zhotovitel nemůže dokončit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 v termínech stanovených touto smlouvou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žky na straně objednatele ,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 přek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žky způsoben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mocí, zejména nevhodné klimatické podmínky, pak nelze uplatnit sankce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VI.  a čl. X.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94"/>
        </w:numPr>
        <w:tabs>
          <w:tab w:val="left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1080" w:hanging="29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ustanovení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6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smlouva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ěněna nebo doplňov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 pouze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íslovanými písemnými dodatky, podepsanými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stranami.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8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Smlouva je vyhotovena ve 4 stejnopisech s platností originálu, z nich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si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smluvní strana ponechá 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vyhotoven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0"/>
        </w:num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šuje, že je pojištěn proti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v rámci  své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při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pojištěn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ědnosti za škody způsoben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osobám.Smluvní strany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 jim obsah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si ji přečetly, že ji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írají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svobodné, pravé a 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ůle a že smlouva nebyla uzavřena v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ísni nebo za nápadn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ýhodných podmínek.</w:t>
      </w: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souladu se zákonem o registraci smluv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č.340/2015 Sb. se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 tato smlouva 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činnou nejdř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íve dnem jejího uve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ve smyslu §5 Zákona o registraci smluv. Smluvní strany se zve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této smlouvy v registru smluv souhlasí.</w:t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20" w:leader="none"/>
        </w:tabs>
        <w:suppressAutoHyphens w:val="true"/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smlouva nabývá platnosti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dnem podpisu oběma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stranami.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Praze dne: 10.1.2018</w:t>
        <w:tab/>
        <w:t xml:space="preserve">                              V Praze dne: 10.1.2018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…………………………….                                   …………………………….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za objednatele                                                         za zhotovitele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Ing.Franti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šek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ádník                                           Ing. Tomá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Hor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NKP Vyšehrad                                                    jednatel                                </w:t>
        <w:tab/>
      </w:r>
    </w:p>
    <w:p>
      <w:pPr>
        <w:tabs>
          <w:tab w:val="decimal" w:pos="357" w:leader="none"/>
          <w:tab w:val="left" w:pos="6299" w:leader="none"/>
          <w:tab w:val="left" w:pos="8278" w:leader="none"/>
          <w:tab w:val="left" w:pos="10438" w:leader="none"/>
          <w:tab w:val="left" w:pos="12962" w:leader="none"/>
        </w:tabs>
        <w:suppressAutoHyphens w:val="true"/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18">
    <w:lvl w:ilvl="0">
      <w:start w:val="1"/>
      <w:numFmt w:val="bullet"/>
      <w:lvlText w:val="•"/>
    </w:lvl>
  </w:abstractNum>
  <w:abstractNum w:abstractNumId="25">
    <w:lvl w:ilvl="0">
      <w:start w:val="1"/>
      <w:numFmt w:val="decimal"/>
      <w:lvlText w:val="%1."/>
    </w:lvl>
  </w:abstractNum>
  <w:abstractNum w:abstractNumId="31">
    <w:lvl w:ilvl="0">
      <w:start w:val="1"/>
      <w:numFmt w:val="decimal"/>
      <w:lvlText w:val="%1."/>
    </w:lvl>
  </w:abstractNum>
  <w:abstractNum w:abstractNumId="37">
    <w:lvl w:ilvl="0">
      <w:start w:val="1"/>
      <w:numFmt w:val="decimal"/>
      <w:lvlText w:val="%1."/>
    </w:lvl>
  </w:abstractNum>
  <w:abstractNum w:abstractNumId="43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49">
    <w:lvl w:ilvl="0">
      <w:start w:val="1"/>
      <w:numFmt w:val="decimal"/>
      <w:lvlText w:val="%1."/>
    </w:lvl>
  </w:abstractNum>
  <w:abstractNum w:abstractNumId="55">
    <w:lvl w:ilvl="0">
      <w:start w:val="1"/>
      <w:numFmt w:val="decimal"/>
      <w:lvlText w:val="%1."/>
    </w:lvl>
  </w:abstractNum>
  <w:abstractNum w:abstractNumId="61">
    <w:lvl w:ilvl="0">
      <w:start w:val="1"/>
      <w:numFmt w:val="decimal"/>
      <w:lvlText w:val="%1.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67">
    <w:lvl w:ilvl="0">
      <w:start w:val="1"/>
      <w:numFmt w:val="decimal"/>
      <w:lvlText w:val="%1."/>
    </w:lvl>
  </w:abstractNum>
  <w:abstractNum w:abstractNumId="73">
    <w:lvl w:ilvl="0">
      <w:start w:val="1"/>
      <w:numFmt w:val="decimal"/>
      <w:lvlText w:val="%1."/>
    </w:lvl>
  </w:abstractNum>
  <w:abstractNum w:abstractNumId="79">
    <w:lvl w:ilvl="0">
      <w:start w:val="1"/>
      <w:numFmt w:val="decimal"/>
      <w:lvlText w:val="%1."/>
    </w:lvl>
  </w:abstractNum>
  <w:abstractNum w:abstractNumId="85">
    <w:lvl w:ilvl="0">
      <w:start w:val="1"/>
      <w:numFmt w:val="decimal"/>
      <w:lvlText w:val="%1."/>
    </w:lvl>
  </w:abstractNum>
  <w:abstractNum w:abstractNumId="91">
    <w:lvl w:ilvl="0">
      <w:start w:val="1"/>
      <w:numFmt w:val="decimal"/>
      <w:lvlText w:val="%1."/>
    </w:lvl>
  </w:abstractNum>
  <w:abstractNum w:abstractNumId="97">
    <w:lvl w:ilvl="0">
      <w:start w:val="1"/>
      <w:numFmt w:val="decimal"/>
      <w:lvlText w:val="%1."/>
    </w:lvl>
  </w:abstractNum>
  <w:abstractNum w:abstractNumId="103">
    <w:lvl w:ilvl="0">
      <w:start w:val="1"/>
      <w:numFmt w:val="decimal"/>
      <w:lvlText w:val="%1.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09">
    <w:lvl w:ilvl="0">
      <w:start w:val="1"/>
      <w:numFmt w:val="decimal"/>
      <w:lvlText w:val="%1."/>
    </w:lvl>
  </w:abstractNum>
  <w:abstractNum w:abstractNumId="115">
    <w:lvl w:ilvl="0">
      <w:start w:val="1"/>
      <w:numFmt w:val="decimal"/>
      <w:lvlText w:val="%1."/>
    </w:lvl>
  </w:abstractNum>
  <w:abstractNum w:abstractNumId="121">
    <w:lvl w:ilvl="0">
      <w:start w:val="1"/>
      <w:numFmt w:val="decimal"/>
      <w:lvlText w:val="%1."/>
    </w:lvl>
  </w:abstractNum>
  <w:num w:numId="3">
    <w:abstractNumId w:val="120"/>
  </w:num>
  <w:num w:numId="5">
    <w:abstractNumId w:val="114"/>
  </w:num>
  <w:num w:numId="7">
    <w:abstractNumId w:val="121"/>
  </w:num>
  <w:num w:numId="9">
    <w:abstractNumId w:val="108"/>
  </w:num>
  <w:num w:numId="11">
    <w:abstractNumId w:val="115"/>
  </w:num>
  <w:num w:numId="15">
    <w:abstractNumId w:val="109"/>
  </w:num>
  <w:num w:numId="17">
    <w:abstractNumId w:val="103"/>
  </w:num>
  <w:num w:numId="19">
    <w:abstractNumId w:val="102"/>
  </w:num>
  <w:num w:numId="21">
    <w:abstractNumId w:val="97"/>
  </w:num>
  <w:num w:numId="25">
    <w:abstractNumId w:val="91"/>
  </w:num>
  <w:num w:numId="27">
    <w:abstractNumId w:val="85"/>
  </w:num>
  <w:num w:numId="29">
    <w:abstractNumId w:val="79"/>
  </w:num>
  <w:num w:numId="33">
    <w:abstractNumId w:val="96"/>
  </w:num>
  <w:num w:numId="35">
    <w:abstractNumId w:val="90"/>
  </w:num>
  <w:num w:numId="37">
    <w:abstractNumId w:val="84"/>
  </w:num>
  <w:num w:numId="39">
    <w:abstractNumId w:val="78"/>
  </w:num>
  <w:num w:numId="42">
    <w:abstractNumId w:val="72"/>
  </w:num>
  <w:num w:numId="44">
    <w:abstractNumId w:val="73"/>
  </w:num>
  <w:num w:numId="46">
    <w:abstractNumId w:val="67"/>
  </w:num>
  <w:num w:numId="48">
    <w:abstractNumId w:val="61"/>
  </w:num>
  <w:num w:numId="50">
    <w:abstractNumId w:val="66"/>
  </w:num>
  <w:num w:numId="52">
    <w:abstractNumId w:val="60"/>
  </w:num>
  <w:num w:numId="54">
    <w:abstractNumId w:val="54"/>
  </w:num>
  <w:num w:numId="56">
    <w:abstractNumId w:val="48"/>
  </w:num>
  <w:num w:numId="58">
    <w:abstractNumId w:val="42"/>
  </w:num>
  <w:num w:numId="60">
    <w:abstractNumId w:val="36"/>
  </w:num>
  <w:num w:numId="62">
    <w:abstractNumId w:val="30"/>
  </w:num>
  <w:num w:numId="65">
    <w:abstractNumId w:val="24"/>
  </w:num>
  <w:num w:numId="67">
    <w:abstractNumId w:val="18"/>
  </w:num>
  <w:num w:numId="69">
    <w:abstractNumId w:val="55"/>
  </w:num>
  <w:num w:numId="71">
    <w:abstractNumId w:val="49"/>
  </w:num>
  <w:num w:numId="73">
    <w:abstractNumId w:val="43"/>
  </w:num>
  <w:num w:numId="76">
    <w:abstractNumId w:val="37"/>
  </w:num>
  <w:num w:numId="78">
    <w:abstractNumId w:val="31"/>
  </w:num>
  <w:num w:numId="80">
    <w:abstractNumId w:val="25"/>
  </w:num>
  <w:num w:numId="82">
    <w:abstractNumId w:val="19"/>
  </w:num>
  <w:num w:numId="85">
    <w:abstractNumId w:val="12"/>
  </w:num>
  <w:num w:numId="90">
    <w:abstractNumId w:val="6"/>
  </w:num>
  <w:num w:numId="94">
    <w:abstractNumId w:val="0"/>
  </w:num>
  <w:num w:numId="96">
    <w:abstractNumId w:val="13"/>
  </w:num>
  <w:num w:numId="98">
    <w:abstractNumId w:val="7"/>
  </w:num>
  <w:num w:numId="100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