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E4" w:rsidRPr="00D64C29" w:rsidRDefault="008F2DE4" w:rsidP="008F2DE4">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8F2DE4" w:rsidRDefault="008F2DE4" w:rsidP="008F2DE4">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8F2DE4" w:rsidRPr="00D64C29" w:rsidRDefault="008F2DE4" w:rsidP="008F2DE4">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FB7047">
        <w:rPr>
          <w:rFonts w:asciiTheme="minorHAnsi" w:hAnsiTheme="minorHAnsi" w:cstheme="minorHAnsi"/>
          <w:b/>
          <w:sz w:val="24"/>
          <w:szCs w:val="24"/>
        </w:rPr>
        <w:t>9436/17</w:t>
      </w:r>
    </w:p>
    <w:p w:rsidR="008F2DE4" w:rsidRPr="00D64C29" w:rsidRDefault="008F2DE4" w:rsidP="008F2DE4">
      <w:pPr>
        <w:pBdr>
          <w:bottom w:val="single" w:sz="6" w:space="1" w:color="000000"/>
        </w:pBdr>
        <w:jc w:val="center"/>
        <w:rPr>
          <w:rFonts w:asciiTheme="minorHAnsi" w:hAnsiTheme="minorHAnsi" w:cstheme="minorHAnsi"/>
          <w:b/>
          <w:sz w:val="10"/>
          <w:szCs w:val="10"/>
        </w:rPr>
      </w:pPr>
    </w:p>
    <w:p w:rsidR="008F2DE4" w:rsidRPr="00D64C29" w:rsidRDefault="008F2DE4" w:rsidP="008F2DE4">
      <w:pPr>
        <w:jc w:val="center"/>
        <w:rPr>
          <w:rFonts w:asciiTheme="minorHAnsi" w:hAnsiTheme="minorHAnsi" w:cstheme="minorHAnsi"/>
          <w:sz w:val="16"/>
          <w:szCs w:val="16"/>
        </w:rPr>
      </w:pPr>
    </w:p>
    <w:p w:rsidR="008F2DE4" w:rsidRPr="00D64C29" w:rsidRDefault="008F2DE4" w:rsidP="008F2DE4">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8F2DE4" w:rsidRPr="00D64C29" w:rsidRDefault="008F2DE4" w:rsidP="008F2DE4">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8F2DE4" w:rsidRPr="00D64C29" w:rsidRDefault="008F2DE4" w:rsidP="008F2DE4">
      <w:pPr>
        <w:jc w:val="center"/>
        <w:rPr>
          <w:rFonts w:asciiTheme="minorHAnsi" w:hAnsiTheme="minorHAnsi" w:cstheme="minorHAnsi"/>
          <w:b/>
          <w:bCs/>
          <w:sz w:val="22"/>
          <w:szCs w:val="22"/>
        </w:rPr>
      </w:pPr>
    </w:p>
    <w:p w:rsidR="008F2DE4" w:rsidRPr="00D64C29" w:rsidRDefault="008F2DE4" w:rsidP="008F2DE4">
      <w:pPr>
        <w:autoSpaceDE w:val="0"/>
        <w:adjustRightInd w:val="0"/>
        <w:jc w:val="center"/>
        <w:rPr>
          <w:rFonts w:asciiTheme="minorHAnsi" w:hAnsiTheme="minorHAnsi" w:cstheme="minorHAnsi"/>
          <w:b/>
        </w:rPr>
      </w:pPr>
      <w:r w:rsidRPr="00D64C29">
        <w:rPr>
          <w:rFonts w:asciiTheme="minorHAnsi" w:hAnsiTheme="minorHAnsi" w:cstheme="minorHAnsi"/>
          <w:b/>
        </w:rPr>
        <w:t>I.</w:t>
      </w:r>
    </w:p>
    <w:p w:rsidR="008F2DE4" w:rsidRDefault="008F2DE4" w:rsidP="008F2DE4">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8F2DE4" w:rsidRPr="007D0F45" w:rsidRDefault="008F2DE4" w:rsidP="008F2DE4"/>
    <w:p w:rsidR="008F2DE4" w:rsidRPr="00D64C29" w:rsidRDefault="008F2DE4" w:rsidP="008F2DE4">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C6030E">
        <w:rPr>
          <w:rFonts w:asciiTheme="minorHAnsi" w:hAnsiTheme="minorHAnsi" w:cstheme="minorHAnsi"/>
          <w:sz w:val="20"/>
          <w:szCs w:val="20"/>
        </w:rPr>
        <w:t>Z/841/31</w:t>
      </w:r>
      <w:r w:rsidRPr="00D64C29">
        <w:rPr>
          <w:rFonts w:asciiTheme="minorHAnsi" w:hAnsiTheme="minorHAnsi" w:cstheme="minorHAnsi"/>
          <w:sz w:val="20"/>
          <w:szCs w:val="20"/>
        </w:rPr>
        <w:t xml:space="preserve"> ze dne </w:t>
      </w:r>
      <w:r w:rsidR="00BB3D5C">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8F2DE4" w:rsidRPr="00D64C29" w:rsidRDefault="008F2DE4" w:rsidP="008F2DE4">
      <w:pPr>
        <w:autoSpaceDE w:val="0"/>
        <w:adjustRightInd w:val="0"/>
        <w:jc w:val="center"/>
        <w:rPr>
          <w:rFonts w:asciiTheme="minorHAnsi" w:hAnsiTheme="minorHAnsi" w:cstheme="minorHAnsi"/>
          <w:b/>
        </w:rPr>
      </w:pPr>
    </w:p>
    <w:p w:rsidR="008F2DE4" w:rsidRPr="00D64C29" w:rsidRDefault="008F2DE4" w:rsidP="008F2DE4">
      <w:pPr>
        <w:autoSpaceDE w:val="0"/>
        <w:adjustRightInd w:val="0"/>
        <w:jc w:val="center"/>
        <w:rPr>
          <w:rFonts w:asciiTheme="minorHAnsi" w:hAnsiTheme="minorHAnsi" w:cstheme="minorHAnsi"/>
          <w:b/>
        </w:rPr>
      </w:pPr>
      <w:r w:rsidRPr="00D64C29">
        <w:rPr>
          <w:rFonts w:asciiTheme="minorHAnsi" w:hAnsiTheme="minorHAnsi" w:cstheme="minorHAnsi"/>
          <w:b/>
        </w:rPr>
        <w:t>II.</w:t>
      </w:r>
    </w:p>
    <w:p w:rsidR="008F2DE4" w:rsidRPr="00B438DA" w:rsidRDefault="008F2DE4" w:rsidP="008F2DE4">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8F2DE4" w:rsidRPr="00B438DA" w:rsidRDefault="008F2DE4" w:rsidP="008F2DE4">
      <w:pPr>
        <w:jc w:val="both"/>
        <w:rPr>
          <w:rFonts w:asciiTheme="minorHAnsi" w:hAnsiTheme="minorHAnsi" w:cstheme="minorHAnsi"/>
          <w:b/>
          <w:bCs/>
          <w:sz w:val="22"/>
          <w:szCs w:val="22"/>
        </w:rPr>
      </w:pPr>
    </w:p>
    <w:p w:rsidR="008F2DE4" w:rsidRPr="00B438DA" w:rsidRDefault="008F2DE4" w:rsidP="008F2DE4">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8F2DE4" w:rsidRPr="00B438DA" w:rsidRDefault="008F2DE4" w:rsidP="008F2DE4">
      <w:pPr>
        <w:rPr>
          <w:rFonts w:ascii="Calibri" w:hAnsi="Calibri" w:cs="Calibri"/>
          <w:b/>
          <w:sz w:val="22"/>
          <w:szCs w:val="22"/>
        </w:rPr>
      </w:pPr>
      <w:r w:rsidRPr="00B438DA">
        <w:rPr>
          <w:rFonts w:ascii="Calibri" w:hAnsi="Calibri" w:cs="Calibri"/>
          <w:b/>
          <w:sz w:val="22"/>
          <w:szCs w:val="22"/>
        </w:rPr>
        <w:t xml:space="preserve"> Město Litvínov</w:t>
      </w:r>
    </w:p>
    <w:p w:rsidR="008F2DE4" w:rsidRPr="00B438DA" w:rsidRDefault="008F2DE4" w:rsidP="008F2DE4">
      <w:pPr>
        <w:rPr>
          <w:rFonts w:ascii="Calibri" w:hAnsi="Calibri" w:cs="Calibri"/>
          <w:sz w:val="22"/>
          <w:szCs w:val="22"/>
        </w:rPr>
      </w:pPr>
      <w:r w:rsidRPr="00B438DA">
        <w:rPr>
          <w:rFonts w:ascii="Calibri" w:hAnsi="Calibri" w:cs="Calibri"/>
          <w:sz w:val="22"/>
          <w:szCs w:val="22"/>
        </w:rPr>
        <w:t>Zastoupené:</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Mgr. Kamilou Bláhovou, starostkou města</w:t>
      </w:r>
    </w:p>
    <w:p w:rsidR="008F2DE4" w:rsidRPr="00B438DA" w:rsidRDefault="008F2DE4" w:rsidP="008F2DE4">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8F2DE4" w:rsidRPr="00B438DA" w:rsidRDefault="008F2DE4" w:rsidP="008F2DE4">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8F2DE4" w:rsidRPr="00B438DA" w:rsidRDefault="008F2DE4" w:rsidP="008F2DE4">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8F2DE4" w:rsidRPr="00B438DA" w:rsidRDefault="008F2DE4" w:rsidP="008F2DE4">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8F2DE4" w:rsidRPr="00B438DA" w:rsidRDefault="008F2DE4" w:rsidP="008F2DE4">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8F2DE4" w:rsidRPr="00B438DA" w:rsidRDefault="008F2DE4" w:rsidP="008F2DE4">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8F2DE4" w:rsidRPr="00B438DA" w:rsidRDefault="008F2DE4" w:rsidP="008F2DE4">
      <w:pPr>
        <w:jc w:val="both"/>
        <w:rPr>
          <w:rFonts w:ascii="Calibri" w:hAnsi="Calibri" w:cs="Calibri"/>
          <w:sz w:val="22"/>
          <w:szCs w:val="22"/>
        </w:rPr>
      </w:pPr>
    </w:p>
    <w:p w:rsidR="008F2DE4" w:rsidRPr="00B438DA" w:rsidRDefault="008F2DE4" w:rsidP="008F2DE4">
      <w:pPr>
        <w:pStyle w:val="Zkladntext3"/>
        <w:rPr>
          <w:rFonts w:ascii="Calibri" w:hAnsi="Calibri" w:cs="Calibri"/>
          <w:sz w:val="22"/>
          <w:szCs w:val="22"/>
        </w:rPr>
      </w:pPr>
    </w:p>
    <w:p w:rsidR="008F2DE4" w:rsidRPr="00B438DA" w:rsidRDefault="008F2DE4" w:rsidP="008F2DE4">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8F2DE4" w:rsidRPr="003A2563" w:rsidRDefault="008F2DE4" w:rsidP="008F2DE4">
      <w:pPr>
        <w:jc w:val="both"/>
        <w:rPr>
          <w:rFonts w:ascii="Calibri" w:hAnsi="Calibri" w:cs="Calibri"/>
          <w:b/>
          <w:bCs/>
          <w:sz w:val="22"/>
          <w:szCs w:val="22"/>
        </w:rPr>
      </w:pPr>
      <w:r>
        <w:rPr>
          <w:rFonts w:ascii="Calibri" w:hAnsi="Calibri" w:cs="Calibri"/>
          <w:b/>
          <w:bCs/>
          <w:sz w:val="22"/>
          <w:szCs w:val="22"/>
        </w:rPr>
        <w:t>„SSK Litvínov, z.s.“</w:t>
      </w:r>
    </w:p>
    <w:p w:rsidR="008F2DE4" w:rsidRDefault="008F2DE4" w:rsidP="008F2DE4">
      <w:pPr>
        <w:jc w:val="both"/>
        <w:rPr>
          <w:rFonts w:ascii="Calibri" w:hAnsi="Calibri" w:cs="Calibri"/>
          <w:bCs/>
          <w:sz w:val="22"/>
          <w:szCs w:val="22"/>
        </w:rPr>
      </w:pPr>
      <w:r w:rsidRPr="003A2563">
        <w:rPr>
          <w:rFonts w:ascii="Calibri" w:hAnsi="Calibri" w:cs="Calibri"/>
          <w:bCs/>
          <w:sz w:val="22"/>
          <w:szCs w:val="22"/>
        </w:rPr>
        <w:t>zastoupen</w:t>
      </w:r>
      <w:r>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Pr>
          <w:rFonts w:ascii="Calibri" w:hAnsi="Calibri" w:cs="Calibri"/>
          <w:bCs/>
          <w:sz w:val="22"/>
          <w:szCs w:val="22"/>
        </w:rPr>
        <w:t>Ing. Markem Tomčíkem, předsedou spolku</w:t>
      </w:r>
    </w:p>
    <w:p w:rsidR="008F2DE4" w:rsidRPr="003A2563" w:rsidRDefault="008F2DE4" w:rsidP="008F2DE4">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Pr>
          <w:rFonts w:ascii="Calibri" w:hAnsi="Calibri" w:cs="Calibri"/>
          <w:bCs/>
          <w:sz w:val="22"/>
          <w:szCs w:val="22"/>
        </w:rPr>
        <w:t>Jiráskova 413, 436 01 Litvínov</w:t>
      </w:r>
    </w:p>
    <w:p w:rsidR="008F2DE4" w:rsidRPr="003A2563" w:rsidRDefault="008F2DE4" w:rsidP="008F2DE4">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44223285</w:t>
      </w:r>
    </w:p>
    <w:p w:rsidR="008F2DE4" w:rsidRPr="003A2563" w:rsidRDefault="008F2DE4" w:rsidP="008F2DE4">
      <w:pPr>
        <w:jc w:val="both"/>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r>
      <w:r>
        <w:rPr>
          <w:rFonts w:ascii="Calibri" w:hAnsi="Calibri" w:cs="Calibri"/>
          <w:bCs/>
          <w:sz w:val="22"/>
          <w:szCs w:val="22"/>
        </w:rPr>
        <w:t>CZ44223285 - ne</w:t>
      </w:r>
      <w:r w:rsidRPr="003A2563">
        <w:rPr>
          <w:rFonts w:ascii="Calibri" w:hAnsi="Calibri" w:cs="Calibri"/>
          <w:bCs/>
          <w:sz w:val="22"/>
          <w:szCs w:val="22"/>
        </w:rPr>
        <w:t>plátce DPH</w:t>
      </w:r>
    </w:p>
    <w:p w:rsidR="008F2DE4" w:rsidRDefault="008F2DE4" w:rsidP="008F2DE4">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proofErr w:type="spellStart"/>
      <w:r w:rsidR="00272E9D">
        <w:rPr>
          <w:rFonts w:ascii="Calibri" w:hAnsi="Calibri" w:cs="Calibri"/>
          <w:sz w:val="22"/>
          <w:szCs w:val="22"/>
        </w:rPr>
        <w:t>xxxxxxxxxx</w:t>
      </w:r>
      <w:proofErr w:type="spellEnd"/>
      <w:r w:rsidRPr="003A2563">
        <w:rPr>
          <w:rFonts w:ascii="Calibri" w:hAnsi="Calibri" w:cs="Calibri"/>
          <w:bCs/>
          <w:sz w:val="22"/>
          <w:szCs w:val="22"/>
        </w:rPr>
        <w:t xml:space="preserve"> </w:t>
      </w:r>
    </w:p>
    <w:p w:rsidR="008F2DE4" w:rsidRPr="003A2563" w:rsidRDefault="008F2DE4" w:rsidP="008F2DE4">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272E9D">
        <w:rPr>
          <w:rFonts w:ascii="Calibri" w:hAnsi="Calibri" w:cs="Calibri"/>
          <w:bCs/>
          <w:sz w:val="22"/>
          <w:szCs w:val="22"/>
        </w:rPr>
        <w:t>xxxxxxxxxxx</w:t>
      </w:r>
      <w:bookmarkStart w:id="0" w:name="_GoBack"/>
      <w:bookmarkEnd w:id="0"/>
    </w:p>
    <w:p w:rsidR="008F2DE4" w:rsidRPr="00B438DA" w:rsidRDefault="008F2DE4" w:rsidP="008F2DE4">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8F2DE4" w:rsidRPr="00B438DA" w:rsidRDefault="008F2DE4" w:rsidP="008F2DE4">
      <w:pPr>
        <w:tabs>
          <w:tab w:val="left" w:pos="360"/>
        </w:tabs>
        <w:ind w:right="51"/>
        <w:rPr>
          <w:rFonts w:ascii="Calibri" w:hAnsi="Calibri" w:cs="Calibri"/>
          <w:b/>
          <w:sz w:val="22"/>
          <w:szCs w:val="22"/>
        </w:rPr>
      </w:pPr>
    </w:p>
    <w:p w:rsidR="008F2DE4" w:rsidRPr="00930F19" w:rsidRDefault="008F2DE4" w:rsidP="008F2DE4">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8F2DE4" w:rsidRDefault="008F2DE4" w:rsidP="008F2DE4">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8F2DE4" w:rsidRPr="00930F19" w:rsidRDefault="008F2DE4" w:rsidP="008F2DE4">
      <w:pPr>
        <w:tabs>
          <w:tab w:val="left" w:pos="360"/>
        </w:tabs>
        <w:ind w:right="51"/>
        <w:jc w:val="center"/>
        <w:rPr>
          <w:rFonts w:ascii="Calibri" w:hAnsi="Calibri" w:cs="Calibri"/>
          <w:b/>
          <w:sz w:val="22"/>
          <w:szCs w:val="22"/>
        </w:rPr>
      </w:pPr>
    </w:p>
    <w:p w:rsidR="008F2DE4" w:rsidRPr="00930F19" w:rsidRDefault="008F2DE4" w:rsidP="008F2DE4">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Pr>
          <w:rFonts w:ascii="Calibri" w:hAnsi="Calibri" w:cs="Calibri"/>
          <w:b/>
          <w:sz w:val="22"/>
          <w:szCs w:val="22"/>
        </w:rPr>
        <w:t xml:space="preserve">Podpora výkonnostního a rekreačního sportu členů sdružení „SSK Litvínov, z.s.“  </w:t>
      </w:r>
      <w:r w:rsidRPr="00930F19">
        <w:rPr>
          <w:rFonts w:ascii="Calibri" w:hAnsi="Calibri" w:cs="Calibri"/>
          <w:sz w:val="22"/>
          <w:szCs w:val="22"/>
        </w:rPr>
        <w:t>(dále jen „projekt“)</w:t>
      </w:r>
      <w:r>
        <w:rPr>
          <w:rFonts w:ascii="Calibri" w:hAnsi="Calibri" w:cs="Calibri"/>
          <w:sz w:val="22"/>
          <w:szCs w:val="22"/>
        </w:rPr>
        <w:t>.</w:t>
      </w:r>
    </w:p>
    <w:p w:rsidR="008F2DE4" w:rsidRPr="00930F19" w:rsidRDefault="008F2DE4" w:rsidP="008F2DE4">
      <w:pPr>
        <w:tabs>
          <w:tab w:val="left" w:pos="360"/>
        </w:tabs>
        <w:ind w:right="51"/>
        <w:jc w:val="both"/>
        <w:rPr>
          <w:rFonts w:ascii="Calibri" w:hAnsi="Calibri" w:cs="Calibri"/>
          <w:sz w:val="22"/>
          <w:szCs w:val="22"/>
        </w:rPr>
      </w:pPr>
    </w:p>
    <w:p w:rsidR="008F2DE4" w:rsidRPr="00930F19" w:rsidRDefault="008F2DE4" w:rsidP="008F2DE4">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w:t>
      </w:r>
      <w:r w:rsidR="00F92E39" w:rsidRPr="0087792B">
        <w:rPr>
          <w:rFonts w:ascii="Calibri" w:hAnsi="Calibri" w:cs="Calibri"/>
          <w:sz w:val="22"/>
          <w:szCs w:val="22"/>
        </w:rPr>
        <w:t>0</w:t>
      </w:r>
      <w:r w:rsidRPr="0087792B">
        <w:rPr>
          <w:rFonts w:ascii="Calibri" w:hAnsi="Calibri" w:cs="Calibri"/>
          <w:sz w:val="22"/>
          <w:szCs w:val="22"/>
        </w:rPr>
        <w:t xml:space="preserve">1. </w:t>
      </w:r>
      <w:r w:rsidR="00F92E39" w:rsidRPr="0087792B">
        <w:rPr>
          <w:rFonts w:ascii="Calibri" w:hAnsi="Calibri" w:cs="Calibri"/>
          <w:sz w:val="22"/>
          <w:szCs w:val="22"/>
        </w:rPr>
        <w:t>0</w:t>
      </w:r>
      <w:r w:rsidRPr="0087792B">
        <w:rPr>
          <w:rFonts w:ascii="Calibri" w:hAnsi="Calibri" w:cs="Calibri"/>
          <w:sz w:val="22"/>
          <w:szCs w:val="22"/>
        </w:rPr>
        <w:t>1.</w:t>
      </w:r>
      <w:r>
        <w:rPr>
          <w:rFonts w:ascii="Calibri" w:hAnsi="Calibri" w:cs="Calibri"/>
          <w:sz w:val="22"/>
          <w:szCs w:val="22"/>
        </w:rPr>
        <w:t xml:space="preserve"> 2018 </w:t>
      </w:r>
      <w:r w:rsidRPr="00930F19">
        <w:rPr>
          <w:rFonts w:ascii="Calibri" w:hAnsi="Calibri" w:cs="Calibri"/>
          <w:sz w:val="22"/>
          <w:szCs w:val="22"/>
        </w:rPr>
        <w:t>do</w:t>
      </w:r>
      <w:r>
        <w:rPr>
          <w:rFonts w:ascii="Calibri" w:hAnsi="Calibri" w:cs="Calibri"/>
          <w:sz w:val="22"/>
          <w:szCs w:val="22"/>
        </w:rPr>
        <w:t xml:space="preserve"> 31. 12. 2018</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8F2DE4" w:rsidRPr="00930F19" w:rsidRDefault="008F2DE4" w:rsidP="008F2DE4">
      <w:pPr>
        <w:tabs>
          <w:tab w:val="left" w:pos="360"/>
        </w:tabs>
        <w:ind w:right="51"/>
        <w:jc w:val="both"/>
        <w:rPr>
          <w:rFonts w:ascii="Calibri" w:hAnsi="Calibri" w:cs="Calibri"/>
          <w:sz w:val="22"/>
          <w:szCs w:val="22"/>
        </w:rPr>
      </w:pPr>
    </w:p>
    <w:p w:rsidR="008F2DE4" w:rsidRDefault="008F2DE4" w:rsidP="008F2DE4">
      <w:pPr>
        <w:tabs>
          <w:tab w:val="left" w:pos="360"/>
        </w:tabs>
        <w:ind w:right="51"/>
        <w:jc w:val="both"/>
        <w:rPr>
          <w:rFonts w:ascii="Calibri" w:hAnsi="Calibri" w:cs="Calibri"/>
          <w:b/>
          <w:sz w:val="22"/>
          <w:szCs w:val="22"/>
        </w:rPr>
      </w:pPr>
      <w:r w:rsidRPr="00930F19">
        <w:rPr>
          <w:rFonts w:ascii="Calibri" w:hAnsi="Calibri" w:cs="Calibri"/>
          <w:sz w:val="22"/>
          <w:szCs w:val="22"/>
        </w:rPr>
        <w:t>3.</w:t>
      </w:r>
      <w:r w:rsidRPr="00930F19">
        <w:rPr>
          <w:rFonts w:ascii="Calibri" w:hAnsi="Calibri" w:cs="Calibri"/>
          <w:sz w:val="22"/>
          <w:szCs w:val="22"/>
        </w:rPr>
        <w:tab/>
        <w:t>Peněžní prostředky dotace nesmí příjemce poskytnout jiným právnickým nebo fyzickým osobám, pokud nejde o úhrady spojené s</w:t>
      </w:r>
      <w:r>
        <w:rPr>
          <w:rFonts w:ascii="Calibri" w:hAnsi="Calibri" w:cs="Calibri"/>
          <w:sz w:val="22"/>
          <w:szCs w:val="22"/>
        </w:rPr>
        <w:t> </w:t>
      </w:r>
      <w:r w:rsidRPr="00930F19">
        <w:rPr>
          <w:rFonts w:ascii="Calibri" w:hAnsi="Calibri" w:cs="Calibri"/>
          <w:sz w:val="22"/>
          <w:szCs w:val="22"/>
        </w:rPr>
        <w:t>realizací</w:t>
      </w:r>
      <w:r>
        <w:rPr>
          <w:rFonts w:ascii="Calibri" w:hAnsi="Calibri" w:cs="Calibri"/>
          <w:sz w:val="22"/>
          <w:szCs w:val="22"/>
        </w:rPr>
        <w:t xml:space="preserve"> </w:t>
      </w:r>
      <w:r w:rsidRPr="00930F19">
        <w:rPr>
          <w:rFonts w:ascii="Calibri" w:hAnsi="Calibri" w:cs="Calibri"/>
          <w:sz w:val="22"/>
          <w:szCs w:val="22"/>
        </w:rPr>
        <w:t>projektu, na který byly poskytnuty a smí je zároveň použít jen k účelu, který je upraven v odst. 1 tohoto ustanovení.</w:t>
      </w:r>
    </w:p>
    <w:p w:rsidR="008F2DE4" w:rsidRDefault="008F2DE4" w:rsidP="008F2DE4">
      <w:pPr>
        <w:tabs>
          <w:tab w:val="left" w:pos="360"/>
        </w:tabs>
        <w:ind w:right="51"/>
        <w:jc w:val="center"/>
        <w:rPr>
          <w:rFonts w:ascii="Calibri" w:hAnsi="Calibri" w:cs="Calibri"/>
          <w:b/>
          <w:sz w:val="22"/>
          <w:szCs w:val="22"/>
        </w:rPr>
      </w:pPr>
    </w:p>
    <w:p w:rsidR="008F2DE4" w:rsidRPr="00C326FF" w:rsidRDefault="008F2DE4" w:rsidP="008F2DE4">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8F2DE4" w:rsidRDefault="008F2DE4" w:rsidP="008F2DE4">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8F2DE4" w:rsidRPr="00C326FF" w:rsidRDefault="008F2DE4" w:rsidP="008F2DE4">
      <w:pPr>
        <w:tabs>
          <w:tab w:val="left" w:pos="360"/>
        </w:tabs>
        <w:ind w:right="51"/>
        <w:jc w:val="center"/>
        <w:rPr>
          <w:rFonts w:ascii="Calibri" w:hAnsi="Calibri" w:cs="Calibri"/>
          <w:b/>
          <w:sz w:val="22"/>
          <w:szCs w:val="22"/>
        </w:rPr>
      </w:pPr>
    </w:p>
    <w:p w:rsidR="008F2DE4" w:rsidRPr="00930F19" w:rsidRDefault="008F2DE4" w:rsidP="008F2DE4">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8F2DE4" w:rsidRDefault="008F2DE4" w:rsidP="008F2DE4">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Pr>
          <w:rFonts w:ascii="Calibri" w:hAnsi="Calibri" w:cs="Calibri"/>
          <w:b/>
          <w:sz w:val="22"/>
          <w:szCs w:val="22"/>
        </w:rPr>
        <w:t>3 200 000</w:t>
      </w:r>
      <w:r w:rsidRPr="00AA6A1F">
        <w:rPr>
          <w:rFonts w:ascii="Calibri" w:hAnsi="Calibri" w:cs="Calibri"/>
          <w:b/>
          <w:sz w:val="22"/>
          <w:szCs w:val="22"/>
        </w:rPr>
        <w:t>,- Kč</w:t>
      </w:r>
      <w:r>
        <w:rPr>
          <w:rFonts w:ascii="Calibri" w:hAnsi="Calibri" w:cs="Calibri"/>
          <w:sz w:val="22"/>
          <w:szCs w:val="22"/>
        </w:rPr>
        <w:t xml:space="preserve"> (slovy: tři miliony dvě stě tisíc korun českých)</w:t>
      </w:r>
      <w:r w:rsidRPr="00C326FF">
        <w:rPr>
          <w:rFonts w:ascii="Calibri" w:hAnsi="Calibri" w:cs="Calibri"/>
          <w:sz w:val="22"/>
          <w:szCs w:val="22"/>
        </w:rPr>
        <w:t xml:space="preserve">, bude vyplacena po nabytí platnosti a účinnosti smlouvy </w:t>
      </w:r>
      <w:r>
        <w:rPr>
          <w:rFonts w:ascii="Calibri" w:hAnsi="Calibri" w:cs="Calibri"/>
          <w:sz w:val="22"/>
          <w:szCs w:val="22"/>
        </w:rPr>
        <w:t>takto:</w:t>
      </w:r>
    </w:p>
    <w:p w:rsidR="00613343" w:rsidRPr="00613343" w:rsidRDefault="00613343" w:rsidP="00613343">
      <w:pPr>
        <w:jc w:val="both"/>
        <w:rPr>
          <w:rFonts w:ascii="Calibri" w:hAnsi="Calibri" w:cs="Calibri"/>
          <w:sz w:val="22"/>
          <w:szCs w:val="22"/>
        </w:rPr>
      </w:pPr>
      <w:r>
        <w:rPr>
          <w:rFonts w:ascii="Calibri" w:hAnsi="Calibri" w:cs="Calibri"/>
          <w:sz w:val="22"/>
          <w:szCs w:val="22"/>
        </w:rPr>
        <w:t>S</w:t>
      </w:r>
      <w:r w:rsidRPr="00613343">
        <w:rPr>
          <w:rFonts w:ascii="Calibri" w:hAnsi="Calibri" w:cs="Calibri"/>
          <w:sz w:val="22"/>
          <w:szCs w:val="22"/>
        </w:rPr>
        <w:t>plátkov</w:t>
      </w:r>
      <w:r>
        <w:rPr>
          <w:rFonts w:ascii="Calibri" w:hAnsi="Calibri" w:cs="Calibri"/>
          <w:sz w:val="22"/>
          <w:szCs w:val="22"/>
        </w:rPr>
        <w:t>ý</w:t>
      </w:r>
      <w:r w:rsidRPr="00613343">
        <w:rPr>
          <w:rFonts w:ascii="Calibri" w:hAnsi="Calibri" w:cs="Calibri"/>
          <w:sz w:val="22"/>
          <w:szCs w:val="22"/>
        </w:rPr>
        <w:t xml:space="preserve"> kalendář:</w:t>
      </w:r>
    </w:p>
    <w:p w:rsidR="00613343" w:rsidRPr="00613343" w:rsidRDefault="00613343" w:rsidP="00613343">
      <w:pPr>
        <w:jc w:val="both"/>
        <w:rPr>
          <w:rFonts w:ascii="Calibri" w:hAnsi="Calibri" w:cs="Calibri"/>
          <w:sz w:val="22"/>
          <w:szCs w:val="22"/>
        </w:rPr>
      </w:pPr>
      <w:r w:rsidRPr="00613343">
        <w:rPr>
          <w:rFonts w:ascii="Calibri" w:hAnsi="Calibri" w:cs="Calibri"/>
          <w:sz w:val="22"/>
          <w:szCs w:val="22"/>
        </w:rPr>
        <w:t>•</w:t>
      </w:r>
      <w:r w:rsidRPr="00613343">
        <w:rPr>
          <w:rFonts w:ascii="Calibri" w:hAnsi="Calibri" w:cs="Calibri"/>
          <w:sz w:val="22"/>
          <w:szCs w:val="22"/>
        </w:rPr>
        <w:tab/>
        <w:t xml:space="preserve">1 </w:t>
      </w:r>
      <w:r>
        <w:rPr>
          <w:rFonts w:ascii="Calibri" w:hAnsi="Calibri" w:cs="Calibri"/>
          <w:sz w:val="22"/>
          <w:szCs w:val="22"/>
        </w:rPr>
        <w:t>6</w:t>
      </w:r>
      <w:r w:rsidRPr="00613343">
        <w:rPr>
          <w:rFonts w:ascii="Calibri" w:hAnsi="Calibri" w:cs="Calibri"/>
          <w:sz w:val="22"/>
          <w:szCs w:val="22"/>
        </w:rPr>
        <w:t>00 000 Kč</w:t>
      </w:r>
      <w:r w:rsidRPr="00613343">
        <w:rPr>
          <w:rFonts w:ascii="Calibri" w:hAnsi="Calibri" w:cs="Calibri"/>
          <w:sz w:val="22"/>
          <w:szCs w:val="22"/>
        </w:rPr>
        <w:tab/>
      </w:r>
      <w:r w:rsidRPr="00613343">
        <w:rPr>
          <w:rFonts w:ascii="Calibri" w:hAnsi="Calibri" w:cs="Calibri"/>
          <w:sz w:val="22"/>
          <w:szCs w:val="22"/>
        </w:rPr>
        <w:tab/>
        <w:t>do 10 dnů od podpisu smlouvy</w:t>
      </w:r>
    </w:p>
    <w:p w:rsidR="008F2DE4" w:rsidRDefault="00613343" w:rsidP="00613343">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1 600 000 Kč</w:t>
      </w:r>
      <w:r>
        <w:rPr>
          <w:rFonts w:ascii="Calibri" w:hAnsi="Calibri" w:cs="Calibri"/>
          <w:sz w:val="22"/>
          <w:szCs w:val="22"/>
        </w:rPr>
        <w:tab/>
      </w:r>
      <w:r>
        <w:rPr>
          <w:rFonts w:ascii="Calibri" w:hAnsi="Calibri" w:cs="Calibri"/>
          <w:sz w:val="22"/>
          <w:szCs w:val="22"/>
        </w:rPr>
        <w:tab/>
        <w:t>do 30. 06. 2018</w:t>
      </w:r>
    </w:p>
    <w:p w:rsidR="00613343" w:rsidRPr="009679B4" w:rsidRDefault="00613343" w:rsidP="00613343">
      <w:pPr>
        <w:jc w:val="both"/>
        <w:rPr>
          <w:rFonts w:ascii="Calibri" w:hAnsi="Calibri" w:cs="Calibri"/>
          <w:b/>
          <w:sz w:val="22"/>
          <w:szCs w:val="22"/>
        </w:rPr>
      </w:pPr>
    </w:p>
    <w:p w:rsidR="008F2DE4" w:rsidRPr="009679B4" w:rsidRDefault="008F2DE4" w:rsidP="008F2DE4">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8F2DE4" w:rsidRPr="009679B4" w:rsidRDefault="008F2DE4" w:rsidP="008F2DE4">
      <w:pPr>
        <w:jc w:val="center"/>
        <w:rPr>
          <w:rFonts w:ascii="Calibri" w:hAnsi="Calibri" w:cs="Calibri"/>
          <w:b/>
          <w:bCs/>
          <w:sz w:val="22"/>
          <w:szCs w:val="22"/>
        </w:rPr>
      </w:pPr>
    </w:p>
    <w:p w:rsidR="008F2DE4" w:rsidRPr="00C326FF" w:rsidRDefault="008F2DE4" w:rsidP="008F2DE4">
      <w:pPr>
        <w:jc w:val="center"/>
        <w:rPr>
          <w:rFonts w:ascii="Calibri" w:hAnsi="Calibri" w:cs="Calibri"/>
          <w:b/>
          <w:bCs/>
          <w:sz w:val="22"/>
          <w:szCs w:val="22"/>
        </w:rPr>
      </w:pPr>
      <w:r w:rsidRPr="00C326FF">
        <w:rPr>
          <w:rFonts w:ascii="Calibri" w:hAnsi="Calibri" w:cs="Calibri"/>
          <w:b/>
          <w:bCs/>
          <w:sz w:val="22"/>
          <w:szCs w:val="22"/>
        </w:rPr>
        <w:t>V.</w:t>
      </w:r>
    </w:p>
    <w:p w:rsidR="008F2DE4" w:rsidRDefault="008F2DE4" w:rsidP="008F2DE4">
      <w:pPr>
        <w:jc w:val="center"/>
        <w:rPr>
          <w:rFonts w:ascii="Calibri" w:hAnsi="Calibri" w:cs="Calibri"/>
          <w:b/>
          <w:bCs/>
          <w:sz w:val="22"/>
          <w:szCs w:val="22"/>
        </w:rPr>
      </w:pPr>
      <w:r w:rsidRPr="00C326FF">
        <w:rPr>
          <w:rFonts w:ascii="Calibri" w:hAnsi="Calibri" w:cs="Calibri"/>
          <w:b/>
          <w:bCs/>
          <w:sz w:val="22"/>
          <w:szCs w:val="22"/>
        </w:rPr>
        <w:t>Ustanovení o DPH</w:t>
      </w:r>
    </w:p>
    <w:p w:rsidR="008F2DE4" w:rsidRPr="00C326FF" w:rsidRDefault="008F2DE4" w:rsidP="008F2DE4">
      <w:pPr>
        <w:jc w:val="center"/>
        <w:rPr>
          <w:rFonts w:ascii="Calibri" w:hAnsi="Calibri" w:cs="Calibri"/>
          <w:b/>
          <w:bCs/>
          <w:sz w:val="22"/>
          <w:szCs w:val="22"/>
        </w:rPr>
      </w:pPr>
    </w:p>
    <w:p w:rsidR="008F2DE4" w:rsidRPr="00D64C29" w:rsidRDefault="008F2DE4" w:rsidP="008F2DE4">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8F2DE4" w:rsidRPr="00C326FF" w:rsidRDefault="008F2DE4" w:rsidP="008F2DE4">
      <w:pPr>
        <w:jc w:val="both"/>
        <w:rPr>
          <w:rFonts w:ascii="Calibri" w:hAnsi="Calibri" w:cs="Calibri"/>
          <w:b/>
          <w:bCs/>
          <w:sz w:val="22"/>
          <w:szCs w:val="22"/>
        </w:rPr>
      </w:pPr>
    </w:p>
    <w:p w:rsidR="008F2DE4" w:rsidRPr="00C326FF" w:rsidRDefault="008F2DE4" w:rsidP="008F2DE4">
      <w:pPr>
        <w:jc w:val="center"/>
        <w:rPr>
          <w:rFonts w:ascii="Calibri" w:hAnsi="Calibri" w:cs="Calibri"/>
          <w:b/>
          <w:bCs/>
          <w:sz w:val="22"/>
          <w:szCs w:val="22"/>
        </w:rPr>
      </w:pPr>
      <w:r w:rsidRPr="00C326FF">
        <w:rPr>
          <w:rFonts w:ascii="Calibri" w:hAnsi="Calibri" w:cs="Calibri"/>
          <w:b/>
          <w:bCs/>
          <w:sz w:val="22"/>
          <w:szCs w:val="22"/>
        </w:rPr>
        <w:t>VI.</w:t>
      </w:r>
    </w:p>
    <w:p w:rsidR="008F2DE4" w:rsidRDefault="008F2DE4" w:rsidP="008F2DE4">
      <w:pPr>
        <w:jc w:val="center"/>
        <w:rPr>
          <w:rFonts w:ascii="Calibri" w:hAnsi="Calibri" w:cs="Calibri"/>
          <w:b/>
          <w:bCs/>
          <w:sz w:val="22"/>
          <w:szCs w:val="22"/>
        </w:rPr>
      </w:pPr>
      <w:r w:rsidRPr="00C326FF">
        <w:rPr>
          <w:rFonts w:ascii="Calibri" w:hAnsi="Calibri" w:cs="Calibri"/>
          <w:b/>
          <w:bCs/>
          <w:sz w:val="22"/>
          <w:szCs w:val="22"/>
        </w:rPr>
        <w:t>Uznatelné výdaje</w:t>
      </w:r>
    </w:p>
    <w:p w:rsidR="008F2DE4" w:rsidRPr="00C326FF" w:rsidRDefault="008F2DE4" w:rsidP="008F2DE4">
      <w:pPr>
        <w:jc w:val="center"/>
        <w:rPr>
          <w:rFonts w:ascii="Calibri" w:hAnsi="Calibri" w:cs="Calibri"/>
          <w:b/>
          <w:bCs/>
          <w:sz w:val="22"/>
          <w:szCs w:val="22"/>
        </w:rPr>
      </w:pPr>
    </w:p>
    <w:p w:rsidR="008F2DE4" w:rsidRDefault="008F2DE4" w:rsidP="008F2DE4">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613343" w:rsidRPr="00B1775E" w:rsidRDefault="00613343" w:rsidP="00B1775E">
      <w:pPr>
        <w:pStyle w:val="Odstavecseseznamem"/>
        <w:numPr>
          <w:ilvl w:val="0"/>
          <w:numId w:val="4"/>
        </w:numPr>
        <w:jc w:val="both"/>
        <w:rPr>
          <w:rFonts w:ascii="Calibri" w:hAnsi="Calibri" w:cs="Calibri"/>
          <w:bCs/>
          <w:sz w:val="22"/>
          <w:szCs w:val="22"/>
        </w:rPr>
      </w:pPr>
      <w:r w:rsidRPr="00B1775E">
        <w:rPr>
          <w:rFonts w:ascii="Calibri" w:hAnsi="Calibri" w:cs="Calibri"/>
          <w:bCs/>
          <w:sz w:val="22"/>
          <w:szCs w:val="22"/>
        </w:rPr>
        <w:t xml:space="preserve">úhrady nájmů sportovišť v majetku SPORTaS, s.r.o. a to na základě smlouvy mezi společností „SSK Litvínov z. s.“ a SPORTaS, s. r. o.; </w:t>
      </w:r>
    </w:p>
    <w:p w:rsidR="00613343" w:rsidRDefault="00613343" w:rsidP="00613343">
      <w:pPr>
        <w:pStyle w:val="Odstavecseseznamem"/>
        <w:numPr>
          <w:ilvl w:val="0"/>
          <w:numId w:val="4"/>
        </w:numPr>
        <w:jc w:val="both"/>
        <w:rPr>
          <w:rFonts w:ascii="Calibri" w:hAnsi="Calibri" w:cs="Calibri"/>
          <w:bCs/>
          <w:sz w:val="22"/>
          <w:szCs w:val="22"/>
        </w:rPr>
      </w:pPr>
      <w:r w:rsidRPr="00613343">
        <w:rPr>
          <w:rFonts w:ascii="Calibri" w:hAnsi="Calibri" w:cs="Calibri"/>
          <w:bCs/>
          <w:sz w:val="22"/>
          <w:szCs w:val="22"/>
        </w:rPr>
        <w:t>na úhradu administrativní a ekonomické činnosti – (např. poplatky spojené s vedením účtu, poplatky orgánům veřejné moci spojené se změnami, které vyplývají z NOZ, kancelářské potře</w:t>
      </w:r>
      <w:r>
        <w:rPr>
          <w:rFonts w:ascii="Calibri" w:hAnsi="Calibri" w:cs="Calibri"/>
          <w:bCs/>
          <w:sz w:val="22"/>
          <w:szCs w:val="22"/>
        </w:rPr>
        <w:t>by, vedení účetní agendy apod.)</w:t>
      </w:r>
    </w:p>
    <w:p w:rsidR="00613343" w:rsidRPr="00613343" w:rsidRDefault="00613343" w:rsidP="00613343">
      <w:pPr>
        <w:pStyle w:val="Odstavecseseznamem"/>
        <w:numPr>
          <w:ilvl w:val="0"/>
          <w:numId w:val="4"/>
        </w:numPr>
        <w:jc w:val="both"/>
        <w:rPr>
          <w:rFonts w:ascii="Calibri" w:hAnsi="Calibri" w:cs="Calibri"/>
          <w:bCs/>
          <w:sz w:val="22"/>
          <w:szCs w:val="22"/>
        </w:rPr>
      </w:pPr>
      <w:r w:rsidRPr="00613343">
        <w:rPr>
          <w:rFonts w:ascii="Calibri" w:hAnsi="Calibri" w:cs="Calibri"/>
          <w:bCs/>
          <w:sz w:val="22"/>
          <w:szCs w:val="22"/>
        </w:rPr>
        <w:t xml:space="preserve">na úhradu nákladů na celorepublikové a reprezentativní akce, propagace a ostatní náklady </w:t>
      </w:r>
    </w:p>
    <w:p w:rsidR="00B1775E" w:rsidRDefault="00613343" w:rsidP="00B1775E">
      <w:pPr>
        <w:ind w:firstLine="360"/>
        <w:jc w:val="both"/>
        <w:rPr>
          <w:rFonts w:ascii="Calibri" w:hAnsi="Calibri" w:cs="Calibri"/>
          <w:bCs/>
          <w:sz w:val="22"/>
          <w:szCs w:val="22"/>
        </w:rPr>
      </w:pPr>
      <w:r>
        <w:rPr>
          <w:rFonts w:ascii="Calibri" w:hAnsi="Calibri" w:cs="Calibri"/>
          <w:bCs/>
          <w:sz w:val="22"/>
          <w:szCs w:val="22"/>
        </w:rPr>
        <w:t xml:space="preserve">    </w:t>
      </w:r>
      <w:r w:rsidRPr="00613343">
        <w:rPr>
          <w:rFonts w:ascii="Calibri" w:hAnsi="Calibri" w:cs="Calibri"/>
          <w:bCs/>
          <w:sz w:val="22"/>
          <w:szCs w:val="22"/>
        </w:rPr>
        <w:t xml:space="preserve">   na činnost sdružení;</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nájemné a energie</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lastRenderedPageBreak/>
        <w:t>smluvní dopravu</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 xml:space="preserve">příspěvek na dopravu při využití soukromých vozů </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příspěvky na soustředění</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startovné</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honoráře rozhodčím</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náklady trenérů – služba, dohoda o provedení práce popř. o pracovní činnosti</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nákup sportovního vybavení a drobného materiálu</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nákup cen vítězům soutěží</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 xml:space="preserve">poplatky svazům (registrace, startovné, apod.) </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bankovní poplatky</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poštovné</w:t>
      </w:r>
    </w:p>
    <w:p w:rsidR="00B1775E" w:rsidRPr="00B1775E" w:rsidRDefault="00B1775E" w:rsidP="00B1775E">
      <w:pPr>
        <w:pStyle w:val="Odstavecseseznamem"/>
        <w:numPr>
          <w:ilvl w:val="0"/>
          <w:numId w:val="6"/>
        </w:numPr>
        <w:jc w:val="both"/>
        <w:rPr>
          <w:rFonts w:ascii="Calibri" w:hAnsi="Calibri" w:cs="Calibri"/>
          <w:bCs/>
          <w:sz w:val="22"/>
          <w:szCs w:val="22"/>
        </w:rPr>
      </w:pPr>
      <w:r w:rsidRPr="00B1775E">
        <w:rPr>
          <w:rFonts w:ascii="Calibri" w:hAnsi="Calibri" w:cs="Calibri"/>
          <w:bCs/>
          <w:sz w:val="22"/>
          <w:szCs w:val="22"/>
        </w:rPr>
        <w:t>ostatní služby (např. tisk, zdravotní zajištění při závodech, administrativní služby apod.)</w:t>
      </w:r>
    </w:p>
    <w:p w:rsidR="00B1775E" w:rsidRPr="00613343" w:rsidRDefault="00B1775E" w:rsidP="00B1775E">
      <w:pPr>
        <w:jc w:val="both"/>
        <w:rPr>
          <w:rFonts w:ascii="Calibri" w:hAnsi="Calibri" w:cs="Calibri"/>
          <w:bCs/>
          <w:sz w:val="22"/>
          <w:szCs w:val="22"/>
        </w:rPr>
      </w:pPr>
    </w:p>
    <w:p w:rsidR="00B1775E" w:rsidRPr="00613343" w:rsidRDefault="00B1775E" w:rsidP="00B1775E">
      <w:pPr>
        <w:jc w:val="both"/>
        <w:rPr>
          <w:rFonts w:ascii="Calibri" w:hAnsi="Calibri" w:cs="Calibri"/>
          <w:bCs/>
          <w:sz w:val="22"/>
          <w:szCs w:val="22"/>
        </w:rPr>
      </w:pPr>
      <w:r w:rsidRPr="00613343">
        <w:rPr>
          <w:rFonts w:ascii="Calibri" w:hAnsi="Calibri" w:cs="Calibri"/>
          <w:bCs/>
          <w:sz w:val="22"/>
          <w:szCs w:val="22"/>
        </w:rPr>
        <w:t>Hlavním kritériem pro stanovení výše rozdělovaných finančních prostředků jednotlivým klubům je počet dětí a mládeže do 18 let registrovaných v jednotlivých klubech.</w:t>
      </w:r>
    </w:p>
    <w:p w:rsidR="00613343" w:rsidRPr="00613343" w:rsidRDefault="00613343" w:rsidP="00613343">
      <w:pPr>
        <w:jc w:val="both"/>
        <w:rPr>
          <w:rFonts w:ascii="Calibri" w:hAnsi="Calibri" w:cs="Calibri"/>
          <w:bCs/>
          <w:sz w:val="22"/>
          <w:szCs w:val="22"/>
        </w:rPr>
      </w:pPr>
    </w:p>
    <w:p w:rsidR="00613343" w:rsidRDefault="00613343" w:rsidP="00613343">
      <w:pPr>
        <w:jc w:val="both"/>
        <w:rPr>
          <w:rFonts w:ascii="Calibri" w:hAnsi="Calibri" w:cs="Calibri"/>
          <w:bCs/>
          <w:sz w:val="22"/>
          <w:szCs w:val="22"/>
        </w:rPr>
      </w:pPr>
      <w:r w:rsidRPr="00613343">
        <w:rPr>
          <w:rFonts w:ascii="Calibri" w:hAnsi="Calibri" w:cs="Calibri"/>
          <w:bCs/>
          <w:sz w:val="22"/>
          <w:szCs w:val="22"/>
        </w:rPr>
        <w:t>2</w:t>
      </w:r>
      <w:r>
        <w:rPr>
          <w:rFonts w:ascii="Calibri" w:hAnsi="Calibri" w:cs="Calibri"/>
          <w:bCs/>
          <w:sz w:val="22"/>
          <w:szCs w:val="22"/>
        </w:rPr>
        <w:t>.</w:t>
      </w:r>
      <w:r w:rsidRPr="00613343">
        <w:rPr>
          <w:rFonts w:ascii="Calibri" w:hAnsi="Calibri" w:cs="Calibri"/>
          <w:bCs/>
          <w:sz w:val="22"/>
          <w:szCs w:val="22"/>
        </w:rPr>
        <w:t xml:space="preserve"> Příjemce se zavazuje uzavřít s každým níže uvedeným sportovním klubem - zapsaným spolkem na rok 201</w:t>
      </w:r>
      <w:r>
        <w:rPr>
          <w:rFonts w:ascii="Calibri" w:hAnsi="Calibri" w:cs="Calibri"/>
          <w:bCs/>
          <w:sz w:val="22"/>
          <w:szCs w:val="22"/>
        </w:rPr>
        <w:t>8</w:t>
      </w:r>
      <w:r w:rsidRPr="00613343">
        <w:rPr>
          <w:rFonts w:ascii="Calibri" w:hAnsi="Calibri" w:cs="Calibri"/>
          <w:bCs/>
          <w:sz w:val="22"/>
          <w:szCs w:val="22"/>
        </w:rPr>
        <w:t xml:space="preserve"> smlouvu o čerpání dotace (jmenovitě jde o tyto spolky, které mohou být na základě dohody účastníků této smlouvy v průběhu roku doplněny o další sportovní kluby – zapsané spolky nové členy. </w:t>
      </w:r>
    </w:p>
    <w:p w:rsidR="00613343" w:rsidRDefault="00613343" w:rsidP="00613343">
      <w:pPr>
        <w:jc w:val="both"/>
        <w:rPr>
          <w:rFonts w:ascii="Calibri" w:hAnsi="Calibri" w:cs="Calibri"/>
          <w:bCs/>
          <w:sz w:val="22"/>
          <w:szCs w:val="22"/>
        </w:rPr>
      </w:pPr>
    </w:p>
    <w:p w:rsidR="00613343" w:rsidRPr="00613343" w:rsidRDefault="00613343" w:rsidP="00613343">
      <w:pPr>
        <w:jc w:val="both"/>
        <w:rPr>
          <w:rFonts w:ascii="Calibri" w:hAnsi="Calibri" w:cs="Calibri"/>
          <w:bCs/>
          <w:sz w:val="22"/>
          <w:szCs w:val="22"/>
        </w:rPr>
      </w:pPr>
      <w:r w:rsidRPr="00613343">
        <w:rPr>
          <w:rFonts w:ascii="Calibri" w:hAnsi="Calibri" w:cs="Calibri"/>
          <w:bCs/>
          <w:sz w:val="22"/>
          <w:szCs w:val="22"/>
        </w:rPr>
        <w:t>Název spolku může být během roku změněn;  r</w:t>
      </w:r>
      <w:r w:rsidR="00B1775E">
        <w:rPr>
          <w:rFonts w:ascii="Calibri" w:hAnsi="Calibri" w:cs="Calibri"/>
          <w:bCs/>
          <w:sz w:val="22"/>
          <w:szCs w:val="22"/>
        </w:rPr>
        <w:t>ozhodujícím údajem je IČ klubu:</w:t>
      </w:r>
    </w:p>
    <w:tbl>
      <w:tblPr>
        <w:tblW w:w="5260" w:type="dxa"/>
        <w:tblInd w:w="58" w:type="dxa"/>
        <w:tblCellMar>
          <w:left w:w="70" w:type="dxa"/>
          <w:right w:w="70" w:type="dxa"/>
        </w:tblCellMar>
        <w:tblLook w:val="04A0" w:firstRow="1" w:lastRow="0" w:firstColumn="1" w:lastColumn="0" w:noHBand="0" w:noVBand="1"/>
      </w:tblPr>
      <w:tblGrid>
        <w:gridCol w:w="1180"/>
        <w:gridCol w:w="4080"/>
      </w:tblGrid>
      <w:tr w:rsidR="00033CA9" w:rsidRPr="00033CA9" w:rsidTr="00033CA9">
        <w:trPr>
          <w:trHeight w:val="285"/>
        </w:trPr>
        <w:tc>
          <w:tcPr>
            <w:tcW w:w="1180" w:type="dxa"/>
            <w:tcBorders>
              <w:top w:val="nil"/>
              <w:left w:val="nil"/>
              <w:bottom w:val="double" w:sz="6" w:space="0" w:color="auto"/>
              <w:right w:val="nil"/>
            </w:tcBorders>
            <w:shd w:val="clear" w:color="auto" w:fill="auto"/>
            <w:vAlign w:val="center"/>
            <w:hideMark/>
          </w:tcPr>
          <w:p w:rsidR="00033CA9" w:rsidRPr="0087792B" w:rsidRDefault="00033CA9" w:rsidP="00033CA9">
            <w:pPr>
              <w:suppressAutoHyphens w:val="0"/>
              <w:autoSpaceDN/>
              <w:textAlignment w:val="auto"/>
              <w:rPr>
                <w:rFonts w:ascii="Calibri" w:hAnsi="Calibri" w:cs="Calibri"/>
                <w:b/>
                <w:bCs/>
                <w:color w:val="000000"/>
              </w:rPr>
            </w:pPr>
            <w:r w:rsidRPr="0087792B">
              <w:rPr>
                <w:rFonts w:ascii="Calibri" w:hAnsi="Calibri" w:cs="Calibri"/>
                <w:b/>
                <w:bCs/>
                <w:color w:val="000000"/>
              </w:rPr>
              <w:t>IČO</w:t>
            </w:r>
          </w:p>
        </w:tc>
        <w:tc>
          <w:tcPr>
            <w:tcW w:w="4080" w:type="dxa"/>
            <w:tcBorders>
              <w:top w:val="nil"/>
              <w:left w:val="nil"/>
              <w:bottom w:val="double" w:sz="6" w:space="0" w:color="auto"/>
              <w:right w:val="nil"/>
            </w:tcBorders>
            <w:shd w:val="clear" w:color="auto" w:fill="auto"/>
            <w:vAlign w:val="center"/>
            <w:hideMark/>
          </w:tcPr>
          <w:p w:rsidR="00033CA9" w:rsidRPr="0087792B" w:rsidRDefault="00033CA9" w:rsidP="00033CA9">
            <w:pPr>
              <w:suppressAutoHyphens w:val="0"/>
              <w:autoSpaceDN/>
              <w:textAlignment w:val="auto"/>
              <w:rPr>
                <w:rFonts w:ascii="Calibri" w:hAnsi="Calibri" w:cs="Calibri"/>
                <w:b/>
                <w:bCs/>
                <w:color w:val="000000"/>
              </w:rPr>
            </w:pPr>
            <w:r w:rsidRPr="0087792B">
              <w:rPr>
                <w:rFonts w:ascii="Calibri" w:hAnsi="Calibri" w:cs="Calibri"/>
                <w:b/>
                <w:bCs/>
                <w:color w:val="000000"/>
              </w:rPr>
              <w:t xml:space="preserve">Klub (název dle veřejného rejstříku)                                             </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63125366</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Atletika Litvínov, z. 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63124866</w:t>
            </w:r>
          </w:p>
        </w:tc>
        <w:tc>
          <w:tcPr>
            <w:tcW w:w="40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BK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62209850</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Cyklistický klub Litvínov, z. 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25475185</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FK Litvínov a.s.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62209710</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Lukostřelecký klub Litvínov, z. 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63124858</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SKI CLUB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62209761</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Club modern gymnastics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62209442</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KNH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62209728</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KOB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62209744</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Plavecký klub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62209752</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Klub sportovní gymnastiky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63125064</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Table tenis club Litvínov, z. s.</w:t>
            </w:r>
          </w:p>
        </w:tc>
      </w:tr>
      <w:tr w:rsidR="00033CA9" w:rsidRPr="00033CA9" w:rsidTr="00033CA9">
        <w:trPr>
          <w:trHeight w:val="285"/>
        </w:trPr>
        <w:tc>
          <w:tcPr>
            <w:tcW w:w="11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62209451</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Lawn Tenis Club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62209736</w:t>
            </w:r>
          </w:p>
        </w:tc>
        <w:tc>
          <w:tcPr>
            <w:tcW w:w="4080" w:type="dxa"/>
            <w:tcBorders>
              <w:top w:val="nil"/>
              <w:left w:val="nil"/>
              <w:bottom w:val="nil"/>
              <w:right w:val="nil"/>
            </w:tcBorders>
            <w:shd w:val="clear" w:color="auto" w:fill="auto"/>
            <w:vAlign w:val="bottom"/>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Klub českých turistů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62209841</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Volejbalový klub Chemopetrol Litvínov</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70880166</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SK BIVOJ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26982978</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Krušnoman triathlon team Litvínov, z.ú.</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22661450</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Promilky, z. 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22687254</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Sportovní klub silového trojboje Litvínov,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47326930</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jc w:val="both"/>
              <w:textAlignment w:val="auto"/>
              <w:rPr>
                <w:rFonts w:ascii="Calibri" w:hAnsi="Calibri" w:cs="Calibri"/>
                <w:color w:val="000000"/>
              </w:rPr>
            </w:pPr>
            <w:r w:rsidRPr="00033CA9">
              <w:rPr>
                <w:rFonts w:ascii="Calibri" w:hAnsi="Calibri" w:cs="Calibri"/>
                <w:color w:val="000000"/>
              </w:rPr>
              <w:t>Tělovýchovná jednota Kopisty, z.s.</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68455968</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HBC Chudeřín</w:t>
            </w:r>
          </w:p>
        </w:tc>
      </w:tr>
      <w:tr w:rsidR="00033CA9" w:rsidRPr="00033CA9" w:rsidTr="00033CA9">
        <w:trPr>
          <w:trHeight w:val="285"/>
        </w:trPr>
        <w:tc>
          <w:tcPr>
            <w:tcW w:w="1180" w:type="dxa"/>
            <w:tcBorders>
              <w:top w:val="nil"/>
              <w:left w:val="nil"/>
              <w:bottom w:val="nil"/>
              <w:right w:val="nil"/>
            </w:tcBorders>
            <w:shd w:val="clear" w:color="auto" w:fill="auto"/>
            <w:noWrap/>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22727787</w:t>
            </w:r>
          </w:p>
        </w:tc>
        <w:tc>
          <w:tcPr>
            <w:tcW w:w="4080" w:type="dxa"/>
            <w:tcBorders>
              <w:top w:val="nil"/>
              <w:left w:val="nil"/>
              <w:bottom w:val="nil"/>
              <w:right w:val="nil"/>
            </w:tcBorders>
            <w:shd w:val="clear" w:color="auto" w:fill="auto"/>
            <w:vAlign w:val="center"/>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Ski Club KRUŠNOBORCI, z.s.</w:t>
            </w:r>
          </w:p>
        </w:tc>
      </w:tr>
      <w:tr w:rsidR="00033CA9" w:rsidRPr="00033CA9" w:rsidTr="00033CA9">
        <w:trPr>
          <w:trHeight w:val="285"/>
        </w:trPr>
        <w:tc>
          <w:tcPr>
            <w:tcW w:w="1180" w:type="dxa"/>
            <w:tcBorders>
              <w:top w:val="nil"/>
              <w:left w:val="nil"/>
              <w:bottom w:val="nil"/>
              <w:right w:val="nil"/>
            </w:tcBorders>
            <w:shd w:val="clear" w:color="auto" w:fill="auto"/>
            <w:noWrap/>
            <w:vAlign w:val="bottom"/>
            <w:hideMark/>
          </w:tcPr>
          <w:p w:rsidR="00033CA9" w:rsidRPr="00033CA9" w:rsidRDefault="00033CA9" w:rsidP="00033CA9">
            <w:pPr>
              <w:suppressAutoHyphens w:val="0"/>
              <w:autoSpaceDN/>
              <w:textAlignment w:val="auto"/>
              <w:rPr>
                <w:rFonts w:ascii="Calibri" w:hAnsi="Calibri" w:cs="Calibri"/>
              </w:rPr>
            </w:pPr>
            <w:bookmarkStart w:id="1" w:name="_MailAutoSig"/>
            <w:r w:rsidRPr="00033CA9">
              <w:rPr>
                <w:rFonts w:ascii="Calibri" w:hAnsi="Calibri" w:cs="Calibri"/>
              </w:rPr>
              <w:t>06079032</w:t>
            </w:r>
            <w:bookmarkEnd w:id="1"/>
          </w:p>
        </w:tc>
        <w:tc>
          <w:tcPr>
            <w:tcW w:w="4080" w:type="dxa"/>
            <w:tcBorders>
              <w:top w:val="nil"/>
              <w:left w:val="nil"/>
              <w:bottom w:val="nil"/>
              <w:right w:val="nil"/>
            </w:tcBorders>
            <w:shd w:val="clear" w:color="auto" w:fill="auto"/>
            <w:noWrap/>
            <w:vAlign w:val="bottom"/>
            <w:hideMark/>
          </w:tcPr>
          <w:p w:rsidR="00033CA9" w:rsidRPr="00033CA9" w:rsidRDefault="00033CA9" w:rsidP="00033CA9">
            <w:pPr>
              <w:suppressAutoHyphens w:val="0"/>
              <w:autoSpaceDN/>
              <w:textAlignment w:val="auto"/>
              <w:rPr>
                <w:rFonts w:ascii="Calibri" w:hAnsi="Calibri" w:cs="Calibri"/>
              </w:rPr>
            </w:pPr>
            <w:r w:rsidRPr="00033CA9">
              <w:rPr>
                <w:rFonts w:ascii="Calibri" w:hAnsi="Calibri" w:cs="Calibri"/>
              </w:rPr>
              <w:t>M-ALGO team  z.s.</w:t>
            </w:r>
          </w:p>
        </w:tc>
      </w:tr>
      <w:tr w:rsidR="00033CA9" w:rsidRPr="00033CA9" w:rsidTr="00033CA9">
        <w:trPr>
          <w:trHeight w:val="285"/>
        </w:trPr>
        <w:tc>
          <w:tcPr>
            <w:tcW w:w="1180" w:type="dxa"/>
            <w:tcBorders>
              <w:top w:val="nil"/>
              <w:left w:val="nil"/>
              <w:bottom w:val="nil"/>
              <w:right w:val="nil"/>
            </w:tcBorders>
            <w:shd w:val="clear" w:color="auto" w:fill="auto"/>
            <w:noWrap/>
            <w:vAlign w:val="bottom"/>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42140072</w:t>
            </w:r>
          </w:p>
        </w:tc>
        <w:tc>
          <w:tcPr>
            <w:tcW w:w="4080" w:type="dxa"/>
            <w:tcBorders>
              <w:top w:val="nil"/>
              <w:left w:val="nil"/>
              <w:bottom w:val="nil"/>
              <w:right w:val="nil"/>
            </w:tcBorders>
            <w:shd w:val="clear" w:color="auto" w:fill="auto"/>
            <w:noWrap/>
            <w:vAlign w:val="bottom"/>
            <w:hideMark/>
          </w:tcPr>
          <w:p w:rsidR="00033CA9" w:rsidRPr="00033CA9" w:rsidRDefault="00033CA9" w:rsidP="00033CA9">
            <w:pPr>
              <w:suppressAutoHyphens w:val="0"/>
              <w:autoSpaceDN/>
              <w:textAlignment w:val="auto"/>
              <w:rPr>
                <w:rFonts w:ascii="Calibri" w:hAnsi="Calibri" w:cs="Calibri"/>
                <w:color w:val="000000"/>
              </w:rPr>
            </w:pPr>
            <w:r w:rsidRPr="00033CA9">
              <w:rPr>
                <w:rFonts w:ascii="Calibri" w:hAnsi="Calibri" w:cs="Calibri"/>
                <w:color w:val="000000"/>
              </w:rPr>
              <w:t>FŠ Litvínov, z.s.</w:t>
            </w:r>
          </w:p>
        </w:tc>
      </w:tr>
    </w:tbl>
    <w:p w:rsidR="00613343" w:rsidRPr="00613343" w:rsidRDefault="00613343" w:rsidP="00613343">
      <w:pPr>
        <w:jc w:val="both"/>
        <w:rPr>
          <w:rFonts w:ascii="Calibri" w:hAnsi="Calibri" w:cs="Calibri"/>
          <w:bCs/>
          <w:sz w:val="22"/>
          <w:szCs w:val="22"/>
        </w:rPr>
      </w:pPr>
    </w:p>
    <w:p w:rsidR="00613343" w:rsidRPr="00613343" w:rsidRDefault="00613343" w:rsidP="00613343">
      <w:pPr>
        <w:jc w:val="both"/>
        <w:rPr>
          <w:rFonts w:ascii="Calibri" w:hAnsi="Calibri" w:cs="Calibri"/>
          <w:bCs/>
          <w:sz w:val="22"/>
          <w:szCs w:val="22"/>
        </w:rPr>
      </w:pPr>
      <w:r w:rsidRPr="00613343">
        <w:rPr>
          <w:rFonts w:ascii="Calibri" w:hAnsi="Calibri" w:cs="Calibri"/>
          <w:bCs/>
          <w:sz w:val="22"/>
          <w:szCs w:val="22"/>
        </w:rPr>
        <w:t xml:space="preserve">s uvedením celkové částky na činnost a s ustanovením o vrácení dotace využité v rozporu se smlouvou nebo nedostatečného doložení realizovaných plateb. </w:t>
      </w:r>
    </w:p>
    <w:p w:rsidR="00613343" w:rsidRPr="00613343" w:rsidRDefault="00613343" w:rsidP="00613343">
      <w:pPr>
        <w:jc w:val="both"/>
        <w:rPr>
          <w:rFonts w:ascii="Calibri" w:hAnsi="Calibri" w:cs="Calibri"/>
          <w:bCs/>
          <w:sz w:val="22"/>
          <w:szCs w:val="22"/>
        </w:rPr>
      </w:pPr>
    </w:p>
    <w:p w:rsidR="008F2DE4" w:rsidRPr="00735984" w:rsidRDefault="00B1775E" w:rsidP="008F2DE4">
      <w:pPr>
        <w:jc w:val="both"/>
        <w:rPr>
          <w:rFonts w:ascii="Calibri" w:hAnsi="Calibri" w:cs="Calibri"/>
          <w:bCs/>
          <w:sz w:val="22"/>
          <w:szCs w:val="22"/>
        </w:rPr>
      </w:pPr>
      <w:r>
        <w:rPr>
          <w:rFonts w:ascii="Calibri" w:hAnsi="Calibri" w:cs="Calibri"/>
          <w:bCs/>
          <w:sz w:val="22"/>
          <w:szCs w:val="22"/>
        </w:rPr>
        <w:t>3</w:t>
      </w:r>
      <w:r w:rsidR="008F2DE4">
        <w:rPr>
          <w:rFonts w:ascii="Calibri" w:hAnsi="Calibri" w:cs="Calibri"/>
          <w:bCs/>
          <w:sz w:val="22"/>
          <w:szCs w:val="22"/>
        </w:rPr>
        <w:t xml:space="preserve">. </w:t>
      </w:r>
      <w:r w:rsidR="008F2DE4" w:rsidRPr="00735984">
        <w:rPr>
          <w:rFonts w:ascii="Calibri" w:hAnsi="Calibri" w:cs="Calibri"/>
          <w:bCs/>
          <w:sz w:val="22"/>
          <w:szCs w:val="22"/>
        </w:rPr>
        <w:t xml:space="preserve">Neuznatelnými </w:t>
      </w:r>
      <w:r w:rsidR="008F2DE4">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8F2DE4" w:rsidRDefault="008F2DE4" w:rsidP="008F2DE4">
      <w:pPr>
        <w:jc w:val="both"/>
        <w:rPr>
          <w:rFonts w:ascii="Calibri" w:hAnsi="Calibri" w:cs="Calibri"/>
          <w:bCs/>
          <w:sz w:val="22"/>
          <w:szCs w:val="22"/>
        </w:rPr>
      </w:pPr>
      <w:r w:rsidRPr="00735984">
        <w:rPr>
          <w:rFonts w:ascii="Calibri" w:hAnsi="Calibri" w:cs="Calibri"/>
          <w:bCs/>
          <w:sz w:val="22"/>
          <w:szCs w:val="22"/>
        </w:rPr>
        <w:t>Pozn. Navazuje na čl. IX odst. 5 smlouvy.</w:t>
      </w:r>
    </w:p>
    <w:p w:rsidR="008F2DE4" w:rsidRPr="00CC620E" w:rsidRDefault="00B1775E" w:rsidP="008F2DE4">
      <w:pPr>
        <w:jc w:val="both"/>
        <w:rPr>
          <w:rFonts w:asciiTheme="minorHAnsi" w:hAnsiTheme="minorHAnsi" w:cstheme="minorHAnsi"/>
          <w:sz w:val="22"/>
          <w:szCs w:val="22"/>
        </w:rPr>
      </w:pPr>
      <w:r>
        <w:rPr>
          <w:rFonts w:ascii="Calibri" w:hAnsi="Calibri" w:cs="Calibri"/>
          <w:bCs/>
          <w:sz w:val="22"/>
          <w:szCs w:val="22"/>
        </w:rPr>
        <w:t>4</w:t>
      </w:r>
      <w:r w:rsidR="008F2DE4">
        <w:rPr>
          <w:rFonts w:ascii="Calibri" w:hAnsi="Calibri" w:cs="Calibri"/>
          <w:bCs/>
          <w:sz w:val="22"/>
          <w:szCs w:val="22"/>
        </w:rPr>
        <w:t xml:space="preserve">. </w:t>
      </w:r>
      <w:r w:rsidR="008F2DE4"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8F2DE4" w:rsidRDefault="008F2DE4" w:rsidP="008F2DE4">
      <w:pPr>
        <w:jc w:val="both"/>
        <w:rPr>
          <w:rFonts w:ascii="Calibri" w:hAnsi="Calibri" w:cs="Calibri"/>
          <w:bCs/>
          <w:sz w:val="22"/>
          <w:szCs w:val="22"/>
        </w:rPr>
      </w:pPr>
    </w:p>
    <w:p w:rsidR="008F2DE4" w:rsidRPr="00735984" w:rsidRDefault="00B1775E" w:rsidP="008F2DE4">
      <w:pPr>
        <w:jc w:val="both"/>
        <w:rPr>
          <w:rFonts w:ascii="Calibri" w:hAnsi="Calibri" w:cs="Calibri"/>
          <w:bCs/>
          <w:sz w:val="22"/>
          <w:szCs w:val="22"/>
        </w:rPr>
      </w:pPr>
      <w:r>
        <w:rPr>
          <w:rFonts w:ascii="Calibri" w:hAnsi="Calibri" w:cs="Calibri"/>
          <w:bCs/>
          <w:sz w:val="22"/>
          <w:szCs w:val="22"/>
        </w:rPr>
        <w:t>5</w:t>
      </w:r>
      <w:r w:rsidR="008F2DE4">
        <w:rPr>
          <w:rFonts w:ascii="Calibri" w:hAnsi="Calibri" w:cs="Calibri"/>
          <w:bCs/>
          <w:sz w:val="22"/>
          <w:szCs w:val="22"/>
        </w:rPr>
        <w:t>. Příjemce je povinen tuto dotaci požít jako dotaci neinvestiční. Porušení této povinnosti bude poskytovatelem posuzováno jako porušení rozpočtové kázně.</w:t>
      </w:r>
    </w:p>
    <w:p w:rsidR="008F2DE4" w:rsidRPr="00C326FF" w:rsidRDefault="008F2DE4" w:rsidP="008F2DE4">
      <w:pPr>
        <w:rPr>
          <w:rFonts w:ascii="Calibri" w:hAnsi="Calibri" w:cs="Calibri"/>
          <w:b/>
          <w:bCs/>
          <w:sz w:val="22"/>
          <w:szCs w:val="22"/>
        </w:rPr>
      </w:pPr>
    </w:p>
    <w:p w:rsidR="008F2DE4" w:rsidRPr="00C326FF" w:rsidRDefault="008F2DE4" w:rsidP="008F2DE4">
      <w:pPr>
        <w:jc w:val="center"/>
        <w:rPr>
          <w:rFonts w:ascii="Calibri" w:hAnsi="Calibri" w:cs="Calibri"/>
          <w:b/>
          <w:bCs/>
          <w:sz w:val="22"/>
          <w:szCs w:val="22"/>
        </w:rPr>
      </w:pPr>
      <w:r w:rsidRPr="00C326FF">
        <w:rPr>
          <w:rFonts w:ascii="Calibri" w:hAnsi="Calibri" w:cs="Calibri"/>
          <w:b/>
          <w:bCs/>
          <w:sz w:val="22"/>
          <w:szCs w:val="22"/>
        </w:rPr>
        <w:t>VII.</w:t>
      </w:r>
    </w:p>
    <w:p w:rsidR="008F2DE4" w:rsidRDefault="008F2DE4" w:rsidP="008F2DE4">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8F2DE4" w:rsidRPr="00C326FF" w:rsidRDefault="008F2DE4" w:rsidP="008F2DE4">
      <w:pPr>
        <w:jc w:val="center"/>
        <w:rPr>
          <w:rFonts w:ascii="Calibri" w:hAnsi="Calibri" w:cs="Calibri"/>
          <w:b/>
          <w:bCs/>
          <w:sz w:val="22"/>
          <w:szCs w:val="22"/>
        </w:rPr>
      </w:pPr>
    </w:p>
    <w:p w:rsidR="008F2DE4" w:rsidRPr="00DB0988" w:rsidRDefault="008F2DE4" w:rsidP="008F2DE4">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8F2DE4" w:rsidRPr="00DB0988" w:rsidRDefault="008F2DE4" w:rsidP="008F2DE4">
      <w:pPr>
        <w:rPr>
          <w:rFonts w:ascii="Calibri" w:hAnsi="Calibri" w:cs="Calibri"/>
          <w:bCs/>
          <w:sz w:val="22"/>
          <w:szCs w:val="22"/>
        </w:rPr>
      </w:pPr>
    </w:p>
    <w:p w:rsidR="008F2DE4" w:rsidRPr="00DB0988" w:rsidRDefault="008F2DE4" w:rsidP="008F2DE4">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8F2DE4" w:rsidRPr="00DB0988" w:rsidRDefault="008F2DE4" w:rsidP="008F2DE4">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8F2DE4" w:rsidRPr="00DB0988" w:rsidRDefault="008F2DE4" w:rsidP="008F2DE4">
      <w:pPr>
        <w:rPr>
          <w:rFonts w:ascii="Calibri" w:hAnsi="Calibri" w:cs="Calibri"/>
          <w:bCs/>
          <w:sz w:val="22"/>
          <w:szCs w:val="22"/>
        </w:rPr>
      </w:pPr>
    </w:p>
    <w:p w:rsidR="008F2DE4" w:rsidRPr="00DB0988" w:rsidRDefault="008F2DE4" w:rsidP="008F2DE4">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(dle smlouvy číslo </w:t>
      </w:r>
      <w:r w:rsidRPr="0087792B">
        <w:rPr>
          <w:rFonts w:ascii="Calibri" w:hAnsi="Calibri" w:cs="Calibri"/>
          <w:bCs/>
          <w:sz w:val="22"/>
          <w:szCs w:val="22"/>
        </w:rPr>
        <w:t>KT/</w:t>
      </w:r>
      <w:r w:rsidR="00033CA9" w:rsidRPr="0087792B">
        <w:rPr>
          <w:rFonts w:ascii="Calibri" w:hAnsi="Calibri" w:cs="Calibri"/>
          <w:bCs/>
          <w:sz w:val="22"/>
          <w:szCs w:val="22"/>
        </w:rPr>
        <w:t>9436/17</w:t>
      </w:r>
      <w:r w:rsidRPr="00DB0988">
        <w:rPr>
          <w:rFonts w:ascii="Calibri" w:hAnsi="Calibri" w:cs="Calibri"/>
          <w:bCs/>
          <w:sz w:val="22"/>
          <w:szCs w:val="22"/>
        </w:rPr>
        <w:t>). Splnění této podmínky doloží příjemce dotace při vyúčtování kopií účetního dokladu.</w:t>
      </w:r>
    </w:p>
    <w:p w:rsidR="008F2DE4" w:rsidRPr="00DB0988" w:rsidRDefault="008F2DE4" w:rsidP="008F2DE4">
      <w:pPr>
        <w:rPr>
          <w:rFonts w:ascii="Calibri" w:hAnsi="Calibri" w:cs="Calibri"/>
          <w:bCs/>
          <w:sz w:val="22"/>
          <w:szCs w:val="22"/>
        </w:rPr>
      </w:pPr>
    </w:p>
    <w:p w:rsidR="008F2DE4" w:rsidRDefault="008F2DE4" w:rsidP="008F2DE4">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8F2DE4" w:rsidRDefault="008F2DE4" w:rsidP="008F2DE4">
      <w:pPr>
        <w:jc w:val="both"/>
        <w:rPr>
          <w:rFonts w:ascii="Calibri" w:hAnsi="Calibri" w:cs="Calibri"/>
          <w:bCs/>
          <w:sz w:val="22"/>
          <w:szCs w:val="22"/>
        </w:rPr>
      </w:pPr>
    </w:p>
    <w:p w:rsidR="008F2DE4" w:rsidRDefault="008F2DE4" w:rsidP="008F2DE4">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8F2DE4" w:rsidRDefault="008F2DE4" w:rsidP="008F2DE4">
      <w:pPr>
        <w:jc w:val="both"/>
        <w:rPr>
          <w:rFonts w:ascii="Calibri" w:hAnsi="Calibri" w:cs="Calibri"/>
          <w:bCs/>
          <w:sz w:val="22"/>
          <w:szCs w:val="22"/>
        </w:rPr>
      </w:pPr>
    </w:p>
    <w:p w:rsidR="008F2DE4" w:rsidRPr="00DB0988" w:rsidRDefault="008F2DE4" w:rsidP="008F2DE4">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8F2DE4" w:rsidRDefault="008F2DE4" w:rsidP="008F2DE4">
      <w:pPr>
        <w:rPr>
          <w:rFonts w:ascii="Calibri" w:hAnsi="Calibri" w:cs="Calibri"/>
          <w:b/>
          <w:bCs/>
          <w:sz w:val="22"/>
          <w:szCs w:val="22"/>
        </w:rPr>
      </w:pPr>
    </w:p>
    <w:p w:rsidR="008F2DE4" w:rsidRPr="00C326FF" w:rsidRDefault="008F2DE4" w:rsidP="008F2DE4">
      <w:pPr>
        <w:jc w:val="center"/>
        <w:rPr>
          <w:rFonts w:ascii="Calibri" w:hAnsi="Calibri" w:cs="Calibri"/>
          <w:b/>
          <w:bCs/>
          <w:sz w:val="22"/>
          <w:szCs w:val="22"/>
        </w:rPr>
      </w:pPr>
      <w:r w:rsidRPr="00C326FF">
        <w:rPr>
          <w:rFonts w:ascii="Calibri" w:hAnsi="Calibri" w:cs="Calibri"/>
          <w:b/>
          <w:bCs/>
          <w:sz w:val="22"/>
          <w:szCs w:val="22"/>
        </w:rPr>
        <w:t>VIII.</w:t>
      </w:r>
    </w:p>
    <w:p w:rsidR="008F2DE4" w:rsidRDefault="008F2DE4" w:rsidP="008F2DE4">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8F2DE4" w:rsidRDefault="008F2DE4" w:rsidP="008F2DE4">
      <w:pPr>
        <w:jc w:val="center"/>
        <w:rPr>
          <w:rFonts w:ascii="Calibri" w:hAnsi="Calibri" w:cs="Calibri"/>
          <w:b/>
          <w:bCs/>
          <w:sz w:val="22"/>
          <w:szCs w:val="22"/>
        </w:rPr>
      </w:pPr>
    </w:p>
    <w:p w:rsidR="008F2DE4" w:rsidRPr="00181747" w:rsidRDefault="008F2DE4" w:rsidP="008F2DE4">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w:t>
      </w:r>
      <w:r w:rsidRPr="00181747">
        <w:rPr>
          <w:rFonts w:ascii="Calibri" w:hAnsi="Calibri" w:cs="Calibri"/>
          <w:bCs/>
          <w:sz w:val="22"/>
          <w:szCs w:val="22"/>
        </w:rPr>
        <w:lastRenderedPageBreak/>
        <w:t xml:space="preserve">být projednána v tom orgánu poskytovatele, který schválil poskytnutí dotace a smlouvu o jejím poskytnutí. </w:t>
      </w:r>
    </w:p>
    <w:p w:rsidR="008F2DE4" w:rsidRPr="00181747" w:rsidRDefault="008F2DE4" w:rsidP="008F2DE4">
      <w:pPr>
        <w:jc w:val="both"/>
        <w:rPr>
          <w:rFonts w:ascii="Calibri" w:hAnsi="Calibri" w:cs="Calibri"/>
          <w:bCs/>
          <w:sz w:val="22"/>
          <w:szCs w:val="22"/>
        </w:rPr>
      </w:pPr>
    </w:p>
    <w:p w:rsidR="008F2DE4" w:rsidRPr="00181747" w:rsidRDefault="008F2DE4" w:rsidP="008F2DE4">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8F2DE4" w:rsidRPr="00181747" w:rsidRDefault="008F2DE4" w:rsidP="008F2DE4">
      <w:pPr>
        <w:jc w:val="both"/>
        <w:rPr>
          <w:rFonts w:ascii="Calibri" w:hAnsi="Calibri" w:cs="Calibri"/>
          <w:bCs/>
          <w:sz w:val="22"/>
          <w:szCs w:val="22"/>
        </w:rPr>
      </w:pPr>
    </w:p>
    <w:p w:rsidR="008F2DE4" w:rsidRPr="00181747" w:rsidRDefault="008F2DE4" w:rsidP="008F2DE4">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F9371C">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8F2DE4" w:rsidRPr="00181747" w:rsidRDefault="008F2DE4" w:rsidP="008F2DE4">
      <w:pPr>
        <w:jc w:val="both"/>
        <w:rPr>
          <w:rFonts w:ascii="Calibri" w:hAnsi="Calibri" w:cs="Calibri"/>
          <w:bCs/>
          <w:sz w:val="22"/>
          <w:szCs w:val="22"/>
        </w:rPr>
      </w:pPr>
    </w:p>
    <w:p w:rsidR="008F2DE4" w:rsidRPr="00181747" w:rsidRDefault="008F2DE4" w:rsidP="008F2DE4">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8F2DE4" w:rsidRPr="00181747" w:rsidRDefault="008F2DE4" w:rsidP="008F2DE4">
      <w:pPr>
        <w:jc w:val="both"/>
        <w:rPr>
          <w:rFonts w:ascii="Calibri" w:hAnsi="Calibri" w:cs="Calibri"/>
          <w:bCs/>
          <w:sz w:val="22"/>
          <w:szCs w:val="22"/>
        </w:rPr>
      </w:pPr>
    </w:p>
    <w:p w:rsidR="008F2DE4" w:rsidRPr="00181747" w:rsidRDefault="008F2DE4" w:rsidP="008F2DE4">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8F2DE4" w:rsidRPr="00181747" w:rsidRDefault="008F2DE4" w:rsidP="008F2DE4">
      <w:pPr>
        <w:jc w:val="both"/>
        <w:rPr>
          <w:rFonts w:ascii="Calibri" w:hAnsi="Calibri" w:cs="Calibri"/>
          <w:bCs/>
          <w:sz w:val="22"/>
          <w:szCs w:val="22"/>
        </w:rPr>
      </w:pPr>
    </w:p>
    <w:p w:rsidR="008F2DE4" w:rsidRPr="00181747" w:rsidRDefault="008F2DE4" w:rsidP="008F2DE4">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8F2DE4" w:rsidRPr="00181747" w:rsidRDefault="008F2DE4" w:rsidP="008F2DE4">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8F2DE4" w:rsidRPr="00C326FF" w:rsidRDefault="008F2DE4" w:rsidP="008F2DE4">
      <w:pPr>
        <w:rPr>
          <w:rFonts w:ascii="Calibri" w:hAnsi="Calibri" w:cs="Calibri"/>
          <w:b/>
          <w:bCs/>
          <w:sz w:val="22"/>
          <w:szCs w:val="22"/>
        </w:rPr>
      </w:pPr>
    </w:p>
    <w:p w:rsidR="008F2DE4" w:rsidRPr="00C326FF" w:rsidRDefault="008F2DE4" w:rsidP="008F2DE4">
      <w:pPr>
        <w:jc w:val="center"/>
        <w:rPr>
          <w:rFonts w:ascii="Calibri" w:hAnsi="Calibri" w:cs="Calibri"/>
          <w:b/>
          <w:bCs/>
          <w:sz w:val="22"/>
          <w:szCs w:val="22"/>
        </w:rPr>
      </w:pPr>
      <w:r w:rsidRPr="00C326FF">
        <w:rPr>
          <w:rFonts w:ascii="Calibri" w:hAnsi="Calibri" w:cs="Calibri"/>
          <w:b/>
          <w:bCs/>
          <w:sz w:val="22"/>
          <w:szCs w:val="22"/>
        </w:rPr>
        <w:t>IX.</w:t>
      </w:r>
    </w:p>
    <w:p w:rsidR="008F2DE4" w:rsidRDefault="008F2DE4" w:rsidP="008F2DE4">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8F2DE4" w:rsidRPr="00C326FF" w:rsidRDefault="008F2DE4" w:rsidP="008F2DE4">
      <w:pPr>
        <w:jc w:val="center"/>
        <w:rPr>
          <w:rFonts w:ascii="Calibri" w:hAnsi="Calibri" w:cs="Calibri"/>
          <w:b/>
          <w:bCs/>
          <w:sz w:val="22"/>
          <w:szCs w:val="22"/>
        </w:rPr>
      </w:pPr>
    </w:p>
    <w:p w:rsidR="008F2DE4" w:rsidRPr="006335FD" w:rsidRDefault="008F2DE4" w:rsidP="008F2DE4">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8F2DE4" w:rsidRPr="006335FD" w:rsidRDefault="008F2DE4" w:rsidP="008F2DE4">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8F2DE4" w:rsidRPr="006335FD" w:rsidRDefault="008F2DE4" w:rsidP="008F2DE4">
      <w:pPr>
        <w:jc w:val="both"/>
        <w:rPr>
          <w:rFonts w:ascii="Calibri" w:hAnsi="Calibri" w:cs="Calibri"/>
          <w:bCs/>
          <w:sz w:val="22"/>
          <w:szCs w:val="22"/>
        </w:rPr>
      </w:pPr>
    </w:p>
    <w:p w:rsidR="008F2DE4" w:rsidRPr="006335FD" w:rsidRDefault="008F2DE4" w:rsidP="008F2DE4">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8F2DE4" w:rsidRPr="006335FD" w:rsidRDefault="008F2DE4" w:rsidP="008F2DE4">
      <w:pPr>
        <w:jc w:val="both"/>
        <w:rPr>
          <w:rFonts w:ascii="Calibri" w:hAnsi="Calibri" w:cs="Calibri"/>
          <w:bCs/>
          <w:sz w:val="22"/>
          <w:szCs w:val="22"/>
        </w:rPr>
      </w:pPr>
    </w:p>
    <w:p w:rsidR="008F2DE4" w:rsidRPr="006335FD" w:rsidRDefault="008F2DE4" w:rsidP="008F2DE4">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8F2DE4" w:rsidRPr="006335FD" w:rsidRDefault="008F2DE4" w:rsidP="008F2DE4">
      <w:pPr>
        <w:jc w:val="both"/>
        <w:rPr>
          <w:rFonts w:ascii="Calibri" w:hAnsi="Calibri" w:cs="Calibri"/>
          <w:bCs/>
          <w:sz w:val="22"/>
          <w:szCs w:val="22"/>
        </w:rPr>
      </w:pPr>
    </w:p>
    <w:p w:rsidR="008F2DE4" w:rsidRPr="006335FD" w:rsidRDefault="008F2DE4" w:rsidP="008F2DE4">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sidRPr="006335FD">
        <w:rPr>
          <w:rFonts w:ascii="Calibri" w:hAnsi="Calibri" w:cs="Calibri"/>
          <w:bCs/>
          <w:sz w:val="22"/>
          <w:szCs w:val="22"/>
        </w:rPr>
        <w:lastRenderedPageBreak/>
        <w:t xml:space="preserve">5 tohoto ustanovení. V rozsahu, v jakém příjemce provedl opatření k nápravě, platí, že nedošlo k porušení rozpočtové kázně. </w:t>
      </w:r>
    </w:p>
    <w:p w:rsidR="008F2DE4" w:rsidRPr="006335FD" w:rsidRDefault="008F2DE4" w:rsidP="008F2DE4">
      <w:pPr>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8F2DE4"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8F2DE4" w:rsidRPr="00557E4C"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8F2DE4" w:rsidRPr="00557E4C" w:rsidRDefault="008F2DE4" w:rsidP="008F2DE4">
      <w:pPr>
        <w:rPr>
          <w:rFonts w:ascii="Calibri" w:hAnsi="Calibri" w:cs="Calibri"/>
          <w:b/>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8F2DE4" w:rsidRPr="00557E4C"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8F2DE4" w:rsidRPr="00557E4C"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8F2DE4" w:rsidRPr="00557E4C"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8F2DE4" w:rsidRPr="00557E4C"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8F2DE4" w:rsidRPr="00557E4C" w:rsidRDefault="008F2DE4" w:rsidP="008F2DE4">
      <w:pPr>
        <w:jc w:val="both"/>
        <w:rPr>
          <w:rFonts w:ascii="Calibri" w:hAnsi="Calibri" w:cs="Calibri"/>
          <w:bCs/>
          <w:sz w:val="22"/>
          <w:szCs w:val="22"/>
        </w:rPr>
      </w:pPr>
    </w:p>
    <w:p w:rsidR="008F2DE4" w:rsidRPr="00557E4C" w:rsidRDefault="008F2DE4" w:rsidP="008F2DE4">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8F2DE4" w:rsidRPr="00557E4C" w:rsidRDefault="008F2DE4" w:rsidP="008F2DE4">
      <w:pPr>
        <w:rPr>
          <w:rFonts w:ascii="Calibri" w:hAnsi="Calibri" w:cs="Calibri"/>
          <w:b/>
          <w:bCs/>
          <w:sz w:val="22"/>
          <w:szCs w:val="22"/>
        </w:rPr>
      </w:pPr>
    </w:p>
    <w:p w:rsidR="008F2DE4" w:rsidRPr="0014298D" w:rsidRDefault="008F2DE4" w:rsidP="008F2DE4">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8F2DE4" w:rsidRPr="0014298D" w:rsidRDefault="008F2DE4" w:rsidP="008F2DE4">
      <w:pPr>
        <w:jc w:val="both"/>
        <w:rPr>
          <w:rFonts w:ascii="Calibri" w:hAnsi="Calibri" w:cs="Calibri"/>
          <w:bCs/>
          <w:sz w:val="22"/>
          <w:szCs w:val="22"/>
        </w:rPr>
      </w:pPr>
    </w:p>
    <w:p w:rsidR="008F2DE4" w:rsidRPr="0014298D" w:rsidRDefault="008F2DE4" w:rsidP="008F2DE4">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8F2DE4" w:rsidRDefault="008F2DE4" w:rsidP="008F2DE4">
      <w:pPr>
        <w:rPr>
          <w:rFonts w:ascii="Calibri" w:hAnsi="Calibri" w:cs="Calibri"/>
          <w:b/>
          <w:bCs/>
          <w:sz w:val="22"/>
          <w:szCs w:val="22"/>
        </w:rPr>
      </w:pPr>
    </w:p>
    <w:p w:rsidR="00B1775E" w:rsidRDefault="00B1775E" w:rsidP="008F2DE4">
      <w:pPr>
        <w:rPr>
          <w:rFonts w:ascii="Calibri" w:hAnsi="Calibri" w:cs="Calibri"/>
          <w:b/>
          <w:bCs/>
          <w:sz w:val="22"/>
          <w:szCs w:val="22"/>
        </w:rPr>
      </w:pPr>
    </w:p>
    <w:p w:rsidR="00B1775E" w:rsidRDefault="00B1775E" w:rsidP="008F2DE4">
      <w:pPr>
        <w:rPr>
          <w:rFonts w:ascii="Calibri" w:hAnsi="Calibri" w:cs="Calibri"/>
          <w:b/>
          <w:bCs/>
          <w:sz w:val="22"/>
          <w:szCs w:val="22"/>
        </w:rPr>
      </w:pPr>
    </w:p>
    <w:p w:rsidR="00B1775E" w:rsidRDefault="00B1775E" w:rsidP="008F2DE4">
      <w:pPr>
        <w:rPr>
          <w:rFonts w:ascii="Calibri" w:hAnsi="Calibri" w:cs="Calibri"/>
          <w:b/>
          <w:bCs/>
          <w:sz w:val="22"/>
          <w:szCs w:val="22"/>
        </w:rPr>
      </w:pPr>
    </w:p>
    <w:p w:rsidR="00B1775E" w:rsidRPr="00C326FF" w:rsidRDefault="00B1775E" w:rsidP="008F2DE4">
      <w:pPr>
        <w:rPr>
          <w:rFonts w:ascii="Calibri" w:hAnsi="Calibri" w:cs="Calibri"/>
          <w:b/>
          <w:bCs/>
          <w:sz w:val="22"/>
          <w:szCs w:val="22"/>
        </w:rPr>
      </w:pPr>
    </w:p>
    <w:p w:rsidR="008F2DE4" w:rsidRPr="00C326FF" w:rsidRDefault="008F2DE4" w:rsidP="008F2DE4">
      <w:pPr>
        <w:jc w:val="center"/>
        <w:rPr>
          <w:rFonts w:ascii="Calibri" w:hAnsi="Calibri" w:cs="Calibri"/>
          <w:b/>
          <w:bCs/>
          <w:sz w:val="22"/>
          <w:szCs w:val="22"/>
        </w:rPr>
      </w:pPr>
      <w:r w:rsidRPr="00C326FF">
        <w:rPr>
          <w:rFonts w:ascii="Calibri" w:hAnsi="Calibri" w:cs="Calibri"/>
          <w:b/>
          <w:bCs/>
          <w:sz w:val="22"/>
          <w:szCs w:val="22"/>
        </w:rPr>
        <w:t>X.</w:t>
      </w:r>
    </w:p>
    <w:p w:rsidR="008F2DE4" w:rsidRDefault="008F2DE4" w:rsidP="008F2DE4">
      <w:pPr>
        <w:jc w:val="center"/>
        <w:rPr>
          <w:rFonts w:ascii="Calibri" w:hAnsi="Calibri" w:cs="Calibri"/>
          <w:b/>
          <w:bCs/>
          <w:sz w:val="22"/>
          <w:szCs w:val="22"/>
        </w:rPr>
      </w:pPr>
      <w:r w:rsidRPr="00C326FF">
        <w:rPr>
          <w:rFonts w:ascii="Calibri" w:hAnsi="Calibri" w:cs="Calibri"/>
          <w:b/>
          <w:bCs/>
          <w:sz w:val="22"/>
          <w:szCs w:val="22"/>
        </w:rPr>
        <w:t>Ostatní ujednání</w:t>
      </w:r>
    </w:p>
    <w:p w:rsidR="008F2DE4" w:rsidRPr="00C326FF" w:rsidRDefault="008F2DE4" w:rsidP="008F2DE4">
      <w:pPr>
        <w:jc w:val="center"/>
        <w:rPr>
          <w:rFonts w:ascii="Calibri" w:hAnsi="Calibri" w:cs="Calibri"/>
          <w:b/>
          <w:bCs/>
          <w:sz w:val="22"/>
          <w:szCs w:val="22"/>
        </w:rPr>
      </w:pPr>
    </w:p>
    <w:p w:rsidR="008F2DE4" w:rsidRPr="0014298D" w:rsidRDefault="008F2DE4" w:rsidP="008F2DE4">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8F2DE4" w:rsidRPr="00C326FF" w:rsidRDefault="008F2DE4" w:rsidP="008F2DE4">
      <w:pPr>
        <w:rPr>
          <w:rFonts w:ascii="Calibri" w:hAnsi="Calibri" w:cs="Calibri"/>
          <w:b/>
          <w:bCs/>
          <w:sz w:val="22"/>
          <w:szCs w:val="22"/>
        </w:rPr>
      </w:pPr>
    </w:p>
    <w:p w:rsidR="008F2DE4" w:rsidRPr="00066059" w:rsidRDefault="0087792B" w:rsidP="008F2DE4">
      <w:pPr>
        <w:jc w:val="both"/>
        <w:rPr>
          <w:rFonts w:ascii="Calibri" w:hAnsi="Calibri" w:cs="Calibri"/>
          <w:bCs/>
          <w:sz w:val="22"/>
          <w:szCs w:val="22"/>
        </w:rPr>
      </w:pPr>
      <w:r>
        <w:rPr>
          <w:rFonts w:ascii="Calibri" w:hAnsi="Calibri" w:cs="Calibri"/>
          <w:bCs/>
          <w:sz w:val="22"/>
          <w:szCs w:val="22"/>
        </w:rPr>
        <w:t>2</w:t>
      </w:r>
      <w:r w:rsidR="008F2DE4"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8F2DE4" w:rsidRPr="00066059" w:rsidRDefault="008F2DE4" w:rsidP="008F2DE4">
      <w:pPr>
        <w:jc w:val="both"/>
        <w:rPr>
          <w:rFonts w:ascii="Calibri" w:hAnsi="Calibri" w:cs="Calibri"/>
          <w:bCs/>
          <w:sz w:val="22"/>
          <w:szCs w:val="22"/>
        </w:rPr>
      </w:pPr>
    </w:p>
    <w:p w:rsidR="008F2DE4" w:rsidRPr="00066059" w:rsidRDefault="0087792B" w:rsidP="008F2DE4">
      <w:pPr>
        <w:jc w:val="both"/>
        <w:rPr>
          <w:rFonts w:ascii="Calibri" w:hAnsi="Calibri" w:cs="Calibri"/>
          <w:bCs/>
          <w:sz w:val="22"/>
          <w:szCs w:val="22"/>
        </w:rPr>
      </w:pPr>
      <w:r>
        <w:rPr>
          <w:rFonts w:ascii="Calibri" w:hAnsi="Calibri" w:cs="Calibri"/>
          <w:bCs/>
          <w:sz w:val="22"/>
          <w:szCs w:val="22"/>
        </w:rPr>
        <w:t>3</w:t>
      </w:r>
      <w:r w:rsidR="008F2DE4"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8F2DE4" w:rsidRPr="00C326FF" w:rsidRDefault="008F2DE4" w:rsidP="008F2DE4">
      <w:pPr>
        <w:rPr>
          <w:rFonts w:ascii="Calibri" w:hAnsi="Calibri" w:cs="Calibri"/>
          <w:b/>
          <w:bCs/>
          <w:sz w:val="22"/>
          <w:szCs w:val="22"/>
        </w:rPr>
      </w:pPr>
    </w:p>
    <w:p w:rsidR="009F5F98" w:rsidRDefault="009F5F98" w:rsidP="009F5F98">
      <w:pPr>
        <w:jc w:val="center"/>
        <w:rPr>
          <w:rFonts w:ascii="Calibri" w:hAnsi="Calibri" w:cs="Calibri"/>
          <w:b/>
          <w:bCs/>
          <w:sz w:val="22"/>
          <w:szCs w:val="22"/>
        </w:rPr>
      </w:pPr>
      <w:r>
        <w:rPr>
          <w:rFonts w:ascii="Calibri" w:hAnsi="Calibri" w:cs="Calibri"/>
          <w:b/>
          <w:bCs/>
          <w:sz w:val="22"/>
          <w:szCs w:val="22"/>
        </w:rPr>
        <w:t>XI.</w:t>
      </w:r>
    </w:p>
    <w:p w:rsidR="009F5F98" w:rsidRDefault="009F5F98" w:rsidP="009F5F98">
      <w:pPr>
        <w:jc w:val="center"/>
        <w:rPr>
          <w:rFonts w:ascii="Calibri" w:hAnsi="Calibri" w:cs="Calibri"/>
          <w:b/>
          <w:bCs/>
          <w:sz w:val="22"/>
          <w:szCs w:val="22"/>
        </w:rPr>
      </w:pPr>
      <w:r>
        <w:rPr>
          <w:rFonts w:ascii="Calibri" w:hAnsi="Calibri" w:cs="Calibri"/>
          <w:b/>
          <w:bCs/>
          <w:sz w:val="22"/>
          <w:szCs w:val="22"/>
        </w:rPr>
        <w:t>Závěrečná ujednání</w:t>
      </w:r>
    </w:p>
    <w:p w:rsidR="009F5F98" w:rsidRDefault="009F5F98" w:rsidP="009F5F98">
      <w:pPr>
        <w:jc w:val="both"/>
        <w:rPr>
          <w:rFonts w:asciiTheme="minorHAnsi" w:hAnsiTheme="minorHAnsi" w:cstheme="minorHAnsi"/>
          <w:bCs/>
          <w:sz w:val="22"/>
          <w:szCs w:val="22"/>
        </w:rPr>
      </w:pPr>
    </w:p>
    <w:p w:rsidR="009F5F98" w:rsidRDefault="009F5F98" w:rsidP="009F5F98">
      <w:pPr>
        <w:jc w:val="both"/>
        <w:rPr>
          <w:rFonts w:asciiTheme="minorHAnsi" w:hAnsiTheme="minorHAnsi" w:cstheme="minorHAnsi"/>
          <w:sz w:val="22"/>
          <w:szCs w:val="22"/>
        </w:rPr>
      </w:pPr>
      <w:r>
        <w:rPr>
          <w:rFonts w:asciiTheme="minorHAnsi" w:hAnsiTheme="minorHAnsi" w:cstheme="minorHAnsi"/>
          <w:sz w:val="22"/>
          <w:szCs w:val="22"/>
        </w:rPr>
        <w:t xml:space="preserve">1. Vztahy, neupravené touto smlouvou se řídí příslušnými ustanoveními obecně závazných platných právních předpisů. </w:t>
      </w:r>
    </w:p>
    <w:p w:rsidR="009F5F98" w:rsidRDefault="009F5F98" w:rsidP="009F5F98">
      <w:pPr>
        <w:jc w:val="both"/>
        <w:rPr>
          <w:rFonts w:asciiTheme="minorHAnsi" w:hAnsiTheme="minorHAnsi" w:cstheme="minorHAnsi"/>
          <w:bCs/>
          <w:sz w:val="22"/>
          <w:szCs w:val="22"/>
        </w:rPr>
      </w:pPr>
    </w:p>
    <w:p w:rsidR="009F5F98" w:rsidRDefault="009F5F98" w:rsidP="009F5F98">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w:t>
      </w:r>
    </w:p>
    <w:p w:rsidR="009F5F98" w:rsidRDefault="009F5F98" w:rsidP="009F5F98">
      <w:pPr>
        <w:jc w:val="both"/>
        <w:rPr>
          <w:rFonts w:asciiTheme="minorHAnsi" w:hAnsiTheme="minorHAnsi" w:cstheme="minorHAnsi"/>
          <w:bCs/>
          <w:sz w:val="22"/>
          <w:szCs w:val="22"/>
        </w:rPr>
      </w:pPr>
    </w:p>
    <w:p w:rsidR="009F5F98" w:rsidRDefault="009F5F98" w:rsidP="009F5F98">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9F5F98" w:rsidRDefault="009F5F98" w:rsidP="009F5F98">
      <w:pPr>
        <w:jc w:val="both"/>
        <w:rPr>
          <w:rFonts w:asciiTheme="minorHAnsi" w:hAnsiTheme="minorHAnsi" w:cstheme="minorHAnsi"/>
          <w:bCs/>
          <w:sz w:val="22"/>
          <w:szCs w:val="22"/>
        </w:rPr>
      </w:pPr>
    </w:p>
    <w:p w:rsidR="009F5F98" w:rsidRDefault="009F5F98" w:rsidP="009F5F98">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Smlouva </w:t>
      </w:r>
      <w:r w:rsidRPr="0087792B">
        <w:rPr>
          <w:rFonts w:asciiTheme="minorHAnsi" w:hAnsiTheme="minorHAnsi" w:cstheme="minorHAnsi"/>
          <w:sz w:val="22"/>
          <w:szCs w:val="22"/>
        </w:rPr>
        <w:t>KT/</w:t>
      </w:r>
      <w:r w:rsidR="00EB53CD" w:rsidRPr="0087792B">
        <w:rPr>
          <w:rFonts w:asciiTheme="minorHAnsi" w:hAnsiTheme="minorHAnsi" w:cstheme="minorHAnsi"/>
          <w:sz w:val="22"/>
          <w:szCs w:val="22"/>
        </w:rPr>
        <w:t>9436/17</w:t>
      </w:r>
      <w:r w:rsidRPr="0087792B">
        <w:rPr>
          <w:rFonts w:asciiTheme="minorHAnsi" w:hAnsiTheme="minorHAnsi" w:cstheme="minorHAnsi"/>
          <w:sz w:val="22"/>
          <w:szCs w:val="22"/>
        </w:rPr>
        <w:t xml:space="preserve"> byla</w:t>
      </w:r>
      <w:r>
        <w:rPr>
          <w:rFonts w:asciiTheme="minorHAnsi" w:hAnsiTheme="minorHAnsi" w:cstheme="minorHAnsi"/>
          <w:sz w:val="22"/>
          <w:szCs w:val="22"/>
        </w:rPr>
        <w:t xml:space="preserve">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9F5F98" w:rsidRDefault="009F5F98" w:rsidP="009F5F98">
      <w:pPr>
        <w:jc w:val="both"/>
        <w:rPr>
          <w:rFonts w:asciiTheme="minorHAnsi" w:hAnsiTheme="minorHAnsi" w:cstheme="minorHAnsi"/>
          <w:sz w:val="22"/>
          <w:szCs w:val="22"/>
        </w:rPr>
      </w:pPr>
    </w:p>
    <w:p w:rsidR="009F5F98" w:rsidRDefault="009F5F98" w:rsidP="009F5F98">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9F5F98" w:rsidRDefault="009F5F98" w:rsidP="009F5F98">
      <w:pPr>
        <w:jc w:val="both"/>
        <w:rPr>
          <w:rFonts w:asciiTheme="minorHAnsi" w:hAnsiTheme="minorHAnsi" w:cstheme="minorHAnsi"/>
          <w:sz w:val="22"/>
          <w:szCs w:val="22"/>
        </w:rPr>
      </w:pPr>
    </w:p>
    <w:p w:rsidR="009F5F98" w:rsidRDefault="009F5F98" w:rsidP="009F5F98">
      <w:pPr>
        <w:jc w:val="both"/>
        <w:rPr>
          <w:rFonts w:asciiTheme="minorHAnsi" w:hAnsiTheme="minorHAnsi" w:cstheme="minorHAnsi"/>
          <w:sz w:val="22"/>
          <w:szCs w:val="22"/>
        </w:rPr>
      </w:pPr>
      <w:r>
        <w:rPr>
          <w:rFonts w:asciiTheme="minorHAnsi" w:hAnsiTheme="minorHAnsi" w:cstheme="minorHAnsi"/>
          <w:sz w:val="22"/>
          <w:szCs w:val="22"/>
        </w:rPr>
        <w:t>6. Tato Smlouva nabývá účinnosti dnem, kdy město Litvínov uveřejní Smlouvu v informačním systému registru smluv dle zákona č. 340/2015 Sb. o registru smluv.</w:t>
      </w:r>
    </w:p>
    <w:p w:rsidR="009F5F98" w:rsidRDefault="009F5F98" w:rsidP="009F5F98">
      <w:pPr>
        <w:jc w:val="both"/>
        <w:rPr>
          <w:rFonts w:asciiTheme="minorHAnsi" w:hAnsiTheme="minorHAnsi" w:cstheme="minorHAnsi"/>
          <w:sz w:val="22"/>
          <w:szCs w:val="22"/>
        </w:rPr>
      </w:pPr>
    </w:p>
    <w:p w:rsidR="009F5F98" w:rsidRDefault="009F5F98" w:rsidP="009F5F98">
      <w:pPr>
        <w:jc w:val="both"/>
        <w:rPr>
          <w:rFonts w:asciiTheme="minorHAnsi" w:hAnsiTheme="minorHAnsi" w:cstheme="minorHAnsi"/>
          <w:sz w:val="22"/>
          <w:szCs w:val="22"/>
        </w:rPr>
      </w:pPr>
      <w:r>
        <w:rPr>
          <w:rFonts w:asciiTheme="minorHAnsi" w:hAnsiTheme="minorHAnsi" w:cstheme="minorHAnsi"/>
          <w:sz w:val="22"/>
          <w:szCs w:val="22"/>
        </w:rPr>
        <w:lastRenderedPageBreak/>
        <w:t xml:space="preserve">7. Tato Smlouva nabývá platnosti dnem podpisu smluvních stran a zahájením poskytování dotace dle splátkového kalendáře, uvedeného v článku IV. smlouvy. </w:t>
      </w:r>
    </w:p>
    <w:p w:rsidR="009F5F98" w:rsidRDefault="009F5F98" w:rsidP="009F5F98">
      <w:pPr>
        <w:jc w:val="both"/>
        <w:rPr>
          <w:rFonts w:asciiTheme="minorHAnsi" w:hAnsiTheme="minorHAnsi" w:cstheme="minorHAnsi"/>
          <w:sz w:val="22"/>
          <w:szCs w:val="22"/>
        </w:rPr>
      </w:pPr>
    </w:p>
    <w:p w:rsidR="009F5F98" w:rsidRDefault="009F5F98" w:rsidP="009F5F98">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rsidR="009F5F98" w:rsidRDefault="009F5F98" w:rsidP="009F5F98">
      <w:pPr>
        <w:jc w:val="both"/>
        <w:rPr>
          <w:rFonts w:asciiTheme="minorHAnsi" w:hAnsiTheme="minorHAnsi" w:cstheme="minorHAnsi"/>
          <w:bCs/>
          <w:sz w:val="22"/>
          <w:szCs w:val="22"/>
        </w:rPr>
      </w:pPr>
    </w:p>
    <w:p w:rsidR="009F5F98" w:rsidRDefault="009F5F98" w:rsidP="009F5F98">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8F2DE4" w:rsidRPr="00C326FF" w:rsidRDefault="008F2DE4" w:rsidP="008F2DE4">
      <w:pPr>
        <w:rPr>
          <w:rFonts w:ascii="Calibri" w:hAnsi="Calibri" w:cs="Calibri"/>
          <w:b/>
          <w:bCs/>
          <w:sz w:val="22"/>
          <w:szCs w:val="22"/>
        </w:rPr>
      </w:pPr>
    </w:p>
    <w:p w:rsidR="008F2DE4" w:rsidRPr="009679B4" w:rsidRDefault="008F2DE4" w:rsidP="008F2DE4">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8F2DE4" w:rsidRPr="009679B4" w:rsidRDefault="008F2DE4" w:rsidP="008F2DE4">
      <w:pPr>
        <w:rPr>
          <w:rFonts w:ascii="Calibri" w:hAnsi="Calibri" w:cs="Calibri"/>
          <w:sz w:val="22"/>
          <w:szCs w:val="22"/>
        </w:rPr>
      </w:pPr>
    </w:p>
    <w:p w:rsidR="008F2DE4" w:rsidRDefault="008F2DE4" w:rsidP="008F2DE4">
      <w:pPr>
        <w:jc w:val="both"/>
        <w:rPr>
          <w:rFonts w:ascii="Calibri" w:hAnsi="Calibri" w:cs="Calibri"/>
          <w:sz w:val="22"/>
          <w:szCs w:val="22"/>
        </w:rPr>
      </w:pPr>
    </w:p>
    <w:p w:rsidR="008F2DE4" w:rsidRDefault="008F2DE4" w:rsidP="008F2DE4">
      <w:pPr>
        <w:jc w:val="both"/>
        <w:rPr>
          <w:rFonts w:ascii="Calibri" w:hAnsi="Calibri" w:cs="Calibri"/>
          <w:sz w:val="22"/>
          <w:szCs w:val="22"/>
        </w:rPr>
      </w:pPr>
    </w:p>
    <w:p w:rsidR="008F2DE4" w:rsidRPr="009679B4" w:rsidRDefault="008F2DE4" w:rsidP="008F2DE4">
      <w:pPr>
        <w:jc w:val="both"/>
        <w:rPr>
          <w:rFonts w:ascii="Calibri" w:hAnsi="Calibri" w:cs="Calibri"/>
          <w:sz w:val="22"/>
          <w:szCs w:val="22"/>
        </w:rPr>
      </w:pPr>
    </w:p>
    <w:p w:rsidR="008F2DE4" w:rsidRPr="009679B4" w:rsidRDefault="008F2DE4" w:rsidP="008F2DE4">
      <w:pPr>
        <w:jc w:val="both"/>
        <w:rPr>
          <w:rFonts w:ascii="Calibri" w:hAnsi="Calibri" w:cs="Calibri"/>
          <w:sz w:val="22"/>
          <w:szCs w:val="22"/>
        </w:rPr>
      </w:pPr>
    </w:p>
    <w:p w:rsidR="008F2DE4" w:rsidRPr="009679B4" w:rsidRDefault="008F2DE4" w:rsidP="008F2DE4">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8F2DE4" w:rsidRPr="009679B4" w:rsidRDefault="008F2DE4" w:rsidP="008F2DE4">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8F2DE4" w:rsidRPr="009679B4" w:rsidRDefault="00B1775E" w:rsidP="008F2DE4">
      <w:pPr>
        <w:jc w:val="both"/>
        <w:rPr>
          <w:rFonts w:ascii="Calibri" w:hAnsi="Calibri" w:cs="Calibri"/>
          <w:sz w:val="22"/>
          <w:szCs w:val="22"/>
        </w:rPr>
      </w:pPr>
      <w:r>
        <w:rPr>
          <w:rFonts w:ascii="Calibri" w:hAnsi="Calibri" w:cs="Calibri"/>
          <w:sz w:val="22"/>
          <w:szCs w:val="22"/>
        </w:rPr>
        <w:t>Ing. Marek Tomčík</w:t>
      </w:r>
      <w:r w:rsidR="008F2DE4" w:rsidRPr="009679B4">
        <w:rPr>
          <w:rFonts w:ascii="Calibri" w:hAnsi="Calibri" w:cs="Calibri"/>
          <w:sz w:val="22"/>
          <w:szCs w:val="22"/>
        </w:rPr>
        <w:t xml:space="preserve"> </w:t>
      </w:r>
      <w:r w:rsidR="008F2DE4" w:rsidRPr="009679B4">
        <w:rPr>
          <w:rFonts w:ascii="Calibri" w:hAnsi="Calibri" w:cs="Calibri"/>
          <w:sz w:val="22"/>
          <w:szCs w:val="22"/>
        </w:rPr>
        <w:tab/>
      </w:r>
      <w:r w:rsidR="008F2DE4" w:rsidRPr="009679B4">
        <w:rPr>
          <w:rFonts w:ascii="Calibri" w:hAnsi="Calibri" w:cs="Calibri"/>
          <w:sz w:val="22"/>
          <w:szCs w:val="22"/>
        </w:rPr>
        <w:tab/>
      </w:r>
      <w:r w:rsidR="008F2DE4" w:rsidRPr="009679B4">
        <w:rPr>
          <w:rFonts w:ascii="Calibri" w:hAnsi="Calibri" w:cs="Calibri"/>
          <w:sz w:val="22"/>
          <w:szCs w:val="22"/>
        </w:rPr>
        <w:tab/>
      </w:r>
      <w:r w:rsidR="008F2DE4" w:rsidRPr="009679B4">
        <w:rPr>
          <w:rFonts w:ascii="Calibri" w:hAnsi="Calibri" w:cs="Calibri"/>
          <w:sz w:val="22"/>
          <w:szCs w:val="22"/>
        </w:rPr>
        <w:tab/>
        <w:t xml:space="preserve">         Mgr. Kamila Bláhová</w:t>
      </w:r>
    </w:p>
    <w:p w:rsidR="008F2DE4" w:rsidRDefault="008F2DE4" w:rsidP="008F2DE4">
      <w:pPr>
        <w:jc w:val="both"/>
        <w:rPr>
          <w:rFonts w:ascii="Calibri" w:hAnsi="Calibri" w:cs="Calibri"/>
          <w:sz w:val="22"/>
          <w:szCs w:val="22"/>
        </w:rPr>
      </w:pPr>
      <w:r>
        <w:rPr>
          <w:rFonts w:ascii="Calibri" w:hAnsi="Calibri" w:cs="Calibri"/>
          <w:sz w:val="22"/>
          <w:szCs w:val="22"/>
        </w:rPr>
        <w:t>předseda spolku</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starostka města                 </w:t>
      </w:r>
    </w:p>
    <w:p w:rsidR="008F2DE4" w:rsidRDefault="008F2DE4" w:rsidP="008F2DE4">
      <w:pPr>
        <w:jc w:val="both"/>
        <w:rPr>
          <w:rFonts w:ascii="Calibri" w:hAnsi="Calibri" w:cs="Calibri"/>
          <w:sz w:val="22"/>
          <w:szCs w:val="22"/>
        </w:rPr>
      </w:pPr>
    </w:p>
    <w:p w:rsidR="008F2DE4" w:rsidRDefault="008F2DE4" w:rsidP="008F2DE4">
      <w:pPr>
        <w:jc w:val="both"/>
        <w:rPr>
          <w:rFonts w:ascii="Calibri" w:hAnsi="Calibri" w:cs="Calibri"/>
          <w:sz w:val="22"/>
          <w:szCs w:val="22"/>
        </w:rPr>
      </w:pPr>
    </w:p>
    <w:p w:rsidR="00B1775E" w:rsidRDefault="00B1775E" w:rsidP="008F2DE4">
      <w:pPr>
        <w:jc w:val="both"/>
        <w:rPr>
          <w:rFonts w:ascii="Calibri" w:hAnsi="Calibri" w:cs="Calibri"/>
          <w:sz w:val="22"/>
          <w:szCs w:val="22"/>
        </w:rPr>
      </w:pPr>
    </w:p>
    <w:p w:rsidR="00B1775E" w:rsidRDefault="00B1775E" w:rsidP="008F2DE4">
      <w:pPr>
        <w:jc w:val="both"/>
        <w:rPr>
          <w:rFonts w:ascii="Calibri" w:hAnsi="Calibri" w:cs="Calibri"/>
          <w:sz w:val="22"/>
          <w:szCs w:val="22"/>
        </w:rPr>
      </w:pPr>
    </w:p>
    <w:p w:rsidR="00B1775E" w:rsidRDefault="00B1775E" w:rsidP="008F2DE4">
      <w:pPr>
        <w:jc w:val="both"/>
        <w:rPr>
          <w:rFonts w:ascii="Calibri" w:hAnsi="Calibri" w:cs="Calibri"/>
          <w:sz w:val="22"/>
          <w:szCs w:val="22"/>
        </w:rPr>
      </w:pPr>
    </w:p>
    <w:p w:rsidR="00B1775E" w:rsidRPr="009679B4" w:rsidRDefault="00B1775E" w:rsidP="008F2DE4">
      <w:pPr>
        <w:jc w:val="both"/>
        <w:rPr>
          <w:rFonts w:ascii="Calibri" w:hAnsi="Calibri" w:cs="Calibri"/>
          <w:sz w:val="22"/>
          <w:szCs w:val="22"/>
        </w:rPr>
      </w:pPr>
    </w:p>
    <w:p w:rsidR="008F2DE4" w:rsidRDefault="008F2DE4" w:rsidP="008F2DE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w:t>
      </w:r>
      <w:r w:rsidRPr="0087792B">
        <w:rPr>
          <w:rFonts w:ascii="Arial" w:hAnsi="Arial" w:cs="Arial"/>
        </w:rPr>
        <w:t>KT/</w:t>
      </w:r>
      <w:r w:rsidR="00EB53CD" w:rsidRPr="0087792B">
        <w:rPr>
          <w:rFonts w:ascii="Arial" w:hAnsi="Arial" w:cs="Arial"/>
        </w:rPr>
        <w:t>9436/17</w:t>
      </w:r>
    </w:p>
    <w:p w:rsidR="008F2DE4" w:rsidRDefault="008F2DE4" w:rsidP="008F2DE4">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jc w:val="center"/>
              <w:rPr>
                <w:rFonts w:ascii="Arial" w:hAnsi="Arial" w:cs="Arial"/>
                <w:b/>
              </w:rPr>
            </w:pPr>
            <w:r>
              <w:rPr>
                <w:rFonts w:ascii="Arial" w:hAnsi="Arial" w:cs="Arial"/>
                <w:b/>
              </w:rPr>
              <w:t>Podpis</w:t>
            </w: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EB53CD" w:rsidP="00B1720A">
            <w:pPr>
              <w:rPr>
                <w:rFonts w:ascii="Arial" w:hAnsi="Arial" w:cs="Arial"/>
              </w:rPr>
            </w:pPr>
            <w:r>
              <w:rPr>
                <w:rFonts w:ascii="Arial" w:hAnsi="Arial" w:cs="Arial"/>
              </w:rPr>
              <w:t>0</w:t>
            </w:r>
            <w:r w:rsidR="008F2DE4">
              <w:rPr>
                <w:rFonts w:ascii="Arial" w:hAnsi="Arial" w:cs="Arial"/>
              </w:rPr>
              <w:t>4.10.2017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2F5EB9" w:rsidP="00B1720A">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F2DE4" w:rsidRDefault="00904D79" w:rsidP="00B1720A">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8F2DE4" w:rsidRDefault="008F2DE4" w:rsidP="00B1720A">
            <w:pPr>
              <w:rPr>
                <w:rFonts w:ascii="Arial" w:hAnsi="Arial" w:cs="Arial"/>
                <w:b/>
                <w:sz w:val="18"/>
                <w:szCs w:val="18"/>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2F5EB9" w:rsidP="00B1720A">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sz w:val="18"/>
                <w:szCs w:val="18"/>
              </w:rPr>
            </w:pPr>
            <w:r>
              <w:rPr>
                <w:rFonts w:ascii="Arial" w:hAnsi="Arial" w:cs="Arial"/>
                <w:b/>
                <w:sz w:val="18"/>
                <w:szCs w:val="18"/>
              </w:rPr>
              <w:t>Z/</w:t>
            </w:r>
            <w:r w:rsidR="00C6030E">
              <w:rPr>
                <w:rFonts w:ascii="Arial" w:hAnsi="Arial" w:cs="Arial"/>
                <w:b/>
                <w:sz w:val="18"/>
                <w:szCs w:val="18"/>
              </w:rPr>
              <w:t>842/31</w:t>
            </w:r>
          </w:p>
        </w:tc>
        <w:tc>
          <w:tcPr>
            <w:tcW w:w="2272" w:type="dxa"/>
            <w:shd w:val="clear" w:color="auto" w:fill="auto"/>
            <w:tcMar>
              <w:top w:w="0" w:type="dxa"/>
              <w:left w:w="10" w:type="dxa"/>
              <w:bottom w:w="0" w:type="dxa"/>
              <w:right w:w="10" w:type="dxa"/>
            </w:tcMar>
          </w:tcPr>
          <w:p w:rsidR="008F2DE4" w:rsidRDefault="008F2DE4" w:rsidP="00B1720A">
            <w:pPr>
              <w:rPr>
                <w:rFonts w:ascii="Arial" w:hAnsi="Arial" w:cs="Arial"/>
                <w:b/>
                <w:sz w:val="18"/>
                <w:szCs w:val="18"/>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8F2DE4" w:rsidRDefault="008F2DE4" w:rsidP="00B1720A">
            <w:pPr>
              <w:rPr>
                <w:rFonts w:ascii="Arial" w:hAnsi="Arial" w:cs="Arial"/>
                <w:b/>
                <w:sz w:val="18"/>
                <w:szCs w:val="18"/>
              </w:rPr>
            </w:pPr>
          </w:p>
        </w:tc>
        <w:tc>
          <w:tcPr>
            <w:tcW w:w="2272" w:type="dxa"/>
            <w:shd w:val="clear" w:color="auto" w:fill="auto"/>
            <w:tcMar>
              <w:top w:w="0" w:type="dxa"/>
              <w:left w:w="10" w:type="dxa"/>
              <w:bottom w:w="0" w:type="dxa"/>
              <w:right w:w="10" w:type="dxa"/>
            </w:tcMar>
          </w:tcPr>
          <w:p w:rsidR="008F2DE4" w:rsidRDefault="008F2DE4" w:rsidP="00B1720A">
            <w:pPr>
              <w:rPr>
                <w:rFonts w:ascii="Arial" w:hAnsi="Arial" w:cs="Arial"/>
                <w:b/>
                <w:sz w:val="18"/>
                <w:szCs w:val="18"/>
              </w:rPr>
            </w:pPr>
          </w:p>
        </w:tc>
      </w:tr>
      <w:tr w:rsidR="008F2DE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2DE4" w:rsidRDefault="008F2DE4" w:rsidP="00B1720A">
            <w:pPr>
              <w:rPr>
                <w:rFonts w:ascii="Arial" w:hAnsi="Arial" w:cs="Arial"/>
              </w:rPr>
            </w:pPr>
          </w:p>
        </w:tc>
      </w:tr>
    </w:tbl>
    <w:p w:rsidR="008F2DE4" w:rsidRDefault="008F2DE4" w:rsidP="008F2DE4"/>
    <w:p w:rsidR="008F2DE4" w:rsidRDefault="008F2DE4" w:rsidP="008F2DE4"/>
    <w:p w:rsidR="00BD4490" w:rsidRDefault="00BD4490"/>
    <w:sectPr w:rsidR="00BD4490" w:rsidSect="005826A7">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ED" w:rsidRDefault="00CF47ED" w:rsidP="008F2DE4">
      <w:r>
        <w:separator/>
      </w:r>
    </w:p>
  </w:endnote>
  <w:endnote w:type="continuationSeparator" w:id="0">
    <w:p w:rsidR="00CF47ED" w:rsidRDefault="00CF47ED" w:rsidP="008F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8F2DE4">
    <w:pPr>
      <w:pStyle w:val="Zpat"/>
      <w:jc w:val="right"/>
    </w:pPr>
    <w:r>
      <w:t>SSK</w:t>
    </w:r>
    <w:r w:rsidR="00612D5E">
      <w:t xml:space="preserve"> - poskytnutí neinvestiční dotace  na rok 2018</w:t>
    </w:r>
  </w:p>
  <w:p w:rsidR="00936E05" w:rsidRDefault="005826A7">
    <w:pPr>
      <w:pStyle w:val="Zpat"/>
      <w:jc w:val="right"/>
    </w:pPr>
    <w:r>
      <w:fldChar w:fldCharType="begin"/>
    </w:r>
    <w:r w:rsidR="00612D5E">
      <w:instrText xml:space="preserve"> PAGE </w:instrText>
    </w:r>
    <w:r>
      <w:fldChar w:fldCharType="separate"/>
    </w:r>
    <w:r w:rsidR="00272E9D">
      <w:rPr>
        <w:noProof/>
      </w:rPr>
      <w:t>1</w:t>
    </w:r>
    <w:r>
      <w:fldChar w:fldCharType="end"/>
    </w:r>
  </w:p>
  <w:p w:rsidR="00936E05" w:rsidRDefault="00CF47ED">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ED" w:rsidRDefault="00CF47ED" w:rsidP="008F2DE4">
      <w:r>
        <w:separator/>
      </w:r>
    </w:p>
  </w:footnote>
  <w:footnote w:type="continuationSeparator" w:id="0">
    <w:p w:rsidR="00CF47ED" w:rsidRDefault="00CF47ED" w:rsidP="008F2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612D5E">
    <w:pPr>
      <w:pStyle w:val="Zhlav"/>
    </w:pPr>
    <w:r>
      <w:tab/>
    </w:r>
    <w:r>
      <w:tab/>
      <w:t>KT/</w:t>
    </w:r>
    <w:r w:rsidR="00A50D91">
      <w:t>9436/17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901FC8"/>
    <w:multiLevelType w:val="hybridMultilevel"/>
    <w:tmpl w:val="BFF6D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E7F083A"/>
    <w:multiLevelType w:val="hybridMultilevel"/>
    <w:tmpl w:val="F13AC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BD160C6"/>
    <w:multiLevelType w:val="hybridMultilevel"/>
    <w:tmpl w:val="FEAE1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2DE618F"/>
    <w:multiLevelType w:val="hybridMultilevel"/>
    <w:tmpl w:val="07D247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E4"/>
    <w:rsid w:val="00033CA9"/>
    <w:rsid w:val="00272E9D"/>
    <w:rsid w:val="002F5EB9"/>
    <w:rsid w:val="00376B94"/>
    <w:rsid w:val="003F28A9"/>
    <w:rsid w:val="004F3D28"/>
    <w:rsid w:val="005826A7"/>
    <w:rsid w:val="00612D5E"/>
    <w:rsid w:val="00613343"/>
    <w:rsid w:val="008342C8"/>
    <w:rsid w:val="008709D0"/>
    <w:rsid w:val="0087792B"/>
    <w:rsid w:val="008B7C94"/>
    <w:rsid w:val="008F2DE4"/>
    <w:rsid w:val="00904D79"/>
    <w:rsid w:val="009F5F98"/>
    <w:rsid w:val="00A04559"/>
    <w:rsid w:val="00A50D91"/>
    <w:rsid w:val="00A560CE"/>
    <w:rsid w:val="00B1464C"/>
    <w:rsid w:val="00B1775E"/>
    <w:rsid w:val="00B5245B"/>
    <w:rsid w:val="00BB3D5C"/>
    <w:rsid w:val="00BD4490"/>
    <w:rsid w:val="00C06EB4"/>
    <w:rsid w:val="00C6030E"/>
    <w:rsid w:val="00CF47ED"/>
    <w:rsid w:val="00EB53CD"/>
    <w:rsid w:val="00F92E39"/>
    <w:rsid w:val="00F9371C"/>
    <w:rsid w:val="00FB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F2DE4"/>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8F2DE4"/>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8F2DE4"/>
    <w:rPr>
      <w:rFonts w:ascii="Times New Roman" w:eastAsia="Times New Roman" w:hAnsi="Times New Roman" w:cs="Times New Roman"/>
      <w:szCs w:val="24"/>
      <w:lang w:eastAsia="cs-CZ"/>
    </w:rPr>
  </w:style>
  <w:style w:type="paragraph" w:styleId="Zpat">
    <w:name w:val="footer"/>
    <w:basedOn w:val="Normln"/>
    <w:link w:val="ZpatChar"/>
    <w:rsid w:val="008F2DE4"/>
    <w:pPr>
      <w:tabs>
        <w:tab w:val="center" w:pos="4536"/>
        <w:tab w:val="right" w:pos="9072"/>
      </w:tabs>
    </w:pPr>
  </w:style>
  <w:style w:type="character" w:customStyle="1" w:styleId="ZpatChar">
    <w:name w:val="Zápatí Char"/>
    <w:basedOn w:val="Standardnpsmoodstavce"/>
    <w:link w:val="Zpat"/>
    <w:rsid w:val="008F2DE4"/>
    <w:rPr>
      <w:rFonts w:ascii="Times New Roman" w:eastAsia="Times New Roman" w:hAnsi="Times New Roman" w:cs="Times New Roman"/>
      <w:sz w:val="20"/>
      <w:szCs w:val="20"/>
      <w:lang w:eastAsia="cs-CZ"/>
    </w:rPr>
  </w:style>
  <w:style w:type="paragraph" w:styleId="Zhlav">
    <w:name w:val="header"/>
    <w:basedOn w:val="Normln"/>
    <w:link w:val="ZhlavChar"/>
    <w:rsid w:val="008F2DE4"/>
    <w:pPr>
      <w:tabs>
        <w:tab w:val="center" w:pos="4536"/>
        <w:tab w:val="right" w:pos="9072"/>
      </w:tabs>
    </w:pPr>
  </w:style>
  <w:style w:type="character" w:customStyle="1" w:styleId="ZhlavChar">
    <w:name w:val="Záhlaví Char"/>
    <w:basedOn w:val="Standardnpsmoodstavce"/>
    <w:link w:val="Zhlav"/>
    <w:rsid w:val="008F2DE4"/>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8F2DE4"/>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8F2DE4"/>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8F2DE4"/>
    <w:pPr>
      <w:spacing w:after="120"/>
    </w:pPr>
    <w:rPr>
      <w:sz w:val="16"/>
      <w:szCs w:val="16"/>
    </w:rPr>
  </w:style>
  <w:style w:type="character" w:customStyle="1" w:styleId="Zkladntext3Char">
    <w:name w:val="Základní text 3 Char"/>
    <w:basedOn w:val="Standardnpsmoodstavce"/>
    <w:link w:val="Zkladntext3"/>
    <w:uiPriority w:val="99"/>
    <w:semiHidden/>
    <w:rsid w:val="008F2DE4"/>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F2DE4"/>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8F2DE4"/>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8F2DE4"/>
    <w:rPr>
      <w:rFonts w:ascii="Times New Roman" w:eastAsia="Times New Roman" w:hAnsi="Times New Roman" w:cs="Times New Roman"/>
      <w:szCs w:val="24"/>
      <w:lang w:eastAsia="cs-CZ"/>
    </w:rPr>
  </w:style>
  <w:style w:type="paragraph" w:styleId="Zpat">
    <w:name w:val="footer"/>
    <w:basedOn w:val="Normln"/>
    <w:link w:val="ZpatChar"/>
    <w:rsid w:val="008F2DE4"/>
    <w:pPr>
      <w:tabs>
        <w:tab w:val="center" w:pos="4536"/>
        <w:tab w:val="right" w:pos="9072"/>
      </w:tabs>
    </w:pPr>
  </w:style>
  <w:style w:type="character" w:customStyle="1" w:styleId="ZpatChar">
    <w:name w:val="Zápatí Char"/>
    <w:basedOn w:val="Standardnpsmoodstavce"/>
    <w:link w:val="Zpat"/>
    <w:rsid w:val="008F2DE4"/>
    <w:rPr>
      <w:rFonts w:ascii="Times New Roman" w:eastAsia="Times New Roman" w:hAnsi="Times New Roman" w:cs="Times New Roman"/>
      <w:sz w:val="20"/>
      <w:szCs w:val="20"/>
      <w:lang w:eastAsia="cs-CZ"/>
    </w:rPr>
  </w:style>
  <w:style w:type="paragraph" w:styleId="Zhlav">
    <w:name w:val="header"/>
    <w:basedOn w:val="Normln"/>
    <w:link w:val="ZhlavChar"/>
    <w:rsid w:val="008F2DE4"/>
    <w:pPr>
      <w:tabs>
        <w:tab w:val="center" w:pos="4536"/>
        <w:tab w:val="right" w:pos="9072"/>
      </w:tabs>
    </w:pPr>
  </w:style>
  <w:style w:type="character" w:customStyle="1" w:styleId="ZhlavChar">
    <w:name w:val="Záhlaví Char"/>
    <w:basedOn w:val="Standardnpsmoodstavce"/>
    <w:link w:val="Zhlav"/>
    <w:rsid w:val="008F2DE4"/>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8F2DE4"/>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8F2DE4"/>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8F2DE4"/>
    <w:pPr>
      <w:spacing w:after="120"/>
    </w:pPr>
    <w:rPr>
      <w:sz w:val="16"/>
      <w:szCs w:val="16"/>
    </w:rPr>
  </w:style>
  <w:style w:type="character" w:customStyle="1" w:styleId="Zkladntext3Char">
    <w:name w:val="Základní text 3 Char"/>
    <w:basedOn w:val="Standardnpsmoodstavce"/>
    <w:link w:val="Zkladntext3"/>
    <w:uiPriority w:val="99"/>
    <w:semiHidden/>
    <w:rsid w:val="008F2DE4"/>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7110">
      <w:bodyDiv w:val="1"/>
      <w:marLeft w:val="0"/>
      <w:marRight w:val="0"/>
      <w:marTop w:val="0"/>
      <w:marBottom w:val="0"/>
      <w:divBdr>
        <w:top w:val="none" w:sz="0" w:space="0" w:color="auto"/>
        <w:left w:val="none" w:sz="0" w:space="0" w:color="auto"/>
        <w:bottom w:val="none" w:sz="0" w:space="0" w:color="auto"/>
        <w:right w:val="none" w:sz="0" w:space="0" w:color="auto"/>
      </w:divBdr>
    </w:div>
    <w:div w:id="139465582">
      <w:bodyDiv w:val="1"/>
      <w:marLeft w:val="0"/>
      <w:marRight w:val="0"/>
      <w:marTop w:val="0"/>
      <w:marBottom w:val="0"/>
      <w:divBdr>
        <w:top w:val="none" w:sz="0" w:space="0" w:color="auto"/>
        <w:left w:val="none" w:sz="0" w:space="0" w:color="auto"/>
        <w:bottom w:val="none" w:sz="0" w:space="0" w:color="auto"/>
        <w:right w:val="none" w:sz="0" w:space="0" w:color="auto"/>
      </w:divBdr>
    </w:div>
    <w:div w:id="191347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635D-54D6-4319-8567-6D2F7430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3051</Words>
  <Characters>18001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2018-01-12T11:13:00Z</dcterms:created>
  <dcterms:modified xsi:type="dcterms:W3CDTF">2018-01-12T11:13:00Z</dcterms:modified>
</cp:coreProperties>
</file>