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Default="005A42AE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Sintaka</w:t>
            </w:r>
            <w:proofErr w:type="spellEnd"/>
            <w:r>
              <w:rPr>
                <w:rFonts w:ascii="Calibri" w:hAnsi="Calibri" w:cs="Calibri"/>
              </w:rPr>
              <w:t xml:space="preserve"> Direct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C72AB2" w:rsidRDefault="00771E70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Poděbradova 99</w:t>
            </w:r>
            <w:r w:rsidR="005A42AE">
              <w:rPr>
                <w:rFonts w:ascii="Calibri" w:hAnsi="Calibri" w:cs="Calibri"/>
              </w:rPr>
              <w:t>, 702 00  Ostrava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441A7" w:rsidRDefault="005A42AE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01702327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441A7" w:rsidRDefault="001B2EC8" w:rsidP="005A42AE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CZ</w:t>
            </w:r>
            <w:r w:rsidR="005A42AE">
              <w:rPr>
                <w:rFonts w:ascii="Calibri" w:hAnsi="Calibri" w:cs="Calibri"/>
              </w:rPr>
              <w:t>01702327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1B2EC8" w:rsidRPr="00003D5B" w:rsidRDefault="001B2EC8" w:rsidP="001A6679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Zapsaná v obchodním rejstříku vedeném u </w:t>
            </w:r>
            <w:r w:rsidR="001A6679">
              <w:rPr>
                <w:rFonts w:ascii="Calibri" w:hAnsi="Calibri" w:cs="Calibri"/>
              </w:rPr>
              <w:t>Krajského</w:t>
            </w:r>
            <w:r>
              <w:rPr>
                <w:rFonts w:ascii="Calibri" w:hAnsi="Calibri" w:cs="Calibri"/>
              </w:rPr>
              <w:t xml:space="preserve"> soudu v </w:t>
            </w:r>
            <w:r w:rsidR="001A6679">
              <w:rPr>
                <w:rFonts w:ascii="Calibri" w:hAnsi="Calibri" w:cs="Calibri"/>
              </w:rPr>
              <w:t>Ostravě v oddílu C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Default="001A6679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Kateřinou Švancarovou, jednatelkou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441A7" w:rsidRDefault="001B2EC8" w:rsidP="001A6679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 w:rsidRPr="008A3A18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8A3A18">
              <w:rPr>
                <w:rFonts w:asciiTheme="minorHAnsi" w:hAnsiTheme="minorHAnsi" w:cs="Calibri"/>
              </w:rPr>
              <w:t>ú.</w:t>
            </w:r>
            <w:proofErr w:type="spellEnd"/>
            <w:r w:rsidRPr="008A3A18">
              <w:rPr>
                <w:rFonts w:asciiTheme="minorHAnsi" w:hAnsiTheme="minorHAnsi" w:cs="Calibri"/>
              </w:rPr>
              <w:t xml:space="preserve"> </w:t>
            </w:r>
            <w:r w:rsidR="001A6679">
              <w:rPr>
                <w:rFonts w:asciiTheme="minorHAnsi" w:hAnsiTheme="minorHAnsi" w:cs="Calibri"/>
              </w:rPr>
              <w:t>2600423647/2010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62208E" w:rsidRDefault="00261DFB" w:rsidP="0062208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- </w:t>
      </w:r>
      <w:r w:rsidR="00127C96">
        <w:rPr>
          <w:rFonts w:asciiTheme="minorHAnsi" w:hAnsiTheme="minorHAnsi" w:cs="Calibri"/>
        </w:rPr>
        <w:t xml:space="preserve">kancelářský nábytek </w:t>
      </w:r>
      <w:r w:rsidR="001148DF">
        <w:rPr>
          <w:rFonts w:asciiTheme="minorHAnsi" w:hAnsiTheme="minorHAnsi" w:cs="Calibri"/>
        </w:rPr>
        <w:t xml:space="preserve">do </w:t>
      </w:r>
      <w:r w:rsidR="001A6679">
        <w:rPr>
          <w:rFonts w:asciiTheme="minorHAnsi" w:hAnsiTheme="minorHAnsi" w:cs="Calibri"/>
        </w:rPr>
        <w:t>místnosti sekretariátu</w:t>
      </w:r>
      <w:r w:rsidR="0062208E">
        <w:rPr>
          <w:rFonts w:asciiTheme="minorHAnsi" w:hAnsiTheme="minorHAnsi" w:cs="Calibri"/>
        </w:rPr>
        <w:t xml:space="preserve"> z nábytkové řady Proxy, v barvě akát/akát, podnože/RK nohy akát/šedý kov, skříně řady STRONG, úchytky USN. Podrobná specifikace nábytku je uvedena</w:t>
      </w:r>
      <w:r w:rsidR="00127C96">
        <w:rPr>
          <w:rFonts w:asciiTheme="minorHAnsi" w:hAnsiTheme="minorHAnsi" w:cs="Calibri"/>
        </w:rPr>
        <w:t xml:space="preserve"> v příloze č. 1 této smlouvy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1148DF">
        <w:rPr>
          <w:rFonts w:asciiTheme="minorHAnsi" w:hAnsiTheme="minorHAnsi" w:cs="Calibri"/>
        </w:rPr>
        <w:t>31. 1</w:t>
      </w:r>
      <w:r w:rsidR="001A6679">
        <w:rPr>
          <w:rFonts w:asciiTheme="minorHAnsi" w:hAnsiTheme="minorHAnsi" w:cs="Calibri"/>
        </w:rPr>
        <w:t>. 2018</w:t>
      </w:r>
      <w:r w:rsidR="00E04EB6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182916">
        <w:rPr>
          <w:rFonts w:ascii="Calibri" w:hAnsi="Calibri" w:cs="Calibri"/>
          <w:b w:val="0"/>
          <w:color w:val="000000"/>
          <w:sz w:val="24"/>
          <w:szCs w:val="24"/>
        </w:rPr>
        <w:t>164 </w:t>
      </w:r>
      <w:r w:rsidR="001A6679">
        <w:rPr>
          <w:rFonts w:ascii="Calibri" w:hAnsi="Calibri" w:cs="Calibri"/>
          <w:b w:val="0"/>
          <w:color w:val="000000"/>
          <w:sz w:val="24"/>
          <w:szCs w:val="24"/>
        </w:rPr>
        <w:t>381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 xml:space="preserve"> včetně DPH dle položkové specifikace uvedené v příloze č. 1 této smlouvy.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</w:t>
      </w:r>
      <w:r w:rsidR="001A6679">
        <w:rPr>
          <w:rFonts w:ascii="Calibri" w:hAnsi="Calibri" w:cs="Calibri"/>
          <w:b w:val="0"/>
          <w:color w:val="000000"/>
          <w:sz w:val="24"/>
          <w:szCs w:val="24"/>
        </w:rPr>
        <w:t xml:space="preserve">zaměření místností, návrh vybavení,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, vynesení zboží do místa umístění </w:t>
      </w:r>
      <w:r w:rsidR="006E1031">
        <w:rPr>
          <w:rFonts w:ascii="Calibri" w:hAnsi="Calibri" w:cs="Calibri"/>
          <w:b w:val="0"/>
          <w:color w:val="000000"/>
          <w:sz w:val="24"/>
          <w:szCs w:val="24"/>
        </w:rPr>
        <w:t xml:space="preserve">ve </w:t>
      </w:r>
      <w:r w:rsidR="001A6679">
        <w:rPr>
          <w:rFonts w:ascii="Calibri" w:hAnsi="Calibri" w:cs="Calibri"/>
          <w:b w:val="0"/>
          <w:color w:val="000000"/>
          <w:sz w:val="24"/>
          <w:szCs w:val="24"/>
        </w:rPr>
        <w:t>druhém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nadzemním podlaží,</w:t>
      </w:r>
      <w:r w:rsidR="001A6679">
        <w:rPr>
          <w:rFonts w:ascii="Calibri" w:hAnsi="Calibri" w:cs="Calibri"/>
          <w:b w:val="0"/>
          <w:color w:val="000000"/>
          <w:sz w:val="24"/>
          <w:szCs w:val="24"/>
        </w:rPr>
        <w:t xml:space="preserve"> montáž zboží, umístění zboží v místnostech,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likvidaci oba</w:t>
      </w:r>
      <w:r w:rsidR="001A6679">
        <w:rPr>
          <w:rFonts w:ascii="Calibri" w:hAnsi="Calibri" w:cs="Calibri"/>
          <w:b w:val="0"/>
          <w:color w:val="000000"/>
          <w:sz w:val="24"/>
          <w:szCs w:val="24"/>
        </w:rPr>
        <w:t>lů spojených s převozem zboží a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veškeré další náklady s převozem a vykládkou zboží související.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1148DF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lastRenderedPageBreak/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182916">
        <w:rPr>
          <w:rStyle w:val="standardtext"/>
          <w:rFonts w:cs="Calibri"/>
          <w:sz w:val="24"/>
          <w:szCs w:val="24"/>
        </w:rPr>
        <w:t>60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proofErr w:type="spellStart"/>
      <w:r w:rsidR="00F963D3">
        <w:rPr>
          <w:rStyle w:val="standardtext"/>
          <w:rFonts w:asciiTheme="minorHAnsi" w:hAnsiTheme="minorHAnsi" w:cs="Calibri"/>
          <w:sz w:val="24"/>
          <w:szCs w:val="24"/>
        </w:rPr>
        <w:t>xxxxxxxxxx</w:t>
      </w:r>
      <w:proofErr w:type="spellEnd"/>
      <w:r w:rsidR="00C82CCD">
        <w:rPr>
          <w:rStyle w:val="standardtext"/>
          <w:rFonts w:asciiTheme="minorHAnsi" w:hAnsiTheme="minorHAnsi" w:cs="Calibri"/>
          <w:sz w:val="24"/>
          <w:szCs w:val="24"/>
        </w:rPr>
        <w:t>.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CC74F4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148DF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148DF" w:rsidRPr="002F3963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registru smluv dle zákona č. 340/2015 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148DF" w:rsidRPr="002F3963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82916">
        <w:rPr>
          <w:rFonts w:ascii="Calibri" w:hAnsi="Calibri" w:cs="Calibri"/>
          <w:b w:val="0"/>
          <w:bCs w:val="0"/>
          <w:color w:val="auto"/>
          <w:sz w:val="24"/>
          <w:szCs w:val="24"/>
        </w:rPr>
        <w:t>5</w:t>
      </w:r>
      <w:r w:rsidR="001148D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r w:rsidR="00182916">
        <w:rPr>
          <w:rFonts w:ascii="Calibri" w:hAnsi="Calibri" w:cs="Calibri"/>
          <w:b w:val="0"/>
          <w:bCs w:val="0"/>
          <w:color w:val="auto"/>
          <w:sz w:val="24"/>
          <w:szCs w:val="24"/>
        </w:rPr>
        <w:t>1. 2018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2D5DB0" w:rsidRDefault="002D5DB0" w:rsidP="002D5DB0">
      <w:pPr>
        <w:rPr>
          <w:lang w:eastAsia="en-US"/>
        </w:rPr>
      </w:pPr>
    </w:p>
    <w:p w:rsidR="002D5DB0" w:rsidRPr="002D5DB0" w:rsidRDefault="002D5DB0" w:rsidP="002D5DB0">
      <w:pPr>
        <w:rPr>
          <w:lang w:eastAsia="en-US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Default="00916B23" w:rsidP="00C07A1F">
      <w:pPr>
        <w:jc w:val="right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62208E">
      <w:pPr>
        <w:ind w:left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59450" cy="53743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62208E" w:rsidRDefault="0062208E" w:rsidP="005E46E4">
      <w:pPr>
        <w:ind w:left="540"/>
        <w:jc w:val="right"/>
        <w:rPr>
          <w:rFonts w:asciiTheme="minorHAnsi" w:hAnsiTheme="minorHAnsi" w:cstheme="minorHAnsi"/>
        </w:rPr>
      </w:pPr>
    </w:p>
    <w:p w:rsidR="00916B23" w:rsidRDefault="00916B23" w:rsidP="0062208E">
      <w:pPr>
        <w:jc w:val="both"/>
      </w:pPr>
    </w:p>
    <w:sectPr w:rsidR="00916B23" w:rsidSect="0008075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CC" w:rsidRDefault="009D61CC" w:rsidP="00F21921">
      <w:r>
        <w:separator/>
      </w:r>
    </w:p>
  </w:endnote>
  <w:endnote w:type="continuationSeparator" w:id="0">
    <w:p w:rsidR="009D61CC" w:rsidRDefault="009D61C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F963D3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CC" w:rsidRDefault="009D61CC" w:rsidP="00F21921">
      <w:r>
        <w:separator/>
      </w:r>
    </w:p>
  </w:footnote>
  <w:footnote w:type="continuationSeparator" w:id="0">
    <w:p w:rsidR="009D61CC" w:rsidRDefault="009D61C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3AFA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148DF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82916"/>
    <w:rsid w:val="001942D9"/>
    <w:rsid w:val="001A3083"/>
    <w:rsid w:val="001A6679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D5DB0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A7E7D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5C2F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A42AE"/>
    <w:rsid w:val="005B2921"/>
    <w:rsid w:val="005E46E4"/>
    <w:rsid w:val="005F5F2F"/>
    <w:rsid w:val="0060206C"/>
    <w:rsid w:val="0061574E"/>
    <w:rsid w:val="0062208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1E70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3CFA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4A2F"/>
    <w:rsid w:val="009D05FB"/>
    <w:rsid w:val="009D5027"/>
    <w:rsid w:val="009D5C31"/>
    <w:rsid w:val="009D61CC"/>
    <w:rsid w:val="009E457D"/>
    <w:rsid w:val="009F7ABD"/>
    <w:rsid w:val="00A0097A"/>
    <w:rsid w:val="00A01474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31EB"/>
    <w:rsid w:val="00AA79EC"/>
    <w:rsid w:val="00AA7D12"/>
    <w:rsid w:val="00AB38BB"/>
    <w:rsid w:val="00AC32B1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07A1F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4F4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09F6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63D3"/>
    <w:rsid w:val="00F96895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2017-09-15T09:58:00Z</cp:lastPrinted>
  <dcterms:created xsi:type="dcterms:W3CDTF">2018-01-12T10:43:00Z</dcterms:created>
  <dcterms:modified xsi:type="dcterms:W3CDTF">2018-01-12T10:44:00Z</dcterms:modified>
</cp:coreProperties>
</file>