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3B380" w14:textId="77777777" w:rsidR="00717642" w:rsidRPr="002D47FD" w:rsidRDefault="00717642" w:rsidP="002D47FD">
      <w:pPr>
        <w:pStyle w:val="Seznamsodrkami"/>
        <w:widowControl w:val="0"/>
        <w:numPr>
          <w:ilvl w:val="0"/>
          <w:numId w:val="0"/>
        </w:numPr>
        <w:rPr>
          <w:rFonts w:ascii="Arial" w:hAnsi="Arial" w:cs="Arial"/>
          <w:b/>
          <w:noProof/>
          <w:sz w:val="22"/>
          <w:lang w:val="cs-CZ"/>
        </w:rPr>
      </w:pPr>
      <w:r w:rsidRPr="002D47FD">
        <w:rPr>
          <w:rFonts w:ascii="Arial" w:hAnsi="Arial" w:cs="Arial"/>
          <w:b/>
          <w:noProof/>
          <w:sz w:val="22"/>
          <w:lang w:val="cs-CZ"/>
        </w:rPr>
        <w:t>Příloha č. 2 – Výhrady objednatele k obchodním podmínkám Deloitte CE</w:t>
      </w:r>
    </w:p>
    <w:p w14:paraId="582A5FEC" w14:textId="77777777" w:rsidR="00717642" w:rsidRPr="002D47FD" w:rsidRDefault="00717642" w:rsidP="008B332A">
      <w:pPr>
        <w:pStyle w:val="Seznamsodrkami"/>
        <w:widowControl w:val="0"/>
        <w:numPr>
          <w:ilvl w:val="0"/>
          <w:numId w:val="0"/>
        </w:numPr>
        <w:ind w:left="284" w:hanging="284"/>
        <w:rPr>
          <w:rFonts w:ascii="Arial" w:hAnsi="Arial" w:cs="Arial"/>
          <w:noProof/>
          <w:sz w:val="22"/>
          <w:lang w:val="cs-CZ"/>
        </w:rPr>
      </w:pPr>
    </w:p>
    <w:p w14:paraId="7A32B1C4" w14:textId="22BA17A8" w:rsidR="00B02D15" w:rsidRPr="002D47FD" w:rsidRDefault="00B02D15" w:rsidP="008B332A">
      <w:pPr>
        <w:pStyle w:val="Seznamsodrkami"/>
        <w:widowControl w:val="0"/>
        <w:numPr>
          <w:ilvl w:val="0"/>
          <w:numId w:val="0"/>
        </w:numPr>
        <w:ind w:left="284" w:hanging="284"/>
        <w:rPr>
          <w:rFonts w:ascii="Arial" w:hAnsi="Arial" w:cs="Arial"/>
          <w:noProof/>
          <w:sz w:val="22"/>
          <w:lang w:val="cs-CZ"/>
        </w:rPr>
      </w:pPr>
      <w:r w:rsidRPr="002D47FD">
        <w:rPr>
          <w:rFonts w:ascii="Arial" w:hAnsi="Arial" w:cs="Arial"/>
          <w:noProof/>
          <w:sz w:val="22"/>
          <w:lang w:val="cs-CZ"/>
        </w:rPr>
        <w:t>Smluvní strany se dohodly na následujících změnách Obchodních podmínek:</w:t>
      </w:r>
    </w:p>
    <w:p w14:paraId="05DA9CD3" w14:textId="77777777" w:rsidR="00B02D15" w:rsidRPr="002D47FD" w:rsidRDefault="00B02D15" w:rsidP="008B332A">
      <w:pPr>
        <w:pStyle w:val="Seznamsodrkami"/>
        <w:widowControl w:val="0"/>
        <w:numPr>
          <w:ilvl w:val="0"/>
          <w:numId w:val="0"/>
        </w:numPr>
        <w:ind w:left="284" w:hanging="284"/>
        <w:rPr>
          <w:rFonts w:ascii="Arial" w:hAnsi="Arial" w:cs="Arial"/>
          <w:noProof/>
          <w:sz w:val="22"/>
          <w:lang w:val="cs-CZ"/>
        </w:rPr>
      </w:pPr>
    </w:p>
    <w:p w14:paraId="2EBEFE6E" w14:textId="77777777" w:rsidR="00B02D15" w:rsidRPr="002D47FD" w:rsidRDefault="00B02D15" w:rsidP="008B332A">
      <w:pPr>
        <w:pStyle w:val="Seznamsodrkami"/>
        <w:widowControl w:val="0"/>
        <w:ind w:left="709"/>
        <w:rPr>
          <w:rFonts w:ascii="Arial" w:hAnsi="Arial" w:cs="Arial"/>
          <w:noProof/>
          <w:sz w:val="22"/>
          <w:lang w:val="cs-CZ"/>
        </w:rPr>
      </w:pPr>
      <w:r w:rsidRPr="002D47FD">
        <w:rPr>
          <w:rFonts w:ascii="Arial" w:hAnsi="Arial" w:cs="Arial"/>
          <w:noProof/>
          <w:sz w:val="22"/>
          <w:lang w:val="cs-CZ"/>
        </w:rPr>
        <w:t>Článek 3 písm. b) Obchodních podmínek se mění a nově zní takto:</w:t>
      </w:r>
    </w:p>
    <w:p w14:paraId="70338924" w14:textId="620F2F34" w:rsidR="00B02D15" w:rsidRPr="002D47FD" w:rsidRDefault="00B02D15" w:rsidP="008B332A">
      <w:pPr>
        <w:pStyle w:val="smlouvabodytext"/>
        <w:keepLines w:val="0"/>
        <w:widowControl w:val="0"/>
        <w:ind w:left="709"/>
        <w:rPr>
          <w:rFonts w:ascii="Arial" w:eastAsia="Verdana" w:hAnsi="Arial" w:cs="Arial"/>
          <w:sz w:val="22"/>
          <w:szCs w:val="22"/>
        </w:rPr>
      </w:pPr>
      <w:r w:rsidRPr="002D47FD">
        <w:rPr>
          <w:rFonts w:ascii="Arial" w:eastAsia="Verdana" w:hAnsi="Arial" w:cs="Arial"/>
          <w:sz w:val="22"/>
          <w:szCs w:val="22"/>
        </w:rPr>
        <w:t>„</w:t>
      </w:r>
      <w:r w:rsidRPr="002D47FD">
        <w:rPr>
          <w:rFonts w:ascii="Arial" w:eastAsia="Verdana" w:hAnsi="Arial" w:cs="Arial"/>
          <w:i/>
          <w:sz w:val="22"/>
          <w:szCs w:val="22"/>
        </w:rPr>
        <w:t xml:space="preserve">Cena za Služby bude účtována na základě doby strávené poskytováním Služeb a hodinové sazby osoby poskytující Služby (včetně Služeb poskytovaných </w:t>
      </w:r>
      <w:bookmarkStart w:id="0" w:name="_GoBack"/>
      <w:bookmarkEnd w:id="0"/>
      <w:r w:rsidRPr="002D47FD">
        <w:rPr>
          <w:rFonts w:ascii="Arial" w:eastAsia="Verdana" w:hAnsi="Arial" w:cs="Arial"/>
          <w:i/>
          <w:sz w:val="22"/>
          <w:szCs w:val="22"/>
        </w:rPr>
        <w:t>Subdodavatelem), míry úsilí a použité technologie a know-how. Hodinové sazby se vztahují také na Služby poskytované ze strany Subdodavatelů</w:t>
      </w:r>
      <w:r w:rsidRPr="002D47FD">
        <w:rPr>
          <w:rFonts w:ascii="Arial" w:eastAsia="Verdana" w:hAnsi="Arial" w:cs="Arial"/>
          <w:sz w:val="22"/>
          <w:szCs w:val="22"/>
        </w:rPr>
        <w:t>.“</w:t>
      </w:r>
    </w:p>
    <w:p w14:paraId="0421195A" w14:textId="77777777" w:rsidR="00B02D15" w:rsidRPr="002D47FD" w:rsidRDefault="00B02D15"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 xml:space="preserve">Článek 3 písm. </w:t>
      </w:r>
      <w:r w:rsidR="007F46A2" w:rsidRPr="002D47FD">
        <w:rPr>
          <w:rFonts w:ascii="Arial" w:eastAsia="Verdana" w:hAnsi="Arial" w:cs="Arial"/>
          <w:sz w:val="22"/>
          <w:szCs w:val="22"/>
        </w:rPr>
        <w:t>c</w:t>
      </w:r>
      <w:r w:rsidRPr="002D47FD">
        <w:rPr>
          <w:rFonts w:ascii="Arial" w:eastAsia="Verdana" w:hAnsi="Arial" w:cs="Arial"/>
          <w:sz w:val="22"/>
          <w:szCs w:val="22"/>
        </w:rPr>
        <w:t xml:space="preserve">) Obchodních podmínek </w:t>
      </w:r>
      <w:r w:rsidR="007F46A2" w:rsidRPr="002D47FD">
        <w:rPr>
          <w:rFonts w:ascii="Arial" w:eastAsia="Verdana" w:hAnsi="Arial" w:cs="Arial"/>
          <w:sz w:val="22"/>
          <w:szCs w:val="22"/>
        </w:rPr>
        <w:t>se</w:t>
      </w:r>
      <w:r w:rsidRPr="002D47FD">
        <w:rPr>
          <w:rFonts w:ascii="Arial" w:eastAsia="Verdana" w:hAnsi="Arial" w:cs="Arial"/>
          <w:sz w:val="22"/>
          <w:szCs w:val="22"/>
        </w:rPr>
        <w:t xml:space="preserve"> nepoužije.</w:t>
      </w:r>
    </w:p>
    <w:p w14:paraId="04D63B22" w14:textId="77777777" w:rsidR="007F46A2" w:rsidRPr="002D47FD" w:rsidRDefault="007F46A2"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3 písm. d) Obchodních podmínek se mění a nově zní takto:</w:t>
      </w:r>
    </w:p>
    <w:p w14:paraId="29A74BFD" w14:textId="4A3CE8F6" w:rsidR="007F46A2" w:rsidRPr="002D47FD" w:rsidRDefault="007F46A2" w:rsidP="008B332A">
      <w:pPr>
        <w:pStyle w:val="smlouvabodytext"/>
        <w:keepLines w:val="0"/>
        <w:widowControl w:val="0"/>
        <w:ind w:left="709"/>
        <w:rPr>
          <w:rFonts w:ascii="Arial" w:eastAsia="Verdana" w:hAnsi="Arial" w:cs="Arial"/>
          <w:sz w:val="22"/>
          <w:szCs w:val="22"/>
        </w:rPr>
      </w:pPr>
      <w:r w:rsidRPr="002D47FD">
        <w:rPr>
          <w:rFonts w:ascii="Arial" w:eastAsia="Verdana" w:hAnsi="Arial" w:cs="Arial"/>
          <w:sz w:val="22"/>
          <w:szCs w:val="22"/>
        </w:rPr>
        <w:t>„</w:t>
      </w:r>
      <w:r w:rsidRPr="002D47FD">
        <w:rPr>
          <w:rFonts w:ascii="Arial" w:eastAsia="Verdana" w:hAnsi="Arial" w:cs="Arial"/>
          <w:i/>
          <w:sz w:val="22"/>
          <w:szCs w:val="22"/>
        </w:rPr>
        <w:t>Klient výslovně souhlasí s elektronickou formou fakturace za podmínek stanovených Smlouvou a platnými právními předpisy. Deloitte si vyhrazuje právo vystavovat fakturu za poskytnuté Služby (i) po přijetí Výstupu a/nebo jiné dodávky Služeb (jak je uvedeno v ustanovení 2(a) v. výše), a/nebo (ii) průběžně (včetně průběžné fakturace) v souladu s množstvím poskytovaných Služeb</w:t>
      </w:r>
      <w:r w:rsidRPr="002D47FD">
        <w:rPr>
          <w:rFonts w:ascii="Arial" w:eastAsia="Verdana" w:hAnsi="Arial" w:cs="Arial"/>
          <w:sz w:val="22"/>
          <w:szCs w:val="22"/>
        </w:rPr>
        <w:t>.“</w:t>
      </w:r>
    </w:p>
    <w:p w14:paraId="121AEB13" w14:textId="77777777" w:rsidR="007F46A2" w:rsidRPr="002D47FD" w:rsidRDefault="007F46A2"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3 písm. e) Obchodních podmínek se nepoužije.</w:t>
      </w:r>
    </w:p>
    <w:p w14:paraId="2DB8FA4A" w14:textId="77777777" w:rsidR="00B02D15" w:rsidRPr="002D47FD" w:rsidRDefault="007F46A2"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3 písm. g) Obchodních podmínek se mění a nově zní takto:</w:t>
      </w:r>
    </w:p>
    <w:p w14:paraId="2C66C02D" w14:textId="38B2CB8B" w:rsidR="007F46A2" w:rsidRPr="002D47FD" w:rsidRDefault="007F46A2" w:rsidP="008B332A">
      <w:pPr>
        <w:pStyle w:val="smlouvabodytext"/>
        <w:keepLines w:val="0"/>
        <w:widowControl w:val="0"/>
        <w:ind w:left="709"/>
        <w:rPr>
          <w:rFonts w:ascii="Arial" w:eastAsia="Verdana" w:hAnsi="Arial" w:cs="Arial"/>
          <w:sz w:val="22"/>
          <w:szCs w:val="22"/>
        </w:rPr>
      </w:pPr>
      <w:r w:rsidRPr="002D47FD">
        <w:rPr>
          <w:rFonts w:ascii="Arial" w:eastAsia="Verdana" w:hAnsi="Arial" w:cs="Arial"/>
          <w:sz w:val="22"/>
          <w:szCs w:val="22"/>
        </w:rPr>
        <w:t>„</w:t>
      </w:r>
      <w:r w:rsidRPr="002D47FD">
        <w:rPr>
          <w:rFonts w:ascii="Arial" w:eastAsia="Verdana" w:hAnsi="Arial" w:cs="Arial"/>
          <w:i/>
          <w:sz w:val="22"/>
          <w:szCs w:val="22"/>
        </w:rPr>
        <w:t xml:space="preserve">Faktury Deloitte v jakékoliv formě jsou splatné Klientem při předložení (včetně zaslání e-mailem ve formátu .pdf) nebo při přijetí, je-li to nezbytné podle závazných právních předpisů. Není-li úhrada faktury obdržena během 21 dní od data </w:t>
      </w:r>
      <w:r w:rsidR="00AA3D75" w:rsidRPr="002D47FD">
        <w:rPr>
          <w:rFonts w:ascii="Arial" w:eastAsia="Verdana" w:hAnsi="Arial" w:cs="Arial"/>
          <w:i/>
          <w:sz w:val="22"/>
          <w:szCs w:val="22"/>
        </w:rPr>
        <w:t xml:space="preserve">doručení </w:t>
      </w:r>
      <w:r w:rsidRPr="002D47FD">
        <w:rPr>
          <w:rFonts w:ascii="Arial" w:eastAsia="Verdana" w:hAnsi="Arial" w:cs="Arial"/>
          <w:i/>
          <w:sz w:val="22"/>
          <w:szCs w:val="22"/>
        </w:rPr>
        <w:t>faktury, Deloitte si vyhrazuje právo účtovat úrok (i) v nejvyšší sazbě povolené a přípustné zákonem s minimální sazbou 1½% měsíčně nebo (ii) v sazbě specifikované závaznými právními předpisy, která nemůže být upravena dohodou stran, v každém případě počítaná měsíčně do míry povolené zákonem. V případě, že společnosti Deloitte vznikne jakékoli inkaso nebo zákonné náklady s ohledem na odměnu po splatnosti, tyto náklady budou Klientovi účtovány v dodatečné faktuře. Bez omezení ostatních svých práv nebo opravných prostředků má Deloitte právo zastavit nebo ukončit Služby zcela nebo částečně, není-li úhrada přijata během 21 dní od data doručení faktury, a následně se v tomto smyslu uplatní ustanovení čl. 2 a) iv). Vznikne-li spor ohledně fakturované částky, Klient uhradí nerozporovanou částku. Klient nese odpovědnost za všechny daně, jako je DPH, daň z prodeje a užívání, daň z hrubých příjmů, srážková daň a jiné podobné daně uvalené na Služby nebo s nimi související a nepředstavující daň z příjmů nebo daň z majetku společnosti Deloitte</w:t>
      </w:r>
      <w:r w:rsidRPr="002D47FD">
        <w:rPr>
          <w:rFonts w:ascii="Arial" w:eastAsia="Verdana" w:hAnsi="Arial" w:cs="Arial"/>
          <w:sz w:val="22"/>
          <w:szCs w:val="22"/>
        </w:rPr>
        <w:t>.“</w:t>
      </w:r>
    </w:p>
    <w:p w14:paraId="7CE74946" w14:textId="77777777" w:rsidR="00CA1EE8" w:rsidRPr="002D47FD" w:rsidRDefault="00CA1EE8"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3 písm. h) Obchodních podmínek se nepoužije.</w:t>
      </w:r>
    </w:p>
    <w:p w14:paraId="4FF2F4D8" w14:textId="77777777" w:rsidR="00CA1EE8" w:rsidRPr="002D47FD" w:rsidRDefault="00CA1EE8"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4 písm. e) Obchodních podmínek se mění a nově zní takto:</w:t>
      </w:r>
    </w:p>
    <w:p w14:paraId="36A7EA65" w14:textId="7DE3760E" w:rsidR="00CA1EE8" w:rsidRPr="002D47FD" w:rsidRDefault="00CA1EE8" w:rsidP="008B332A">
      <w:pPr>
        <w:pStyle w:val="smlouvabodytext"/>
        <w:keepLines w:val="0"/>
        <w:widowControl w:val="0"/>
        <w:ind w:left="709"/>
        <w:rPr>
          <w:rFonts w:ascii="Arial" w:eastAsia="Verdana" w:hAnsi="Arial" w:cs="Arial"/>
          <w:sz w:val="22"/>
          <w:szCs w:val="22"/>
        </w:rPr>
      </w:pPr>
      <w:r w:rsidRPr="002D47FD">
        <w:rPr>
          <w:rFonts w:ascii="Arial" w:eastAsia="Verdana" w:hAnsi="Arial" w:cs="Arial"/>
          <w:sz w:val="22"/>
          <w:szCs w:val="22"/>
        </w:rPr>
        <w:t>„</w:t>
      </w:r>
      <w:r w:rsidRPr="002D47FD">
        <w:rPr>
          <w:rFonts w:ascii="Arial" w:eastAsia="Verdana" w:hAnsi="Arial" w:cs="Arial"/>
          <w:i/>
          <w:sz w:val="22"/>
          <w:szCs w:val="22"/>
        </w:rPr>
        <w:t xml:space="preserve">Při ukončení smlouvy z jakéhokoli důvodu Klient poskytne společnosti Deloitte náhradu v souladu s podmínkami Smlouvy za poskytnuté Služby do data účinnosti ukončení Smlouvy. Pokud je Cena za Služby sjednána jako závislá na provedení Služeb nebo jakýchkoli jejich částí a ukončení nabyde účinnosti před dokončením Služeb a/nebo jejich příslušných částí, částka splatné Ceny za Služby při ukončení Smlouvy bude odpovídat času, který strávil personál Deloitte (jež zahrnuje v relevantním případě i </w:t>
      </w:r>
      <w:r w:rsidRPr="002D47FD">
        <w:rPr>
          <w:rFonts w:ascii="Arial" w:eastAsia="Verdana" w:hAnsi="Arial" w:cs="Arial"/>
          <w:i/>
          <w:sz w:val="22"/>
          <w:szCs w:val="22"/>
        </w:rPr>
        <w:lastRenderedPageBreak/>
        <w:t>příslušné Subdodavatele) poskytováním Služeb podle této Smlouvy, a vypočte se na základě standardních hodinových sazeb</w:t>
      </w:r>
      <w:r w:rsidRPr="002D47FD">
        <w:rPr>
          <w:rFonts w:ascii="Arial" w:eastAsia="Verdana" w:hAnsi="Arial" w:cs="Arial"/>
          <w:sz w:val="22"/>
          <w:szCs w:val="22"/>
        </w:rPr>
        <w:t>.“</w:t>
      </w:r>
    </w:p>
    <w:p w14:paraId="62D7FC0E" w14:textId="77777777" w:rsidR="00CA1EE8" w:rsidRPr="002D47FD" w:rsidRDefault="00CA1EE8"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6 písm. a) Obchodních podmínek se mění a nově zní takto:</w:t>
      </w:r>
    </w:p>
    <w:p w14:paraId="12ED9D59" w14:textId="7EDFAE1B" w:rsidR="00CA1EE8" w:rsidRPr="002D47FD" w:rsidRDefault="00CA1EE8" w:rsidP="008B332A">
      <w:pPr>
        <w:pStyle w:val="smlouvabodytext"/>
        <w:keepLines w:val="0"/>
        <w:widowControl w:val="0"/>
        <w:ind w:left="709"/>
        <w:rPr>
          <w:rFonts w:ascii="Arial" w:eastAsia="Verdana" w:hAnsi="Arial" w:cs="Arial"/>
          <w:sz w:val="22"/>
          <w:szCs w:val="22"/>
        </w:rPr>
      </w:pPr>
      <w:r w:rsidRPr="002D47FD">
        <w:rPr>
          <w:rFonts w:ascii="Arial" w:eastAsia="Verdana" w:hAnsi="Arial" w:cs="Arial"/>
          <w:sz w:val="22"/>
          <w:szCs w:val="22"/>
        </w:rPr>
        <w:t>„</w:t>
      </w:r>
      <w:r w:rsidRPr="002D47FD">
        <w:rPr>
          <w:rFonts w:ascii="Arial" w:eastAsia="Verdana" w:hAnsi="Arial" w:cs="Arial"/>
          <w:i/>
          <w:sz w:val="22"/>
          <w:szCs w:val="22"/>
        </w:rPr>
        <w:t>Společnost Deloitte nebude odpovědná vůči Klientovi za jakékoli nároky, závazky, ztráty, škody, náklady nebo výdaje vyplývající ze Smlouvy nebo v souvislosti s ní bez ohledu na právní základ („Nároky“) v souhrnné částce převyšující (i) padesát tisíc eur nebo, je-li vyšší, (ii) cenu hrazenou podle této Smlouvy Klientem společnosti Deloitte za tu část Služeb, v souvislosti s kterými došlo ke vzniku Nároku, maximálně však do výše dvě stě padesát tisíc eur, ani nebude povinna nahradit jakoukoliv škodu Klienta, která převyšuje shora uvedené limity, vyjma případů, kdy dle pravomocného soudního rozhodnutí Nárok původně vyplynul z úmyslného pochybení nebo hrubé nedbalosti Deloitte nebo jakéhokoli Subdodavatele.“</w:t>
      </w:r>
    </w:p>
    <w:p w14:paraId="40BA2743" w14:textId="77777777" w:rsidR="00F756C4" w:rsidRPr="002D47FD" w:rsidRDefault="00F756C4"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6 písm. b) Obchodních podmínek se mění a nově zní takto:</w:t>
      </w:r>
    </w:p>
    <w:p w14:paraId="40811D91" w14:textId="2CDBD6E2" w:rsidR="00F756C4" w:rsidRPr="002D47FD" w:rsidRDefault="00F756C4" w:rsidP="008B332A">
      <w:pPr>
        <w:pStyle w:val="smlouvabodytext"/>
        <w:keepLines w:val="0"/>
        <w:widowControl w:val="0"/>
        <w:ind w:left="709"/>
        <w:rPr>
          <w:rFonts w:ascii="Arial" w:eastAsia="Verdana" w:hAnsi="Arial" w:cs="Arial"/>
          <w:sz w:val="22"/>
          <w:szCs w:val="22"/>
        </w:rPr>
      </w:pPr>
      <w:r w:rsidRPr="002D47FD">
        <w:rPr>
          <w:rFonts w:ascii="Arial" w:eastAsia="Verdana" w:hAnsi="Arial" w:cs="Arial"/>
          <w:sz w:val="22"/>
          <w:szCs w:val="22"/>
        </w:rPr>
        <w:t>„</w:t>
      </w:r>
      <w:r w:rsidRPr="002D47FD">
        <w:rPr>
          <w:rFonts w:ascii="Arial" w:eastAsia="Verdana" w:hAnsi="Arial" w:cs="Arial"/>
          <w:i/>
          <w:sz w:val="22"/>
          <w:szCs w:val="22"/>
        </w:rPr>
        <w:t>V rozsahu dovoleném zákonem nebude Deloitte odpovědná za žádnou ztrátu užívání, smluv, údajů, goodwillu, výnosů nebo zisků (ať jsou považovány za přímé Nároky či nikoli) nebo jakoukoli následnou, zvláštní, nepřímou, náhodnou, represivní nebo exemplární ztrátu, škodu nebo náklad vyplývající ze Smlouvy nebo s ní související</w:t>
      </w:r>
      <w:r w:rsidRPr="002D47FD">
        <w:rPr>
          <w:rFonts w:ascii="Arial" w:eastAsia="Verdana" w:hAnsi="Arial" w:cs="Arial"/>
          <w:sz w:val="22"/>
          <w:szCs w:val="22"/>
        </w:rPr>
        <w:t>.</w:t>
      </w:r>
      <w:r w:rsidRPr="002D47FD">
        <w:rPr>
          <w:rFonts w:ascii="Arial" w:eastAsia="Verdana" w:hAnsi="Arial" w:cs="Arial"/>
          <w:i/>
          <w:sz w:val="22"/>
          <w:szCs w:val="22"/>
        </w:rPr>
        <w:t>“</w:t>
      </w:r>
    </w:p>
    <w:p w14:paraId="3458108E" w14:textId="77777777" w:rsidR="00F756C4" w:rsidRPr="002D47FD" w:rsidRDefault="00F756C4"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6 písm. c) Obchodních podmínek se mění a nově zní takto:</w:t>
      </w:r>
    </w:p>
    <w:p w14:paraId="317FD900" w14:textId="08CF6469" w:rsidR="00F756C4" w:rsidRPr="002D47FD" w:rsidRDefault="00F756C4" w:rsidP="008B332A">
      <w:pPr>
        <w:pStyle w:val="smlouvabodytext"/>
        <w:keepLines w:val="0"/>
        <w:widowControl w:val="0"/>
        <w:ind w:left="709"/>
        <w:rPr>
          <w:rFonts w:ascii="Arial" w:eastAsia="Verdana" w:hAnsi="Arial" w:cs="Arial"/>
          <w:i/>
          <w:sz w:val="22"/>
          <w:szCs w:val="22"/>
        </w:rPr>
      </w:pPr>
      <w:r w:rsidRPr="002D47FD">
        <w:rPr>
          <w:rFonts w:ascii="Arial" w:eastAsia="Verdana" w:hAnsi="Arial" w:cs="Arial"/>
          <w:sz w:val="22"/>
          <w:szCs w:val="22"/>
        </w:rPr>
        <w:t>„</w:t>
      </w:r>
      <w:r w:rsidRPr="002D47FD">
        <w:rPr>
          <w:rFonts w:ascii="Arial" w:eastAsia="Verdana" w:hAnsi="Arial" w:cs="Arial"/>
          <w:i/>
          <w:sz w:val="22"/>
          <w:szCs w:val="22"/>
        </w:rPr>
        <w:t>V případě, že budou všechna nebo část ustanovení tohoto článku 6 pravomocným rozhodnutím soudu stanovena jako nevymahatelná, úhrnná odpovědnost Deloitte za jakýkoli Nárok nepřekročí částku, která odpovídá míře jejich zavinění v poměru k veškerým dalším příčinám vzniku takového Nároku</w:t>
      </w:r>
      <w:r w:rsidRPr="002D47FD">
        <w:rPr>
          <w:rFonts w:ascii="Arial" w:eastAsia="Verdana" w:hAnsi="Arial" w:cs="Arial"/>
          <w:sz w:val="22"/>
          <w:szCs w:val="22"/>
        </w:rPr>
        <w:t>.</w:t>
      </w:r>
      <w:r w:rsidRPr="002D47FD">
        <w:rPr>
          <w:rFonts w:ascii="Arial" w:eastAsia="Verdana" w:hAnsi="Arial" w:cs="Arial"/>
          <w:i/>
          <w:sz w:val="22"/>
          <w:szCs w:val="22"/>
        </w:rPr>
        <w:t>“</w:t>
      </w:r>
    </w:p>
    <w:p w14:paraId="10B49E6F" w14:textId="77777777" w:rsidR="00F756C4" w:rsidRPr="002D47FD" w:rsidRDefault="00F756C4"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6 písm. d) Obchodních podmínek se nepoužije.</w:t>
      </w:r>
    </w:p>
    <w:p w14:paraId="7C2EBC19" w14:textId="77777777" w:rsidR="00A41AB5" w:rsidRPr="002D47FD" w:rsidRDefault="00A41AB5"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6 písm. e) Obchodních podmínek se mění a nově zní takto:</w:t>
      </w:r>
    </w:p>
    <w:p w14:paraId="27F2F8A1" w14:textId="174BCE7D" w:rsidR="00A41AB5" w:rsidRPr="002D47FD" w:rsidRDefault="00A41AB5" w:rsidP="008B332A">
      <w:pPr>
        <w:pStyle w:val="smlouvabodytext"/>
        <w:keepLines w:val="0"/>
        <w:widowControl w:val="0"/>
        <w:ind w:left="709"/>
        <w:rPr>
          <w:rFonts w:ascii="Arial" w:eastAsia="Verdana" w:hAnsi="Arial" w:cs="Arial"/>
          <w:i/>
          <w:sz w:val="22"/>
          <w:szCs w:val="22"/>
        </w:rPr>
      </w:pPr>
      <w:r w:rsidRPr="002D47FD">
        <w:rPr>
          <w:rFonts w:ascii="Arial" w:eastAsia="Verdana" w:hAnsi="Arial" w:cs="Arial"/>
          <w:sz w:val="22"/>
          <w:szCs w:val="22"/>
        </w:rPr>
        <w:t>„</w:t>
      </w:r>
      <w:r w:rsidRPr="002D47FD">
        <w:rPr>
          <w:rFonts w:ascii="Arial" w:eastAsia="Verdana" w:hAnsi="Arial" w:cs="Arial"/>
          <w:i/>
          <w:sz w:val="22"/>
          <w:szCs w:val="22"/>
        </w:rPr>
        <w:t>Omezení odpovědnosti a výše náhrady škody uvedené v odstavci 6(a) platí souhrnně pro všechny Nároky, které příležitostně vznikají v souvislosti s touto Smlouvou nebo Službami, ať již jsou takové Nároky vzneseny ve stejnou nebo různou dobu. Limit v odstavci 6(a) platí také pro všechny Nároky vůči jakýmkoli jiným Společnostem skupiny Deloitte, včetně Subdodavatelů, pokud a pouze do té míry, že je právně stanoveno, že kdokoli z nich má odpovědnost podle této Smlouvy nebo Služeb či v souladu s nimi</w:t>
      </w:r>
      <w:r w:rsidRPr="002D47FD">
        <w:rPr>
          <w:rFonts w:ascii="Arial" w:eastAsia="Verdana" w:hAnsi="Arial" w:cs="Arial"/>
          <w:sz w:val="22"/>
          <w:szCs w:val="22"/>
        </w:rPr>
        <w:t>.</w:t>
      </w:r>
      <w:r w:rsidRPr="002D47FD">
        <w:rPr>
          <w:rFonts w:ascii="Arial" w:eastAsia="Verdana" w:hAnsi="Arial" w:cs="Arial"/>
          <w:i/>
          <w:sz w:val="22"/>
          <w:szCs w:val="22"/>
        </w:rPr>
        <w:t>“</w:t>
      </w:r>
    </w:p>
    <w:p w14:paraId="2F39018B" w14:textId="77777777" w:rsidR="008834AB" w:rsidRPr="002D47FD" w:rsidRDefault="008834AB"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6 písm. g)</w:t>
      </w:r>
      <w:r w:rsidR="00A669B0" w:rsidRPr="002D47FD">
        <w:rPr>
          <w:rFonts w:ascii="Arial" w:eastAsia="Verdana" w:hAnsi="Arial" w:cs="Arial"/>
          <w:sz w:val="22"/>
          <w:szCs w:val="22"/>
        </w:rPr>
        <w:t>, první věta</w:t>
      </w:r>
      <w:r w:rsidRPr="002D47FD">
        <w:rPr>
          <w:rFonts w:ascii="Arial" w:eastAsia="Verdana" w:hAnsi="Arial" w:cs="Arial"/>
          <w:sz w:val="22"/>
          <w:szCs w:val="22"/>
        </w:rPr>
        <w:t xml:space="preserve"> Obchodních podmínek se mění a nově zní takto:</w:t>
      </w:r>
    </w:p>
    <w:p w14:paraId="38FD0F28" w14:textId="523D49AE" w:rsidR="008834AB" w:rsidRPr="002D47FD" w:rsidRDefault="008834AB" w:rsidP="008B332A">
      <w:pPr>
        <w:pStyle w:val="smlouvabodytext"/>
        <w:keepLines w:val="0"/>
        <w:widowControl w:val="0"/>
        <w:ind w:left="709"/>
        <w:rPr>
          <w:rFonts w:ascii="Arial" w:eastAsia="Verdana" w:hAnsi="Arial" w:cs="Arial"/>
          <w:i/>
          <w:sz w:val="22"/>
          <w:szCs w:val="22"/>
        </w:rPr>
      </w:pPr>
      <w:r w:rsidRPr="002D47FD">
        <w:rPr>
          <w:rFonts w:ascii="Arial" w:eastAsia="Verdana" w:hAnsi="Arial" w:cs="Arial"/>
          <w:sz w:val="22"/>
          <w:szCs w:val="22"/>
        </w:rPr>
        <w:t>„</w:t>
      </w:r>
      <w:r w:rsidRPr="002D47FD">
        <w:rPr>
          <w:rFonts w:ascii="Arial" w:eastAsia="Verdana" w:hAnsi="Arial" w:cs="Arial"/>
          <w:i/>
          <w:sz w:val="22"/>
          <w:szCs w:val="22"/>
        </w:rPr>
        <w:t>Společnost Deloitte nenese odpovědnost ve vztahu k jakýmkoli produktům a službám třetích stran nebo ve vztahu ke ztrátám nebo škodám vzniklým Klientovi</w:t>
      </w:r>
      <w:r w:rsidR="00A669B0" w:rsidRPr="002D47FD">
        <w:rPr>
          <w:rFonts w:ascii="Arial" w:eastAsia="Verdana" w:hAnsi="Arial" w:cs="Arial"/>
          <w:i/>
          <w:sz w:val="22"/>
          <w:szCs w:val="22"/>
        </w:rPr>
        <w:t>.</w:t>
      </w:r>
      <w:r w:rsidRPr="002D47FD">
        <w:rPr>
          <w:rFonts w:ascii="Arial" w:eastAsia="Verdana" w:hAnsi="Arial" w:cs="Arial"/>
          <w:i/>
          <w:sz w:val="22"/>
          <w:szCs w:val="22"/>
        </w:rPr>
        <w:t>“</w:t>
      </w:r>
    </w:p>
    <w:p w14:paraId="5F3B4D51" w14:textId="77777777" w:rsidR="00E40168" w:rsidRPr="002D47FD" w:rsidRDefault="00E40168"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10 písm. a) Obchodních podmínek se mění a nově zní takto:</w:t>
      </w:r>
    </w:p>
    <w:p w14:paraId="011209D3" w14:textId="144081DD" w:rsidR="00E40168" w:rsidRPr="002D47FD" w:rsidRDefault="00E40168" w:rsidP="008B332A">
      <w:pPr>
        <w:pStyle w:val="smlouvabodytext"/>
        <w:keepLines w:val="0"/>
        <w:widowControl w:val="0"/>
        <w:ind w:left="709"/>
        <w:rPr>
          <w:rFonts w:ascii="Arial" w:eastAsia="Verdana" w:hAnsi="Arial" w:cs="Arial"/>
          <w:i/>
          <w:sz w:val="22"/>
          <w:szCs w:val="22"/>
        </w:rPr>
      </w:pPr>
      <w:r w:rsidRPr="002D47FD">
        <w:rPr>
          <w:rFonts w:ascii="Arial" w:eastAsia="Verdana" w:hAnsi="Arial" w:cs="Arial"/>
          <w:sz w:val="22"/>
          <w:szCs w:val="22"/>
        </w:rPr>
        <w:t>„</w:t>
      </w:r>
      <w:r w:rsidRPr="002D47FD">
        <w:rPr>
          <w:rFonts w:ascii="Arial" w:eastAsia="Verdana" w:hAnsi="Arial" w:cs="Arial"/>
          <w:i/>
          <w:sz w:val="22"/>
          <w:szCs w:val="22"/>
        </w:rPr>
        <w:t xml:space="preserve">Pokud v souvislosti s touto Smlouvou Deloitte nebo Klient </w:t>
      </w:r>
      <w:r w:rsidR="00AA3D75" w:rsidRPr="002D47FD">
        <w:rPr>
          <w:rFonts w:ascii="Arial" w:eastAsia="Verdana" w:hAnsi="Arial" w:cs="Arial"/>
          <w:i/>
          <w:sz w:val="22"/>
          <w:szCs w:val="22"/>
        </w:rPr>
        <w:t xml:space="preserve">(dále jen „příjemce“) </w:t>
      </w:r>
      <w:r w:rsidRPr="002D47FD">
        <w:rPr>
          <w:rFonts w:ascii="Arial" w:eastAsia="Verdana" w:hAnsi="Arial" w:cs="Arial"/>
          <w:i/>
          <w:sz w:val="22"/>
          <w:szCs w:val="22"/>
        </w:rPr>
        <w:t xml:space="preserve">získá informace související se Službami, obchodním </w:t>
      </w:r>
      <w:r w:rsidRPr="002D47FD">
        <w:rPr>
          <w:rFonts w:ascii="Arial" w:eastAsia="Verdana" w:hAnsi="Arial" w:cs="Arial"/>
          <w:i/>
          <w:sz w:val="22"/>
          <w:szCs w:val="22"/>
        </w:rPr>
        <w:lastRenderedPageBreak/>
        <w:t>tajemstvím nebo jinými informacemi chráněnými vlastnickým právem, které jsou buď označeny sdělující stranou za důvěrné, nebo jsou svou povahou jasně důvěrné („Důvěrné informace“), příjemce je nesdělí žádné třetí straně bez souhlasu sdělující strany, vyjma právních poradců Klienta nebo Deloitte, a to pouze pro účel získání právní rady nebo pokud to vyžaduje zákon, nařízení, právní nebo správní proces</w:t>
      </w:r>
      <w:r w:rsidRPr="002D47FD">
        <w:rPr>
          <w:rFonts w:ascii="Arial" w:eastAsia="Verdana" w:hAnsi="Arial" w:cs="Arial"/>
          <w:sz w:val="22"/>
          <w:szCs w:val="22"/>
        </w:rPr>
        <w:t>.</w:t>
      </w:r>
      <w:r w:rsidRPr="002D47FD">
        <w:rPr>
          <w:rFonts w:ascii="Arial" w:eastAsia="Verdana" w:hAnsi="Arial" w:cs="Arial"/>
          <w:i/>
          <w:sz w:val="22"/>
          <w:szCs w:val="22"/>
        </w:rPr>
        <w:t>“</w:t>
      </w:r>
    </w:p>
    <w:p w14:paraId="2C0F9E9F" w14:textId="77777777" w:rsidR="00670E86" w:rsidRPr="002D47FD" w:rsidRDefault="00670E86"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10 písm. b), první věta Obchodních podmínek se mění a nově zní takto:</w:t>
      </w:r>
    </w:p>
    <w:p w14:paraId="6E4511BA" w14:textId="09C2B31C" w:rsidR="00670E86" w:rsidRPr="002D47FD" w:rsidRDefault="00670E86" w:rsidP="008B332A">
      <w:pPr>
        <w:pStyle w:val="smlouvabodytext"/>
        <w:keepLines w:val="0"/>
        <w:widowControl w:val="0"/>
        <w:ind w:left="709"/>
        <w:rPr>
          <w:rFonts w:ascii="Arial" w:eastAsia="Verdana" w:hAnsi="Arial" w:cs="Arial"/>
          <w:i/>
          <w:sz w:val="22"/>
          <w:szCs w:val="22"/>
        </w:rPr>
      </w:pPr>
      <w:r w:rsidRPr="002D47FD">
        <w:rPr>
          <w:rFonts w:ascii="Arial" w:eastAsia="Verdana" w:hAnsi="Arial" w:cs="Arial"/>
          <w:sz w:val="22"/>
          <w:szCs w:val="22"/>
        </w:rPr>
        <w:t>„</w:t>
      </w:r>
      <w:r w:rsidRPr="002D47FD">
        <w:rPr>
          <w:rFonts w:ascii="Arial" w:eastAsia="Verdana" w:hAnsi="Arial" w:cs="Arial"/>
          <w:i/>
          <w:sz w:val="22"/>
          <w:szCs w:val="22"/>
        </w:rPr>
        <w:t>Klient tímto souhlasí, aby společnost Deloitte Důvěrné informace sdělila (i) jakékoli Společnosti skupiny Deloitte (včetně Subdodavatelů) a jejich personálu pro jakýkoli účel, včetně správy takových Důvěrných informací (včetně používání interních databází) při dodržení příslušných nařízení o ochraně soukromí a databází a (ii) právním poradcům, auditorům a pojišťovnám, nebo jak může vyžadovat zákon, nařízení, právní nebo správní proces, nebo v souladu s příslušnými profesionálními standardy, nebo v souvislosti s potenciálním nebo skutečným zprostředkováním, arbitráží nebo soudním sporem</w:t>
      </w:r>
      <w:r w:rsidRPr="002D47FD">
        <w:rPr>
          <w:rFonts w:ascii="Arial" w:eastAsia="Verdana" w:hAnsi="Arial" w:cs="Arial"/>
          <w:sz w:val="22"/>
          <w:szCs w:val="22"/>
        </w:rPr>
        <w:t>.</w:t>
      </w:r>
      <w:r w:rsidRPr="002D47FD">
        <w:rPr>
          <w:rFonts w:ascii="Arial" w:eastAsia="Verdana" w:hAnsi="Arial" w:cs="Arial"/>
          <w:i/>
          <w:sz w:val="22"/>
          <w:szCs w:val="22"/>
        </w:rPr>
        <w:t>“</w:t>
      </w:r>
    </w:p>
    <w:p w14:paraId="6AC5FB59" w14:textId="77777777" w:rsidR="00670E86" w:rsidRPr="002D47FD" w:rsidRDefault="00670E86"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 xml:space="preserve">Článek 10 písm. d), první </w:t>
      </w:r>
      <w:r w:rsidR="007B06B8" w:rsidRPr="002D47FD">
        <w:rPr>
          <w:rFonts w:ascii="Arial" w:eastAsia="Verdana" w:hAnsi="Arial" w:cs="Arial"/>
          <w:sz w:val="22"/>
          <w:szCs w:val="22"/>
        </w:rPr>
        <w:t xml:space="preserve">a druhá </w:t>
      </w:r>
      <w:r w:rsidRPr="002D47FD">
        <w:rPr>
          <w:rFonts w:ascii="Arial" w:eastAsia="Verdana" w:hAnsi="Arial" w:cs="Arial"/>
          <w:sz w:val="22"/>
          <w:szCs w:val="22"/>
        </w:rPr>
        <w:t>věta Obchodních podmínek se mění a nově zní takto:</w:t>
      </w:r>
    </w:p>
    <w:p w14:paraId="484887C8" w14:textId="6926B8A3" w:rsidR="00670E86" w:rsidRPr="002D47FD" w:rsidRDefault="00670E86" w:rsidP="008B332A">
      <w:pPr>
        <w:pStyle w:val="smlouvabodytext"/>
        <w:keepLines w:val="0"/>
        <w:widowControl w:val="0"/>
        <w:ind w:left="709"/>
        <w:rPr>
          <w:rFonts w:ascii="Arial" w:eastAsia="Verdana" w:hAnsi="Arial" w:cs="Arial"/>
          <w:i/>
          <w:sz w:val="22"/>
          <w:szCs w:val="22"/>
        </w:rPr>
      </w:pPr>
      <w:r w:rsidRPr="002D47FD">
        <w:rPr>
          <w:rFonts w:ascii="Arial" w:eastAsia="Verdana" w:hAnsi="Arial" w:cs="Arial"/>
          <w:sz w:val="22"/>
          <w:szCs w:val="22"/>
        </w:rPr>
        <w:t>„</w:t>
      </w:r>
      <w:r w:rsidRPr="002D47FD">
        <w:rPr>
          <w:rFonts w:ascii="Arial" w:eastAsia="Verdana" w:hAnsi="Arial" w:cs="Arial"/>
          <w:i/>
          <w:sz w:val="22"/>
          <w:szCs w:val="22"/>
        </w:rPr>
        <w:t>Klient použije Výstup pouze pro účely specifikované ve Smlouvě nebo Výstupu, přičemž není zejména oprávněn bez předchozího písemného souhlasu (včetně souhlasu prostřednictvím emailu) Deloitte použít jakýkoli Výstup v souvislosti s obchodními rozhodnutími jakékoli třetí strany nebo pro reklamní účely</w:t>
      </w:r>
      <w:r w:rsidRPr="002D47FD">
        <w:rPr>
          <w:rFonts w:ascii="Arial" w:eastAsia="Verdana" w:hAnsi="Arial" w:cs="Arial"/>
          <w:sz w:val="22"/>
          <w:szCs w:val="22"/>
        </w:rPr>
        <w:t>.</w:t>
      </w:r>
      <w:r w:rsidR="007B06B8" w:rsidRPr="002D47FD">
        <w:rPr>
          <w:rFonts w:ascii="Arial" w:eastAsia="Verdana" w:hAnsi="Arial" w:cs="Arial"/>
          <w:i/>
          <w:sz w:val="22"/>
          <w:szCs w:val="22"/>
        </w:rPr>
        <w:t xml:space="preserve"> </w:t>
      </w:r>
      <w:r w:rsidRPr="002D47FD">
        <w:rPr>
          <w:rFonts w:ascii="Arial" w:eastAsia="Verdana" w:hAnsi="Arial" w:cs="Arial"/>
          <w:i/>
          <w:sz w:val="22"/>
          <w:szCs w:val="22"/>
        </w:rPr>
        <w:t>Veškeré Služby jsou určeny pouze ve</w:t>
      </w:r>
      <w:r w:rsidR="00424FFB" w:rsidRPr="002D47FD">
        <w:rPr>
          <w:rFonts w:ascii="Arial" w:eastAsia="Verdana" w:hAnsi="Arial" w:cs="Arial"/>
          <w:i/>
          <w:sz w:val="22"/>
          <w:szCs w:val="22"/>
        </w:rPr>
        <w:t xml:space="preserve"> prospěch</w:t>
      </w:r>
      <w:r w:rsidRPr="002D47FD">
        <w:rPr>
          <w:rFonts w:ascii="Arial" w:eastAsia="Verdana" w:hAnsi="Arial" w:cs="Arial"/>
          <w:i/>
          <w:sz w:val="22"/>
          <w:szCs w:val="22"/>
        </w:rPr>
        <w:t xml:space="preserve"> Klienta.“</w:t>
      </w:r>
    </w:p>
    <w:p w14:paraId="218DE6A4" w14:textId="77777777" w:rsidR="00424FFB" w:rsidRPr="002D47FD" w:rsidRDefault="00424FFB"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10 písm. f) Obchodních podmínek se nepoužije.</w:t>
      </w:r>
    </w:p>
    <w:p w14:paraId="5BD5D308" w14:textId="77777777" w:rsidR="00993223" w:rsidRPr="002D47FD" w:rsidRDefault="00993223"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11 písm. c) Obchodních podmínek se nepoužije.</w:t>
      </w:r>
    </w:p>
    <w:p w14:paraId="350DAF40" w14:textId="77777777" w:rsidR="00993223" w:rsidRPr="002D47FD" w:rsidRDefault="00993223"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13 písm. a) Obchodních podmínek se mění a nově zní takto:</w:t>
      </w:r>
    </w:p>
    <w:p w14:paraId="6908FFD1" w14:textId="6EE63C4C" w:rsidR="00993223" w:rsidRPr="002D47FD" w:rsidRDefault="00993223" w:rsidP="008B332A">
      <w:pPr>
        <w:pStyle w:val="smlouvabodytext"/>
        <w:keepLines w:val="0"/>
        <w:widowControl w:val="0"/>
        <w:ind w:left="709"/>
        <w:rPr>
          <w:rFonts w:ascii="Arial" w:eastAsia="Verdana" w:hAnsi="Arial" w:cs="Arial"/>
          <w:i/>
          <w:sz w:val="22"/>
          <w:szCs w:val="22"/>
        </w:rPr>
      </w:pPr>
      <w:r w:rsidRPr="002D47FD">
        <w:rPr>
          <w:rFonts w:ascii="Arial" w:eastAsia="Verdana" w:hAnsi="Arial" w:cs="Arial"/>
          <w:sz w:val="22"/>
          <w:szCs w:val="22"/>
        </w:rPr>
        <w:t>„</w:t>
      </w:r>
      <w:r w:rsidRPr="002D47FD">
        <w:rPr>
          <w:rFonts w:ascii="Arial" w:eastAsia="Verdana" w:hAnsi="Arial" w:cs="Arial"/>
          <w:i/>
          <w:sz w:val="22"/>
          <w:szCs w:val="22"/>
        </w:rPr>
        <w:t>Klient odškodní Deloitte za veškeré Nároky třetích stran (jak jsou definovány v ustanovení 6 výše), s výjimkou případů, kdy je pravomocným rozhodnutím soudu stanoveno, že škoda vznikla primárně úmyslným pochybením Deloitte.“</w:t>
      </w:r>
    </w:p>
    <w:p w14:paraId="194ADF67" w14:textId="77777777" w:rsidR="00993223" w:rsidRPr="002D47FD" w:rsidRDefault="00993223"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13 písm. b) Obchodních podmínek se mění a nově zní takto:</w:t>
      </w:r>
    </w:p>
    <w:p w14:paraId="68692A2A" w14:textId="11A41C1C" w:rsidR="00993223" w:rsidRPr="002D47FD" w:rsidRDefault="00993223" w:rsidP="008B332A">
      <w:pPr>
        <w:pStyle w:val="smlouvabodytext"/>
        <w:keepLines w:val="0"/>
        <w:widowControl w:val="0"/>
        <w:ind w:left="709"/>
        <w:rPr>
          <w:rFonts w:ascii="Arial" w:eastAsia="Verdana" w:hAnsi="Arial" w:cs="Arial"/>
          <w:i/>
          <w:sz w:val="22"/>
          <w:szCs w:val="22"/>
        </w:rPr>
      </w:pPr>
      <w:r w:rsidRPr="002D47FD">
        <w:rPr>
          <w:rFonts w:ascii="Arial" w:eastAsia="Verdana" w:hAnsi="Arial" w:cs="Arial"/>
          <w:sz w:val="22"/>
          <w:szCs w:val="22"/>
        </w:rPr>
        <w:t>„</w:t>
      </w:r>
      <w:r w:rsidRPr="002D47FD">
        <w:rPr>
          <w:rFonts w:ascii="Arial" w:eastAsia="Verdana" w:hAnsi="Arial" w:cs="Arial"/>
          <w:i/>
          <w:sz w:val="22"/>
          <w:szCs w:val="22"/>
        </w:rPr>
        <w:t>Za okolností, kdy jsou všechna nebo část ustanovení tohoto článku podle pravomocného rozhodnutí soudu považována za neplatná, celková odpovědnost Deloitte za veškeré Nároky nepřekročí částku, která odpovídá míře jejich zavinění v poměru k veškerým dalším příčinám vzniku takového Nároku.“</w:t>
      </w:r>
    </w:p>
    <w:p w14:paraId="25836C7E" w14:textId="77777777" w:rsidR="0020050B" w:rsidRPr="002D47FD" w:rsidRDefault="0020050B"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14 písm. a) Obchodních podmínek se mění a nově zní takto:</w:t>
      </w:r>
    </w:p>
    <w:p w14:paraId="3DE5F271" w14:textId="295EC577" w:rsidR="0020050B" w:rsidRPr="002D47FD" w:rsidRDefault="0020050B" w:rsidP="008B332A">
      <w:pPr>
        <w:pStyle w:val="smlouvabodytext"/>
        <w:keepLines w:val="0"/>
        <w:widowControl w:val="0"/>
        <w:ind w:left="709"/>
        <w:rPr>
          <w:rFonts w:ascii="Arial" w:eastAsia="Verdana" w:hAnsi="Arial" w:cs="Arial"/>
          <w:i/>
          <w:sz w:val="22"/>
          <w:szCs w:val="22"/>
        </w:rPr>
      </w:pPr>
      <w:r w:rsidRPr="002D47FD">
        <w:rPr>
          <w:rFonts w:ascii="Arial" w:eastAsia="Verdana" w:hAnsi="Arial" w:cs="Arial"/>
          <w:sz w:val="22"/>
          <w:szCs w:val="22"/>
        </w:rPr>
        <w:t>„</w:t>
      </w:r>
      <w:r w:rsidRPr="002D47FD">
        <w:rPr>
          <w:rFonts w:ascii="Arial" w:eastAsia="Verdana" w:hAnsi="Arial" w:cs="Arial"/>
          <w:i/>
          <w:sz w:val="22"/>
          <w:szCs w:val="22"/>
        </w:rPr>
        <w:t>Pokud není stanoveno písemně jinak, jsou Deloitte a Klient oprávněni používat řádně adresované faxy, emaily a hlasovou komunikaci pro citlivé i běžné dokumenty a další komunikaci o této Smlouvě i další komunikační prostředky používané nebo přijaté druhou stranou. Deloitte může také komunikovat elektronicky s příslušnými úřady, je-li to pro poskytované Služby relevantní.“</w:t>
      </w:r>
    </w:p>
    <w:p w14:paraId="3992BCA2" w14:textId="77777777" w:rsidR="0020050B" w:rsidRPr="002D47FD" w:rsidRDefault="0020050B"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14 písm. b), třetí až pátá věta Obchodních podmínek se mění a nově zní takto:</w:t>
      </w:r>
    </w:p>
    <w:p w14:paraId="4D5B55B0" w14:textId="2E63506D" w:rsidR="0020050B" w:rsidRPr="002D47FD" w:rsidRDefault="0020050B" w:rsidP="008B332A">
      <w:pPr>
        <w:pStyle w:val="smlouvabodytext"/>
        <w:keepLines w:val="0"/>
        <w:widowControl w:val="0"/>
        <w:ind w:left="709"/>
        <w:rPr>
          <w:rFonts w:ascii="Arial" w:eastAsia="Verdana" w:hAnsi="Arial" w:cs="Arial"/>
          <w:i/>
          <w:sz w:val="22"/>
          <w:szCs w:val="22"/>
        </w:rPr>
      </w:pPr>
      <w:r w:rsidRPr="002D47FD">
        <w:rPr>
          <w:rFonts w:ascii="Arial" w:eastAsia="Verdana" w:hAnsi="Arial" w:cs="Arial"/>
          <w:sz w:val="22"/>
          <w:szCs w:val="22"/>
        </w:rPr>
        <w:t>„</w:t>
      </w:r>
      <w:r w:rsidRPr="002D47FD">
        <w:rPr>
          <w:rFonts w:ascii="Arial" w:eastAsia="Verdana" w:hAnsi="Arial" w:cs="Arial"/>
          <w:i/>
          <w:sz w:val="22"/>
          <w:szCs w:val="22"/>
        </w:rPr>
        <w:t>Klient dále bere na vědomí, že aby mohl personál Deloitte pracov</w:t>
      </w:r>
      <w:r w:rsidR="00A51BDD" w:rsidRPr="002D47FD">
        <w:rPr>
          <w:rFonts w:ascii="Arial" w:eastAsia="Verdana" w:hAnsi="Arial" w:cs="Arial"/>
          <w:i/>
          <w:sz w:val="22"/>
          <w:szCs w:val="22"/>
        </w:rPr>
        <w:t>at účelně a efektivně</w:t>
      </w:r>
      <w:r w:rsidRPr="002D47FD">
        <w:rPr>
          <w:rFonts w:ascii="Arial" w:eastAsia="Verdana" w:hAnsi="Arial" w:cs="Arial"/>
          <w:i/>
          <w:sz w:val="22"/>
          <w:szCs w:val="22"/>
        </w:rPr>
        <w:t>, může potřebovat přístup k elektronickým datům Klienta a také k internetovým komunikačním zařízením Klienta pro účely Smlouvy. Deloitte bude mít přístup k interním sítím, aplikacím, datům nebo dalším systémům Klienta pouze pomocí koncového hardwaru nebo softwaru, který Klient společnosti Deloitte pro tento účel zpřístupní. Přístup k systémům Klienta ze strany personálu Deloitte bude umožněn pouze za takových podmínek, které Klient z vlastního rozhodnutí považuje za nezbytné na ochranu bezpečnosti a integrity svých dat a systémů za předpokladu, že jsou předem oznámeny a jsou pro Deloitte přijatelné</w:t>
      </w:r>
      <w:r w:rsidRPr="002D47FD">
        <w:rPr>
          <w:rFonts w:ascii="Arial" w:eastAsia="Verdana" w:hAnsi="Arial" w:cs="Arial"/>
          <w:sz w:val="22"/>
          <w:szCs w:val="22"/>
        </w:rPr>
        <w:t>.</w:t>
      </w:r>
      <w:r w:rsidRPr="002D47FD">
        <w:rPr>
          <w:rFonts w:ascii="Arial" w:eastAsia="Verdana" w:hAnsi="Arial" w:cs="Arial"/>
          <w:i/>
          <w:sz w:val="22"/>
          <w:szCs w:val="22"/>
        </w:rPr>
        <w:t>“</w:t>
      </w:r>
    </w:p>
    <w:p w14:paraId="43F31BAD" w14:textId="77777777" w:rsidR="00A51BDD" w:rsidRPr="002D47FD" w:rsidRDefault="00A51BDD"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14 písm. c), poslední věta Obchodních podmínek se mění a nově zní takto:</w:t>
      </w:r>
    </w:p>
    <w:p w14:paraId="60799469" w14:textId="3311322D" w:rsidR="00A51BDD" w:rsidRPr="002D47FD" w:rsidRDefault="00A51BDD" w:rsidP="008B332A">
      <w:pPr>
        <w:pStyle w:val="smlouvabodytext"/>
        <w:keepLines w:val="0"/>
        <w:widowControl w:val="0"/>
        <w:ind w:left="709"/>
        <w:rPr>
          <w:rFonts w:ascii="Arial" w:eastAsia="Verdana" w:hAnsi="Arial" w:cs="Arial"/>
          <w:i/>
          <w:sz w:val="22"/>
          <w:szCs w:val="22"/>
        </w:rPr>
      </w:pPr>
      <w:r w:rsidRPr="002D47FD">
        <w:rPr>
          <w:rFonts w:ascii="Arial" w:eastAsia="Verdana" w:hAnsi="Arial" w:cs="Arial"/>
          <w:sz w:val="22"/>
          <w:szCs w:val="22"/>
        </w:rPr>
        <w:t>„Každá strana bude odpovědná za ochranu svých vlastních systémů a zájmů a v maximálním rozsahu dovoleném zákonem nebude z žádného titulu (smlouva, občanskoprávní delikt či jinak) odpovědná druhé straně za jakoukoli ztrátu, škodu nebo opomenutí jakýmkoli způsobem vyplývající z používání internetu nebo z přístupu jakýchkoli zaměstnanců Společnosti skupiny Deloitte k sítím, aplikacím, elektronickým datům a jiným systémům Klienta.“</w:t>
      </w:r>
    </w:p>
    <w:p w14:paraId="333F74CF" w14:textId="77777777" w:rsidR="00527A62" w:rsidRPr="002D47FD" w:rsidRDefault="00527A62"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15, poslední věta Obchodních podmínek se nepoužije.</w:t>
      </w:r>
    </w:p>
    <w:p w14:paraId="2470FBEC" w14:textId="77777777" w:rsidR="00527A62" w:rsidRPr="002D47FD" w:rsidRDefault="00527A62"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21 písm. a) odst. (iii) Obchodních podmínek se nepoužije.</w:t>
      </w:r>
    </w:p>
    <w:p w14:paraId="1D7D5498" w14:textId="77777777" w:rsidR="00527A62" w:rsidRPr="002D47FD" w:rsidRDefault="00527A62"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25 Obchodních podmínek se nepoužije.</w:t>
      </w:r>
    </w:p>
    <w:p w14:paraId="6C23061C" w14:textId="77777777" w:rsidR="00527A62" w:rsidRPr="002D47FD" w:rsidRDefault="00527A62" w:rsidP="008B332A">
      <w:pPr>
        <w:pStyle w:val="smlouvabodytext"/>
        <w:keepLines w:val="0"/>
        <w:widowControl w:val="0"/>
        <w:numPr>
          <w:ilvl w:val="0"/>
          <w:numId w:val="3"/>
        </w:numPr>
        <w:tabs>
          <w:tab w:val="clear" w:pos="851"/>
          <w:tab w:val="left" w:pos="709"/>
        </w:tabs>
        <w:ind w:left="1418" w:hanging="1003"/>
        <w:rPr>
          <w:rFonts w:ascii="Arial" w:eastAsia="Verdana" w:hAnsi="Arial" w:cs="Arial"/>
          <w:sz w:val="22"/>
          <w:szCs w:val="22"/>
        </w:rPr>
      </w:pPr>
      <w:r w:rsidRPr="002D47FD">
        <w:rPr>
          <w:rFonts w:ascii="Arial" w:eastAsia="Verdana" w:hAnsi="Arial" w:cs="Arial"/>
          <w:sz w:val="22"/>
          <w:szCs w:val="22"/>
        </w:rPr>
        <w:t>Článek 26 Obchodních podmínek se nepoužije.</w:t>
      </w:r>
    </w:p>
    <w:p w14:paraId="16AE5789" w14:textId="77777777" w:rsidR="00A41AB5" w:rsidRPr="002D47FD" w:rsidRDefault="00A41AB5" w:rsidP="008B332A">
      <w:pPr>
        <w:pStyle w:val="smlouvabodytext"/>
        <w:keepLines w:val="0"/>
        <w:widowControl w:val="0"/>
        <w:tabs>
          <w:tab w:val="clear" w:pos="851"/>
          <w:tab w:val="left" w:pos="709"/>
        </w:tabs>
        <w:ind w:left="1418"/>
        <w:rPr>
          <w:rFonts w:ascii="Arial" w:eastAsia="Verdana" w:hAnsi="Arial" w:cs="Arial"/>
          <w:sz w:val="22"/>
          <w:szCs w:val="22"/>
        </w:rPr>
      </w:pPr>
    </w:p>
    <w:p w14:paraId="3960E3E2" w14:textId="77777777" w:rsidR="00F756C4" w:rsidRPr="002D47FD" w:rsidRDefault="00F756C4" w:rsidP="008B332A">
      <w:pPr>
        <w:pStyle w:val="smlouvabodytext"/>
        <w:keepLines w:val="0"/>
        <w:widowControl w:val="0"/>
        <w:ind w:left="709"/>
        <w:rPr>
          <w:rFonts w:ascii="Arial" w:eastAsia="Verdana" w:hAnsi="Arial" w:cs="Arial"/>
          <w:sz w:val="22"/>
          <w:szCs w:val="22"/>
        </w:rPr>
      </w:pPr>
    </w:p>
    <w:p w14:paraId="55132905" w14:textId="77777777" w:rsidR="00CA1EE8" w:rsidRPr="0082634A" w:rsidRDefault="00CA1EE8" w:rsidP="008B332A">
      <w:pPr>
        <w:pStyle w:val="smlouvabodytext"/>
        <w:keepLines w:val="0"/>
        <w:widowControl w:val="0"/>
        <w:ind w:left="709"/>
        <w:rPr>
          <w:rFonts w:eastAsia="Verdana"/>
          <w:szCs w:val="22"/>
        </w:rPr>
      </w:pPr>
    </w:p>
    <w:p w14:paraId="5B198F70" w14:textId="77777777" w:rsidR="00CA1EE8" w:rsidRPr="0082634A" w:rsidRDefault="00CA1EE8" w:rsidP="008B332A">
      <w:pPr>
        <w:pStyle w:val="smlouvabodytext"/>
        <w:keepLines w:val="0"/>
        <w:widowControl w:val="0"/>
        <w:tabs>
          <w:tab w:val="clear" w:pos="851"/>
          <w:tab w:val="left" w:pos="709"/>
        </w:tabs>
        <w:ind w:left="1418"/>
        <w:rPr>
          <w:rFonts w:eastAsia="Verdana"/>
          <w:szCs w:val="22"/>
        </w:rPr>
      </w:pPr>
    </w:p>
    <w:p w14:paraId="7EA0A7BB" w14:textId="77777777" w:rsidR="00CA1EE8" w:rsidRPr="0082634A" w:rsidRDefault="00CA1EE8" w:rsidP="008B332A">
      <w:pPr>
        <w:pStyle w:val="smlouvabodytext"/>
        <w:keepLines w:val="0"/>
        <w:widowControl w:val="0"/>
        <w:ind w:left="709"/>
        <w:rPr>
          <w:rFonts w:eastAsia="Verdana"/>
          <w:szCs w:val="22"/>
        </w:rPr>
      </w:pPr>
    </w:p>
    <w:p w14:paraId="744FAE49" w14:textId="77777777" w:rsidR="00C46036" w:rsidRPr="0082634A" w:rsidRDefault="00C46036" w:rsidP="008B332A">
      <w:pPr>
        <w:widowControl w:val="0"/>
        <w:rPr>
          <w:noProof/>
        </w:rPr>
      </w:pPr>
    </w:p>
    <w:sectPr w:rsidR="00C46036" w:rsidRPr="00826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48E260"/>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2CAA3454"/>
    <w:multiLevelType w:val="hybridMultilevel"/>
    <w:tmpl w:val="68CA70C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7E28068C"/>
    <w:multiLevelType w:val="multilevel"/>
    <w:tmpl w:val="8C5630D4"/>
    <w:lvl w:ilvl="0">
      <w:start w:val="1"/>
      <w:numFmt w:val="decimal"/>
      <w:pStyle w:val="Smlouvaheading1"/>
      <w:lvlText w:val="Článek %1."/>
      <w:lvlJc w:val="left"/>
      <w:pPr>
        <w:tabs>
          <w:tab w:val="num" w:pos="425"/>
        </w:tabs>
        <w:ind w:left="425" w:hanging="425"/>
      </w:pPr>
      <w:rPr>
        <w:rFonts w:hint="default"/>
      </w:rPr>
    </w:lvl>
    <w:lvl w:ilvl="1">
      <w:start w:val="1"/>
      <w:numFmt w:val="decimal"/>
      <w:pStyle w:val="Smlouvaheading2"/>
      <w:lvlText w:val="%1.%2"/>
      <w:lvlJc w:val="left"/>
      <w:pPr>
        <w:tabs>
          <w:tab w:val="num" w:pos="851"/>
        </w:tabs>
        <w:ind w:left="851" w:hanging="426"/>
      </w:pPr>
      <w:rPr>
        <w:rFonts w:hint="default"/>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4"/>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oitte">
    <w15:presenceInfo w15:providerId="None" w15:userId="Deloi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15"/>
    <w:rsid w:val="00103BB1"/>
    <w:rsid w:val="001E025F"/>
    <w:rsid w:val="0020050B"/>
    <w:rsid w:val="002D47FD"/>
    <w:rsid w:val="00424FFB"/>
    <w:rsid w:val="00527A62"/>
    <w:rsid w:val="00670E86"/>
    <w:rsid w:val="00717642"/>
    <w:rsid w:val="007B06B8"/>
    <w:rsid w:val="007F46A2"/>
    <w:rsid w:val="0082634A"/>
    <w:rsid w:val="008834AB"/>
    <w:rsid w:val="008B332A"/>
    <w:rsid w:val="008E0F5A"/>
    <w:rsid w:val="00993223"/>
    <w:rsid w:val="00A15DCF"/>
    <w:rsid w:val="00A41AB5"/>
    <w:rsid w:val="00A51BDD"/>
    <w:rsid w:val="00A669B0"/>
    <w:rsid w:val="00AA3D75"/>
    <w:rsid w:val="00B02D15"/>
    <w:rsid w:val="00BA0C08"/>
    <w:rsid w:val="00C46036"/>
    <w:rsid w:val="00CA1EE8"/>
    <w:rsid w:val="00E40168"/>
    <w:rsid w:val="00E56DBF"/>
    <w:rsid w:val="00F756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uiPriority w:val="99"/>
    <w:qFormat/>
    <w:rsid w:val="00B02D15"/>
    <w:pPr>
      <w:numPr>
        <w:numId w:val="1"/>
      </w:numPr>
      <w:tabs>
        <w:tab w:val="clear" w:pos="360"/>
      </w:tabs>
      <w:spacing w:after="0" w:line="240" w:lineRule="atLeast"/>
      <w:ind w:left="284" w:hanging="284"/>
      <w:contextualSpacing/>
    </w:pPr>
    <w:rPr>
      <w:rFonts w:ascii="Verdana" w:eastAsia="Verdana" w:hAnsi="Verdana" w:cs="Times New Roman"/>
      <w:sz w:val="18"/>
      <w:lang w:val="en-US"/>
    </w:rPr>
  </w:style>
  <w:style w:type="paragraph" w:customStyle="1" w:styleId="Smlouvaheading1">
    <w:name w:val="Smlouva heading 1"/>
    <w:basedOn w:val="Normln"/>
    <w:qFormat/>
    <w:rsid w:val="00B02D15"/>
    <w:pPr>
      <w:numPr>
        <w:numId w:val="2"/>
      </w:numPr>
      <w:spacing w:before="240" w:after="120" w:line="240" w:lineRule="atLeast"/>
      <w:jc w:val="both"/>
    </w:pPr>
    <w:rPr>
      <w:rFonts w:ascii="Verdana" w:eastAsia="Verdana" w:hAnsi="Verdana" w:cs="Times New Roman"/>
      <w:b/>
      <w:sz w:val="18"/>
      <w:lang w:val="en-US"/>
    </w:rPr>
  </w:style>
  <w:style w:type="paragraph" w:customStyle="1" w:styleId="Smlouvaheading2">
    <w:name w:val="Smlouva heading 2"/>
    <w:link w:val="Smlouvaheading2Char"/>
    <w:qFormat/>
    <w:rsid w:val="00B02D15"/>
    <w:pPr>
      <w:numPr>
        <w:ilvl w:val="1"/>
        <w:numId w:val="2"/>
      </w:numPr>
      <w:spacing w:before="120" w:after="120" w:line="240" w:lineRule="atLeast"/>
      <w:ind w:left="425" w:hanging="425"/>
      <w:jc w:val="both"/>
    </w:pPr>
    <w:rPr>
      <w:rFonts w:ascii="Verdana" w:eastAsia="Verdana" w:hAnsi="Verdana" w:cs="Times New Roman"/>
      <w:sz w:val="18"/>
      <w:lang w:val="en-US"/>
    </w:rPr>
  </w:style>
  <w:style w:type="character" w:customStyle="1" w:styleId="Smlouvaheading2Char">
    <w:name w:val="Smlouva heading 2 Char"/>
    <w:link w:val="Smlouvaheading2"/>
    <w:rsid w:val="00B02D15"/>
    <w:rPr>
      <w:rFonts w:ascii="Verdana" w:eastAsia="Verdana" w:hAnsi="Verdana" w:cs="Times New Roman"/>
      <w:sz w:val="18"/>
      <w:lang w:val="en-US"/>
    </w:rPr>
  </w:style>
  <w:style w:type="paragraph" w:customStyle="1" w:styleId="Smlouvaheading3">
    <w:name w:val="Smlouva heading 3"/>
    <w:qFormat/>
    <w:rsid w:val="00B02D15"/>
    <w:pPr>
      <w:numPr>
        <w:ilvl w:val="2"/>
        <w:numId w:val="2"/>
      </w:numPr>
      <w:spacing w:after="120" w:line="240" w:lineRule="atLeast"/>
      <w:ind w:left="1049" w:hanging="624"/>
      <w:jc w:val="both"/>
    </w:pPr>
    <w:rPr>
      <w:rFonts w:ascii="Verdana" w:eastAsia="Verdana" w:hAnsi="Verdana" w:cs="Times New Roman"/>
      <w:sz w:val="18"/>
      <w:lang w:val="en-US"/>
    </w:rPr>
  </w:style>
  <w:style w:type="paragraph" w:customStyle="1" w:styleId="Smlouvaheading4">
    <w:name w:val="Smlouva heading 4"/>
    <w:qFormat/>
    <w:rsid w:val="00B02D15"/>
    <w:pPr>
      <w:numPr>
        <w:ilvl w:val="3"/>
        <w:numId w:val="2"/>
      </w:numPr>
      <w:spacing w:after="120" w:line="240" w:lineRule="atLeast"/>
      <w:ind w:left="1843"/>
      <w:jc w:val="both"/>
    </w:pPr>
    <w:rPr>
      <w:rFonts w:ascii="Verdana" w:eastAsia="Verdana" w:hAnsi="Verdana" w:cs="Times New Roman"/>
      <w:sz w:val="18"/>
      <w:lang w:val="en-US"/>
    </w:rPr>
  </w:style>
  <w:style w:type="paragraph" w:customStyle="1" w:styleId="smlouvabodytext">
    <w:name w:val="smlouva body text"/>
    <w:basedOn w:val="Normln"/>
    <w:rsid w:val="00B02D15"/>
    <w:pPr>
      <w:keepLines/>
      <w:tabs>
        <w:tab w:val="left" w:pos="851"/>
      </w:tabs>
      <w:spacing w:after="240" w:line="240" w:lineRule="atLeast"/>
      <w:jc w:val="both"/>
    </w:pPr>
    <w:rPr>
      <w:rFonts w:ascii="Verdana" w:eastAsia="Times" w:hAnsi="Verdana" w:cs="Times New Roman"/>
      <w:noProof/>
      <w:sz w:val="18"/>
      <w:szCs w:val="18"/>
    </w:rPr>
  </w:style>
  <w:style w:type="paragraph" w:styleId="Textbubliny">
    <w:name w:val="Balloon Text"/>
    <w:basedOn w:val="Normln"/>
    <w:link w:val="TextbublinyChar"/>
    <w:uiPriority w:val="99"/>
    <w:semiHidden/>
    <w:unhideWhenUsed/>
    <w:rsid w:val="008B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332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uiPriority w:val="99"/>
    <w:qFormat/>
    <w:rsid w:val="00B02D15"/>
    <w:pPr>
      <w:numPr>
        <w:numId w:val="1"/>
      </w:numPr>
      <w:tabs>
        <w:tab w:val="clear" w:pos="360"/>
      </w:tabs>
      <w:spacing w:after="0" w:line="240" w:lineRule="atLeast"/>
      <w:ind w:left="284" w:hanging="284"/>
      <w:contextualSpacing/>
    </w:pPr>
    <w:rPr>
      <w:rFonts w:ascii="Verdana" w:eastAsia="Verdana" w:hAnsi="Verdana" w:cs="Times New Roman"/>
      <w:sz w:val="18"/>
      <w:lang w:val="en-US"/>
    </w:rPr>
  </w:style>
  <w:style w:type="paragraph" w:customStyle="1" w:styleId="Smlouvaheading1">
    <w:name w:val="Smlouva heading 1"/>
    <w:basedOn w:val="Normln"/>
    <w:qFormat/>
    <w:rsid w:val="00B02D15"/>
    <w:pPr>
      <w:numPr>
        <w:numId w:val="2"/>
      </w:numPr>
      <w:spacing w:before="240" w:after="120" w:line="240" w:lineRule="atLeast"/>
      <w:jc w:val="both"/>
    </w:pPr>
    <w:rPr>
      <w:rFonts w:ascii="Verdana" w:eastAsia="Verdana" w:hAnsi="Verdana" w:cs="Times New Roman"/>
      <w:b/>
      <w:sz w:val="18"/>
      <w:lang w:val="en-US"/>
    </w:rPr>
  </w:style>
  <w:style w:type="paragraph" w:customStyle="1" w:styleId="Smlouvaheading2">
    <w:name w:val="Smlouva heading 2"/>
    <w:link w:val="Smlouvaheading2Char"/>
    <w:qFormat/>
    <w:rsid w:val="00B02D15"/>
    <w:pPr>
      <w:numPr>
        <w:ilvl w:val="1"/>
        <w:numId w:val="2"/>
      </w:numPr>
      <w:spacing w:before="120" w:after="120" w:line="240" w:lineRule="atLeast"/>
      <w:ind w:left="425" w:hanging="425"/>
      <w:jc w:val="both"/>
    </w:pPr>
    <w:rPr>
      <w:rFonts w:ascii="Verdana" w:eastAsia="Verdana" w:hAnsi="Verdana" w:cs="Times New Roman"/>
      <w:sz w:val="18"/>
      <w:lang w:val="en-US"/>
    </w:rPr>
  </w:style>
  <w:style w:type="character" w:customStyle="1" w:styleId="Smlouvaheading2Char">
    <w:name w:val="Smlouva heading 2 Char"/>
    <w:link w:val="Smlouvaheading2"/>
    <w:rsid w:val="00B02D15"/>
    <w:rPr>
      <w:rFonts w:ascii="Verdana" w:eastAsia="Verdana" w:hAnsi="Verdana" w:cs="Times New Roman"/>
      <w:sz w:val="18"/>
      <w:lang w:val="en-US"/>
    </w:rPr>
  </w:style>
  <w:style w:type="paragraph" w:customStyle="1" w:styleId="Smlouvaheading3">
    <w:name w:val="Smlouva heading 3"/>
    <w:qFormat/>
    <w:rsid w:val="00B02D15"/>
    <w:pPr>
      <w:numPr>
        <w:ilvl w:val="2"/>
        <w:numId w:val="2"/>
      </w:numPr>
      <w:spacing w:after="120" w:line="240" w:lineRule="atLeast"/>
      <w:ind w:left="1049" w:hanging="624"/>
      <w:jc w:val="both"/>
    </w:pPr>
    <w:rPr>
      <w:rFonts w:ascii="Verdana" w:eastAsia="Verdana" w:hAnsi="Verdana" w:cs="Times New Roman"/>
      <w:sz w:val="18"/>
      <w:lang w:val="en-US"/>
    </w:rPr>
  </w:style>
  <w:style w:type="paragraph" w:customStyle="1" w:styleId="Smlouvaheading4">
    <w:name w:val="Smlouva heading 4"/>
    <w:qFormat/>
    <w:rsid w:val="00B02D15"/>
    <w:pPr>
      <w:numPr>
        <w:ilvl w:val="3"/>
        <w:numId w:val="2"/>
      </w:numPr>
      <w:spacing w:after="120" w:line="240" w:lineRule="atLeast"/>
      <w:ind w:left="1843"/>
      <w:jc w:val="both"/>
    </w:pPr>
    <w:rPr>
      <w:rFonts w:ascii="Verdana" w:eastAsia="Verdana" w:hAnsi="Verdana" w:cs="Times New Roman"/>
      <w:sz w:val="18"/>
      <w:lang w:val="en-US"/>
    </w:rPr>
  </w:style>
  <w:style w:type="paragraph" w:customStyle="1" w:styleId="smlouvabodytext">
    <w:name w:val="smlouva body text"/>
    <w:basedOn w:val="Normln"/>
    <w:rsid w:val="00B02D15"/>
    <w:pPr>
      <w:keepLines/>
      <w:tabs>
        <w:tab w:val="left" w:pos="851"/>
      </w:tabs>
      <w:spacing w:after="240" w:line="240" w:lineRule="atLeast"/>
      <w:jc w:val="both"/>
    </w:pPr>
    <w:rPr>
      <w:rFonts w:ascii="Verdana" w:eastAsia="Times" w:hAnsi="Verdana" w:cs="Times New Roman"/>
      <w:noProof/>
      <w:sz w:val="18"/>
      <w:szCs w:val="18"/>
    </w:rPr>
  </w:style>
  <w:style w:type="paragraph" w:styleId="Textbubliny">
    <w:name w:val="Balloon Text"/>
    <w:basedOn w:val="Normln"/>
    <w:link w:val="TextbublinyChar"/>
    <w:uiPriority w:val="99"/>
    <w:semiHidden/>
    <w:unhideWhenUsed/>
    <w:rsid w:val="008B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33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1438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Deloitte</dc:creator>
  <cp:lastModifiedBy>Monzerová Viola Mgr. (IPR/KRA)</cp:lastModifiedBy>
  <cp:revision>3</cp:revision>
  <dcterms:created xsi:type="dcterms:W3CDTF">2017-12-20T15:34:00Z</dcterms:created>
  <dcterms:modified xsi:type="dcterms:W3CDTF">2017-12-20T15:36:00Z</dcterms:modified>
</cp:coreProperties>
</file>