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8021671780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Žežulka David</w:t>
      </w:r>
      <w:r w:rsidRPr="00347E27">
        <w:rPr>
          <w:rFonts w:ascii="Arial" w:hAnsi="Arial" w:cs="Arial"/>
          <w:color w:val="000000"/>
          <w:sz w:val="22"/>
          <w:szCs w:val="22"/>
        </w:rPr>
        <w:t>, r.č. 75</w:t>
      </w:r>
      <w:r w:rsidR="00566B39">
        <w:rPr>
          <w:rFonts w:ascii="Arial" w:hAnsi="Arial" w:cs="Arial"/>
          <w:color w:val="000000"/>
          <w:sz w:val="22"/>
          <w:szCs w:val="22"/>
        </w:rPr>
        <w:t>xxxx</w:t>
      </w:r>
      <w:r w:rsidRPr="00347E27">
        <w:rPr>
          <w:rFonts w:ascii="Arial" w:hAnsi="Arial" w:cs="Arial"/>
          <w:color w:val="000000"/>
          <w:sz w:val="22"/>
          <w:szCs w:val="22"/>
        </w:rPr>
        <w:t>/</w:t>
      </w:r>
      <w:r w:rsidR="00566B39">
        <w:rPr>
          <w:rFonts w:ascii="Arial" w:hAnsi="Arial" w:cs="Arial"/>
          <w:color w:val="000000"/>
          <w:sz w:val="22"/>
          <w:szCs w:val="22"/>
        </w:rPr>
        <w:t>xxxx</w:t>
      </w:r>
      <w:r w:rsidRPr="00347E27">
        <w:rPr>
          <w:rFonts w:ascii="Arial" w:hAnsi="Arial" w:cs="Arial"/>
          <w:color w:val="000000"/>
          <w:sz w:val="22"/>
          <w:szCs w:val="22"/>
        </w:rPr>
        <w:t xml:space="preserve">, </w:t>
      </w:r>
      <w:r w:rsidR="00566B39">
        <w:rPr>
          <w:rFonts w:ascii="Arial" w:hAnsi="Arial" w:cs="Arial"/>
          <w:color w:val="000000"/>
          <w:sz w:val="22"/>
          <w:szCs w:val="22"/>
        </w:rPr>
        <w:t>xxxxxxxxxxxxxxxxxxxxxxx</w:t>
      </w:r>
      <w:bookmarkStart w:id="0" w:name="_GoBack"/>
      <w:bookmarkEnd w:id="0"/>
      <w:r w:rsidRPr="00347E27">
        <w:rPr>
          <w:rFonts w:ascii="Arial" w:hAnsi="Arial" w:cs="Arial"/>
          <w:color w:val="000000"/>
          <w:sz w:val="22"/>
          <w:szCs w:val="22"/>
        </w:rPr>
        <w:t>, Beroun, PSČ 26601</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rsidR="00B46979" w:rsidRDefault="00B46979">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8021671780</w:t>
      </w:r>
    </w:p>
    <w:p w:rsidR="00EC7974" w:rsidRDefault="00EC7974">
      <w:pPr>
        <w:widowControl/>
        <w:rPr>
          <w:rFonts w:ascii="Arial" w:hAnsi="Arial" w:cs="Arial"/>
          <w:color w:val="000000"/>
          <w:sz w:val="22"/>
          <w:szCs w:val="22"/>
        </w:rPr>
      </w:pPr>
    </w:p>
    <w:p w:rsidR="00B46979" w:rsidRPr="00347E27" w:rsidRDefault="00B46979">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r>
      <w:r w:rsidR="00B46979">
        <w:rPr>
          <w:rFonts w:ascii="Arial" w:hAnsi="Arial" w:cs="Arial"/>
          <w:sz w:val="22"/>
          <w:szCs w:val="22"/>
        </w:rPr>
        <w:t xml:space="preserve">            </w:t>
      </w:r>
      <w:r w:rsidRPr="00347E27">
        <w:rPr>
          <w:rFonts w:ascii="Arial" w:hAnsi="Arial" w:cs="Arial"/>
          <w:sz w:val="22"/>
          <w:szCs w:val="22"/>
        </w:rPr>
        <w:t xml:space="preserve">Katastrální území </w:t>
      </w:r>
      <w:r w:rsidRPr="00347E27">
        <w:rPr>
          <w:rFonts w:ascii="Arial" w:hAnsi="Arial" w:cs="Arial"/>
          <w:sz w:val="22"/>
          <w:szCs w:val="22"/>
        </w:rPr>
        <w:tab/>
      </w:r>
      <w:r w:rsidR="00B46979">
        <w:rPr>
          <w:rFonts w:ascii="Arial" w:hAnsi="Arial" w:cs="Arial"/>
          <w:sz w:val="22"/>
          <w:szCs w:val="22"/>
        </w:rPr>
        <w:t xml:space="preserve">       </w:t>
      </w:r>
      <w:r w:rsidRPr="00347E27">
        <w:rPr>
          <w:rFonts w:ascii="Arial" w:hAnsi="Arial" w:cs="Arial"/>
          <w:sz w:val="22"/>
          <w:szCs w:val="22"/>
        </w:rPr>
        <w:t>Parcelní číslo</w:t>
      </w:r>
      <w:r w:rsidRPr="00347E27">
        <w:rPr>
          <w:rFonts w:ascii="Arial" w:hAnsi="Arial" w:cs="Arial"/>
          <w:sz w:val="22"/>
          <w:szCs w:val="22"/>
        </w:rPr>
        <w:tab/>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B46979">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B46979">
        <w:rPr>
          <w:rFonts w:ascii="Arial" w:hAnsi="Arial" w:cs="Arial"/>
          <w:sz w:val="18"/>
          <w:szCs w:val="18"/>
        </w:rPr>
        <w:t xml:space="preserve">            </w:t>
      </w:r>
      <w:r w:rsidRPr="00347E27">
        <w:rPr>
          <w:rFonts w:ascii="Arial" w:hAnsi="Arial" w:cs="Arial"/>
          <w:sz w:val="18"/>
          <w:szCs w:val="18"/>
        </w:rPr>
        <w:t>2132/160</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B46979">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B46979">
        <w:rPr>
          <w:rFonts w:ascii="Arial" w:hAnsi="Arial" w:cs="Arial"/>
          <w:sz w:val="18"/>
          <w:szCs w:val="18"/>
        </w:rPr>
        <w:t xml:space="preserve">            </w:t>
      </w:r>
      <w:r w:rsidRPr="00347E27">
        <w:rPr>
          <w:rFonts w:ascii="Arial" w:hAnsi="Arial" w:cs="Arial"/>
          <w:sz w:val="18"/>
          <w:szCs w:val="18"/>
        </w:rPr>
        <w:t>2132/167</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00B46979">
        <w:rPr>
          <w:rFonts w:ascii="Arial" w:hAnsi="Arial" w:cs="Arial"/>
          <w:sz w:val="22"/>
          <w:szCs w:val="22"/>
        </w:rPr>
        <w:t xml:space="preserve">Vlastnické právo k převáděným </w:t>
      </w:r>
      <w:r w:rsidRPr="00347E27">
        <w:rPr>
          <w:rFonts w:ascii="Arial" w:hAnsi="Arial" w:cs="Arial"/>
          <w:sz w:val="22"/>
          <w:szCs w:val="22"/>
        </w:rPr>
        <w:t>pozemkům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IV.</w:t>
      </w:r>
    </w:p>
    <w:p w:rsidR="00EC73A9" w:rsidRPr="00A87E93" w:rsidRDefault="00B46979" w:rsidP="00EC73A9">
      <w:pPr>
        <w:widowControl/>
        <w:jc w:val="both"/>
        <w:rPr>
          <w:rFonts w:ascii="Arial" w:hAnsi="Arial" w:cs="Arial"/>
          <w:sz w:val="22"/>
          <w:szCs w:val="22"/>
        </w:rPr>
      </w:pPr>
      <w:r>
        <w:rPr>
          <w:rFonts w:ascii="Arial" w:hAnsi="Arial" w:cs="Arial"/>
          <w:sz w:val="22"/>
          <w:szCs w:val="22"/>
        </w:rPr>
        <w:tab/>
        <w:t xml:space="preserve">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850"/>
        <w:gridCol w:w="1843"/>
        <w:gridCol w:w="1701"/>
        <w:gridCol w:w="1701"/>
      </w:tblGrid>
      <w:tr w:rsidR="00B865E1" w:rsidRPr="00A87E93" w:rsidTr="00B46979">
        <w:tc>
          <w:tcPr>
            <w:tcW w:w="2127"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Parc.č.</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B46979">
        <w:tc>
          <w:tcPr>
            <w:tcW w:w="2127"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2132/160</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1/2</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72 225,00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7 222,00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65 003,00 Kč</w:t>
            </w:r>
          </w:p>
        </w:tc>
      </w:tr>
      <w:tr w:rsidR="00B865E1" w:rsidRPr="00A87E93" w:rsidTr="00B46979">
        <w:tc>
          <w:tcPr>
            <w:tcW w:w="2127"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2132/167</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1/107</w:t>
            </w:r>
          </w:p>
        </w:tc>
        <w:tc>
          <w:tcPr>
            <w:tcW w:w="1843" w:type="dxa"/>
          </w:tcPr>
          <w:p w:rsidR="00B865E1" w:rsidRPr="00A87E93" w:rsidRDefault="00B46979">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762,00 Kč</w:t>
            </w:r>
          </w:p>
        </w:tc>
        <w:tc>
          <w:tcPr>
            <w:tcW w:w="1701" w:type="dxa"/>
          </w:tcPr>
          <w:p w:rsidR="00B865E1" w:rsidRPr="00A87E93" w:rsidRDefault="00B46979">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76,00 Kč</w:t>
            </w:r>
          </w:p>
        </w:tc>
        <w:tc>
          <w:tcPr>
            <w:tcW w:w="1701" w:type="dxa"/>
          </w:tcPr>
          <w:p w:rsidR="00B865E1" w:rsidRPr="00A87E93" w:rsidRDefault="00B46979">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686,00 Kč</w:t>
            </w:r>
          </w:p>
        </w:tc>
      </w:tr>
    </w:tbl>
    <w:p w:rsidR="00B865E1" w:rsidRPr="00A87E93"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A87E93" w:rsidTr="003A7FBC">
        <w:tc>
          <w:tcPr>
            <w:tcW w:w="411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72 987,00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7 298,00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65 689,00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7 298,00 Kč (slovy: sedm tisíc dvě stě devadesát osm korun českých) kupující zaplatil prodávajícímu před podpisem této smlouvy formou zálohy na úhradu kupní ceny, zbývající část, to jest částka ve výši 65 689,00 Kč (slovy: šedesát pět tisíc šest set osmdesát devět korun českých) bude uhrazena do </w:t>
      </w:r>
      <w:r w:rsidR="00805F71" w:rsidRPr="00A87E93">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-li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EC73A9">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1465D5" w:rsidRDefault="001465D5">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rsidP="00B46979">
      <w:pPr>
        <w:widowControl/>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lastRenderedPageBreak/>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00B46979">
        <w:rPr>
          <w:rFonts w:ascii="Arial" w:hAnsi="Arial" w:cs="Arial"/>
          <w:color w:val="000000"/>
          <w:sz w:val="22"/>
          <w:szCs w:val="22"/>
        </w:rPr>
        <w:t>upující obdrží 1 stejnopis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Pr="00347E27">
        <w:rPr>
          <w:rFonts w:ascii="Arial" w:hAnsi="Arial" w:cs="Arial"/>
          <w:sz w:val="22"/>
          <w:szCs w:val="22"/>
        </w:rPr>
        <w:tab/>
        <w:t xml:space="preserve">V </w:t>
      </w:r>
      <w:r w:rsidR="00B46979">
        <w:rPr>
          <w:rFonts w:ascii="Arial" w:hAnsi="Arial" w:cs="Arial"/>
          <w:sz w:val="22"/>
          <w:szCs w:val="22"/>
        </w:rPr>
        <w:t>Praze</w:t>
      </w:r>
      <w:r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Žežulka David</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CE0146" w:rsidRDefault="00CE0146" w:rsidP="00B46979">
      <w:pPr>
        <w:widowControl/>
        <w:ind w:left="5104" w:hanging="5104"/>
        <w:rPr>
          <w:rFonts w:ascii="Arial" w:hAnsi="Arial" w:cs="Arial"/>
          <w:sz w:val="22"/>
          <w:szCs w:val="22"/>
        </w:rPr>
      </w:pPr>
      <w:r>
        <w:rPr>
          <w:rFonts w:ascii="Arial" w:hAnsi="Arial" w:cs="Arial"/>
          <w:sz w:val="22"/>
          <w:szCs w:val="22"/>
        </w:rPr>
        <w:t>p</w:t>
      </w:r>
      <w:r w:rsidR="00EC7974" w:rsidRPr="00347E27">
        <w:rPr>
          <w:rFonts w:ascii="Arial" w:hAnsi="Arial" w:cs="Arial"/>
          <w:sz w:val="22"/>
          <w:szCs w:val="22"/>
        </w:rPr>
        <w:t>rodávající</w:t>
      </w:r>
    </w:p>
    <w:p w:rsidR="00B46979" w:rsidRDefault="00EC7974" w:rsidP="00B46979">
      <w:pPr>
        <w:widowControl/>
        <w:ind w:left="5104" w:hanging="5104"/>
        <w:rPr>
          <w:rFonts w:ascii="Arial" w:hAnsi="Arial" w:cs="Arial"/>
          <w:sz w:val="22"/>
          <w:szCs w:val="22"/>
        </w:rPr>
      </w:pPr>
      <w:r w:rsidRPr="00347E27">
        <w:rPr>
          <w:rFonts w:ascii="Arial" w:hAnsi="Arial" w:cs="Arial"/>
          <w:sz w:val="22"/>
          <w:szCs w:val="22"/>
        </w:rPr>
        <w:tab/>
      </w:r>
    </w:p>
    <w:p w:rsidR="00EC7974" w:rsidRPr="00347E27" w:rsidRDefault="00EC7974" w:rsidP="00B46979">
      <w:pPr>
        <w:widowControl/>
        <w:ind w:left="5104" w:hanging="5104"/>
        <w:rPr>
          <w:rFonts w:ascii="Arial" w:hAnsi="Arial" w:cs="Arial"/>
          <w:sz w:val="22"/>
          <w:szCs w:val="22"/>
        </w:rPr>
      </w:pPr>
      <w:r w:rsidRPr="00347E27">
        <w:rPr>
          <w:rFonts w:ascii="Arial" w:hAnsi="Arial" w:cs="Arial"/>
          <w:sz w:val="22"/>
          <w:szCs w:val="22"/>
        </w:rPr>
        <w:lastRenderedPageBreak/>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903380, 904080</w:t>
      </w:r>
      <w:r w:rsidRPr="00347E27">
        <w:rPr>
          <w:rFonts w:ascii="Arial" w:hAnsi="Arial" w:cs="Arial"/>
          <w:color w:val="000000"/>
          <w:sz w:val="22"/>
          <w:szCs w:val="22"/>
        </w:rPr>
        <w:br/>
      </w: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Default="009D36E4">
      <w:pPr>
        <w:widowControl/>
        <w:tabs>
          <w:tab w:val="left" w:pos="120"/>
        </w:tabs>
        <w:jc w:val="both"/>
        <w:rPr>
          <w:rFonts w:ascii="Arial" w:hAnsi="Arial" w:cs="Arial"/>
          <w:sz w:val="22"/>
          <w:szCs w:val="22"/>
        </w:rPr>
      </w:pPr>
    </w:p>
    <w:p w:rsidR="00B46979" w:rsidRPr="00347E27" w:rsidRDefault="00B46979">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Default="007D2161"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Default="00B46979" w:rsidP="007D2161">
      <w:pPr>
        <w:widowControl/>
        <w:rPr>
          <w:rFonts w:ascii="Arial" w:hAnsi="Arial" w:cs="Arial"/>
          <w:sz w:val="22"/>
          <w:szCs w:val="22"/>
        </w:rPr>
      </w:pPr>
    </w:p>
    <w:p w:rsidR="00B46979" w:rsidRPr="00347E27" w:rsidRDefault="00B46979"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B46979">
      <w:pPr>
        <w:jc w:val="both"/>
        <w:rPr>
          <w:rFonts w:ascii="Arial" w:hAnsi="Arial" w:cs="Arial"/>
          <w:sz w:val="22"/>
          <w:szCs w:val="22"/>
        </w:rPr>
      </w:pPr>
      <w:r w:rsidRPr="00347E27">
        <w:rPr>
          <w:rFonts w:ascii="Arial" w:hAnsi="Arial" w:cs="Arial"/>
          <w:sz w:val="22"/>
          <w:szCs w:val="22"/>
        </w:rPr>
        <w:t>V</w:t>
      </w:r>
      <w:r w:rsidR="00B46979">
        <w:rPr>
          <w:rFonts w:ascii="Arial" w:hAnsi="Arial" w:cs="Arial"/>
          <w:sz w:val="22"/>
          <w:szCs w:val="22"/>
        </w:rPr>
        <w:t> Praze, dne</w:t>
      </w:r>
    </w:p>
    <w:p w:rsidR="007D2161" w:rsidRPr="00347E27" w:rsidRDefault="007D2161">
      <w:pPr>
        <w:widowControl/>
        <w:rPr>
          <w:rFonts w:ascii="Arial" w:hAnsi="Arial" w:cs="Arial"/>
          <w:sz w:val="22"/>
          <w:szCs w:val="22"/>
        </w:rPr>
      </w:pPr>
    </w:p>
    <w:sectPr w:rsidR="007D2161" w:rsidRPr="00347E2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979" w:rsidRDefault="00B46979">
      <w:r>
        <w:separator/>
      </w:r>
    </w:p>
  </w:endnote>
  <w:endnote w:type="continuationSeparator" w:id="0">
    <w:p w:rsidR="00B46979" w:rsidRDefault="00B4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79" w:rsidRDefault="00B46979">
    <w:pPr>
      <w:pStyle w:val="Zpat"/>
      <w:jc w:val="center"/>
    </w:pPr>
    <w:r>
      <w:fldChar w:fldCharType="begin"/>
    </w:r>
    <w:r>
      <w:instrText>PAGE   \* MERGEFORMAT</w:instrText>
    </w:r>
    <w:r>
      <w:fldChar w:fldCharType="separate"/>
    </w:r>
    <w:r w:rsidR="00566B39">
      <w:rPr>
        <w:noProof/>
      </w:rPr>
      <w:t>1</w:t>
    </w:r>
    <w:r>
      <w:fldChar w:fldCharType="end"/>
    </w:r>
  </w:p>
  <w:p w:rsidR="00B46979" w:rsidRDefault="00B469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979" w:rsidRDefault="00B46979">
      <w:r>
        <w:separator/>
      </w:r>
    </w:p>
  </w:footnote>
  <w:footnote w:type="continuationSeparator" w:id="0">
    <w:p w:rsidR="00B46979" w:rsidRDefault="00B4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1465D5"/>
    <w:rsid w:val="002055A2"/>
    <w:rsid w:val="002B17B7"/>
    <w:rsid w:val="00347E27"/>
    <w:rsid w:val="003552D8"/>
    <w:rsid w:val="00365707"/>
    <w:rsid w:val="003A7FBC"/>
    <w:rsid w:val="003C0072"/>
    <w:rsid w:val="0040101C"/>
    <w:rsid w:val="00480DC8"/>
    <w:rsid w:val="00550621"/>
    <w:rsid w:val="0055415A"/>
    <w:rsid w:val="00566AF0"/>
    <w:rsid w:val="00566B39"/>
    <w:rsid w:val="007706AE"/>
    <w:rsid w:val="007D2161"/>
    <w:rsid w:val="007F6A10"/>
    <w:rsid w:val="00805F71"/>
    <w:rsid w:val="008D25D8"/>
    <w:rsid w:val="009014BF"/>
    <w:rsid w:val="009939DC"/>
    <w:rsid w:val="009C2A8A"/>
    <w:rsid w:val="009C4385"/>
    <w:rsid w:val="009D36E4"/>
    <w:rsid w:val="00A31C3B"/>
    <w:rsid w:val="00A87E93"/>
    <w:rsid w:val="00A92622"/>
    <w:rsid w:val="00B46979"/>
    <w:rsid w:val="00B473AF"/>
    <w:rsid w:val="00B865E1"/>
    <w:rsid w:val="00BC0356"/>
    <w:rsid w:val="00C324D0"/>
    <w:rsid w:val="00C4400F"/>
    <w:rsid w:val="00C9419D"/>
    <w:rsid w:val="00CA6C41"/>
    <w:rsid w:val="00CA7A1D"/>
    <w:rsid w:val="00CB20ED"/>
    <w:rsid w:val="00CE0146"/>
    <w:rsid w:val="00DF2489"/>
    <w:rsid w:val="00E13839"/>
    <w:rsid w:val="00E76447"/>
    <w:rsid w:val="00EC73A9"/>
    <w:rsid w:val="00EC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C0D6B"/>
  <w14:defaultImageDpi w14:val="0"/>
  <w15:docId w15:val="{8C50EF6F-BB2D-4A4F-8D37-E6836310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B46979"/>
    <w:rPr>
      <w:rFonts w:ascii="Segoe UI" w:hAnsi="Segoe UI" w:cs="Segoe UI"/>
      <w:sz w:val="18"/>
      <w:szCs w:val="18"/>
    </w:rPr>
  </w:style>
  <w:style w:type="character" w:customStyle="1" w:styleId="TextbublinyChar">
    <w:name w:val="Text bubliny Char"/>
    <w:basedOn w:val="Standardnpsmoodstavce"/>
    <w:link w:val="Textbubliny"/>
    <w:uiPriority w:val="99"/>
    <w:rsid w:val="00B46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01490">
      <w:marLeft w:val="0"/>
      <w:marRight w:val="0"/>
      <w:marTop w:val="0"/>
      <w:marBottom w:val="0"/>
      <w:divBdr>
        <w:top w:val="none" w:sz="0" w:space="0" w:color="auto"/>
        <w:left w:val="none" w:sz="0" w:space="0" w:color="auto"/>
        <w:bottom w:val="none" w:sz="0" w:space="0" w:color="auto"/>
        <w:right w:val="none" w:sz="0" w:space="0" w:color="auto"/>
      </w:divBdr>
    </w:div>
    <w:div w:id="764501491">
      <w:marLeft w:val="0"/>
      <w:marRight w:val="0"/>
      <w:marTop w:val="0"/>
      <w:marBottom w:val="0"/>
      <w:divBdr>
        <w:top w:val="none" w:sz="0" w:space="0" w:color="auto"/>
        <w:left w:val="none" w:sz="0" w:space="0" w:color="auto"/>
        <w:bottom w:val="none" w:sz="0" w:space="0" w:color="auto"/>
        <w:right w:val="none" w:sz="0" w:space="0" w:color="auto"/>
      </w:divBdr>
    </w:div>
    <w:div w:id="764501492">
      <w:marLeft w:val="0"/>
      <w:marRight w:val="0"/>
      <w:marTop w:val="0"/>
      <w:marBottom w:val="0"/>
      <w:divBdr>
        <w:top w:val="none" w:sz="0" w:space="0" w:color="auto"/>
        <w:left w:val="none" w:sz="0" w:space="0" w:color="auto"/>
        <w:bottom w:val="none" w:sz="0" w:space="0" w:color="auto"/>
        <w:right w:val="none" w:sz="0" w:space="0" w:color="auto"/>
      </w:divBdr>
    </w:div>
    <w:div w:id="764501493">
      <w:marLeft w:val="0"/>
      <w:marRight w:val="0"/>
      <w:marTop w:val="0"/>
      <w:marBottom w:val="0"/>
      <w:divBdr>
        <w:top w:val="none" w:sz="0" w:space="0" w:color="auto"/>
        <w:left w:val="none" w:sz="0" w:space="0" w:color="auto"/>
        <w:bottom w:val="none" w:sz="0" w:space="0" w:color="auto"/>
        <w:right w:val="none" w:sz="0" w:space="0" w:color="auto"/>
      </w:divBdr>
    </w:div>
    <w:div w:id="7645014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8112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2018-01-08T12:46:00Z</cp:lastPrinted>
  <dcterms:created xsi:type="dcterms:W3CDTF">2018-01-11T12:52:00Z</dcterms:created>
  <dcterms:modified xsi:type="dcterms:W3CDTF">2018-01-11T12:52:00Z</dcterms:modified>
</cp:coreProperties>
</file>