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EC6" w:rsidRDefault="00601FAB" w:rsidP="00601FAB">
      <w:pPr>
        <w:spacing w:after="183"/>
        <w:ind w:right="1270"/>
        <w:jc w:val="center"/>
      </w:pPr>
      <w:r>
        <w:rPr>
          <w:sz w:val="28"/>
        </w:rPr>
        <w:t xml:space="preserve">               </w:t>
      </w:r>
      <w:r w:rsidR="00DD76AD">
        <w:rPr>
          <w:sz w:val="28"/>
        </w:rPr>
        <w:t xml:space="preserve">     </w:t>
      </w:r>
      <w:r>
        <w:rPr>
          <w:sz w:val="28"/>
        </w:rPr>
        <w:t xml:space="preserve"> ŘEDITELSTVÍ S</w:t>
      </w:r>
      <w:r w:rsidR="005A73AA">
        <w:rPr>
          <w:sz w:val="28"/>
        </w:rPr>
        <w:t>ILNIC A DÁLNIC ČR</w:t>
      </w:r>
    </w:p>
    <w:p w:rsidR="002B2EC6" w:rsidRDefault="00601FAB">
      <w:pPr>
        <w:pStyle w:val="Nadpis1"/>
      </w:pPr>
      <w:r>
        <w:t>OBJEDNÁVKA (SMLOUV</w:t>
      </w:r>
      <w:r w:rsidR="005A73AA">
        <w:t>A)</w:t>
      </w:r>
    </w:p>
    <w:p w:rsidR="002B2EC6" w:rsidRPr="00601FAB" w:rsidRDefault="005A73AA" w:rsidP="00601FAB">
      <w:pPr>
        <w:spacing w:after="0" w:line="269" w:lineRule="auto"/>
        <w:ind w:left="2952" w:right="2354" w:hanging="122"/>
        <w:rPr>
          <w:highlight w:val="black"/>
        </w:rPr>
      </w:pPr>
      <w:r>
        <w:t xml:space="preserve">Číslo objednatele: 06EU-003501 </w:t>
      </w:r>
      <w:r w:rsidR="00601FAB">
        <w:t xml:space="preserve">                </w:t>
      </w:r>
      <w:r>
        <w:t xml:space="preserve">číslo dodavatele: </w:t>
      </w:r>
      <w:r w:rsidRPr="00601FAB">
        <w:rPr>
          <w:highlight w:val="black"/>
        </w:rPr>
        <w:t>17N00200x</w:t>
      </w:r>
    </w:p>
    <w:p w:rsidR="002B2EC6" w:rsidRPr="00601FAB" w:rsidRDefault="005A73AA">
      <w:pPr>
        <w:spacing w:after="356"/>
        <w:ind w:left="22"/>
        <w:jc w:val="center"/>
        <w:rPr>
          <w:highlight w:val="black"/>
        </w:rPr>
      </w:pPr>
      <w:r>
        <w:t xml:space="preserve">ISPROFIN: </w:t>
      </w:r>
      <w:r w:rsidRPr="00601FAB">
        <w:rPr>
          <w:highlight w:val="black"/>
        </w:rPr>
        <w:t>5001210002.16978.1819</w:t>
      </w:r>
    </w:p>
    <w:p w:rsidR="002B2EC6" w:rsidRDefault="005A73AA">
      <w:pPr>
        <w:spacing w:after="354"/>
        <w:ind w:right="7"/>
        <w:jc w:val="center"/>
      </w:pPr>
      <w:r>
        <w:rPr>
          <w:sz w:val="28"/>
        </w:rPr>
        <w:t>Název zakázky: „</w:t>
      </w:r>
      <w:r>
        <w:rPr>
          <w:sz w:val="28"/>
          <w:u w:val="single" w:color="000000"/>
        </w:rPr>
        <w:t>I/26 Staňkov, přeložka — speciální bezpečnostní inspekce”</w:t>
      </w:r>
    </w:p>
    <w:tbl>
      <w:tblPr>
        <w:tblStyle w:val="TableGrid"/>
        <w:tblW w:w="8302" w:type="dxa"/>
        <w:tblInd w:w="2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22"/>
        <w:gridCol w:w="3780"/>
      </w:tblGrid>
      <w:tr w:rsidR="002B2EC6">
        <w:trPr>
          <w:trHeight w:val="246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2B2EC6" w:rsidRDefault="005A73AA">
            <w:pPr>
              <w:spacing w:after="0"/>
            </w:pPr>
            <w:r>
              <w:rPr>
                <w:sz w:val="26"/>
              </w:rPr>
              <w:t>Objednatel: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2EC6" w:rsidRDefault="005A73AA">
            <w:pPr>
              <w:spacing w:after="0"/>
              <w:ind w:left="130"/>
            </w:pPr>
            <w:r>
              <w:t>Obchodní jméno:</w:t>
            </w:r>
          </w:p>
        </w:tc>
      </w:tr>
      <w:tr w:rsidR="002B2EC6">
        <w:trPr>
          <w:trHeight w:val="272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2B2EC6" w:rsidRDefault="005A73AA">
            <w:pPr>
              <w:spacing w:after="0"/>
            </w:pPr>
            <w:r>
              <w:t>Ředitelství silnic a dálnic ČR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2EC6" w:rsidRDefault="005A73AA">
            <w:pPr>
              <w:spacing w:after="0"/>
              <w:ind w:left="122"/>
            </w:pPr>
            <w:r>
              <w:t>NOVÁK &amp; PARTNER, s.r.o.</w:t>
            </w:r>
          </w:p>
        </w:tc>
      </w:tr>
      <w:tr w:rsidR="002B2EC6">
        <w:trPr>
          <w:trHeight w:val="278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2B2EC6" w:rsidRDefault="005A73AA">
            <w:pPr>
              <w:spacing w:after="0"/>
              <w:ind w:left="7"/>
            </w:pPr>
            <w:r>
              <w:t>Správa Plzeň, Hřímalého 37, 301 00 Plzeň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2EC6" w:rsidRDefault="005A73AA" w:rsidP="00601FAB">
            <w:pPr>
              <w:spacing w:after="0"/>
              <w:ind w:left="122"/>
            </w:pPr>
            <w:r>
              <w:t xml:space="preserve">Adresa: Perucká 2481/5, 120 </w:t>
            </w:r>
            <w:r w:rsidR="00601FAB">
              <w:t>00</w:t>
            </w:r>
            <w:r>
              <w:t xml:space="preserve"> Praha 2</w:t>
            </w:r>
          </w:p>
        </w:tc>
      </w:tr>
      <w:tr w:rsidR="002B2EC6">
        <w:trPr>
          <w:trHeight w:val="287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2B2EC6" w:rsidRDefault="005A73AA">
            <w:pPr>
              <w:spacing w:after="0"/>
            </w:pPr>
            <w:r>
              <w:t xml:space="preserve">Bankovní spojení: </w:t>
            </w:r>
            <w:r w:rsidRPr="00601FAB">
              <w:rPr>
                <w:highlight w:val="black"/>
              </w:rPr>
              <w:t>ČNB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2EC6" w:rsidRDefault="005A73AA">
            <w:pPr>
              <w:spacing w:after="0"/>
              <w:ind w:left="122"/>
            </w:pPr>
            <w:r>
              <w:t xml:space="preserve">Bankovní spojení: </w:t>
            </w:r>
            <w:r w:rsidRPr="00DD76AD">
              <w:rPr>
                <w:highlight w:val="black"/>
              </w:rPr>
              <w:t>Raiffeisenbank a.s.</w:t>
            </w:r>
          </w:p>
        </w:tc>
      </w:tr>
      <w:tr w:rsidR="002B2EC6">
        <w:trPr>
          <w:trHeight w:val="270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2B2EC6" w:rsidRDefault="005A73AA">
            <w:pPr>
              <w:spacing w:after="0"/>
              <w:ind w:left="7"/>
            </w:pPr>
            <w:r>
              <w:t xml:space="preserve">číslo účtu: </w:t>
            </w:r>
            <w:r w:rsidRPr="00601FAB">
              <w:rPr>
                <w:highlight w:val="black"/>
              </w:rPr>
              <w:t>20001-15937031/0710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2EC6" w:rsidRDefault="005A73AA">
            <w:pPr>
              <w:spacing w:after="0"/>
              <w:ind w:left="130"/>
            </w:pPr>
            <w:r>
              <w:t xml:space="preserve">číslo účtu: </w:t>
            </w:r>
            <w:r w:rsidRPr="00DD76AD">
              <w:rPr>
                <w:highlight w:val="black"/>
              </w:rPr>
              <w:t>620 383 0247/5500</w:t>
            </w:r>
          </w:p>
        </w:tc>
      </w:tr>
      <w:tr w:rsidR="002B2EC6">
        <w:trPr>
          <w:trHeight w:val="285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2B2EC6" w:rsidRDefault="005A73AA">
            <w:pPr>
              <w:spacing w:after="0"/>
            </w:pPr>
            <w:r>
              <w:rPr>
                <w:sz w:val="24"/>
              </w:rPr>
              <w:t>IČO: 65993390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2EC6" w:rsidRDefault="005A73AA">
            <w:pPr>
              <w:spacing w:after="0"/>
              <w:ind w:left="130"/>
            </w:pPr>
            <w:r>
              <w:t>IČO: 48585955</w:t>
            </w:r>
          </w:p>
        </w:tc>
      </w:tr>
      <w:tr w:rsidR="002B2EC6">
        <w:trPr>
          <w:trHeight w:val="260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2B2EC6" w:rsidRDefault="005A73AA">
            <w:pPr>
              <w:spacing w:after="0"/>
            </w:pPr>
            <w:r>
              <w:rPr>
                <w:sz w:val="24"/>
              </w:rPr>
              <w:t>DIČ: CZ65993390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2EC6" w:rsidRDefault="00DD76AD">
            <w:pPr>
              <w:spacing w:after="0"/>
              <w:ind w:left="137"/>
            </w:pPr>
            <w:r>
              <w:t>DIČ: CZ48585955</w:t>
            </w:r>
            <w:bookmarkStart w:id="0" w:name="_GoBack"/>
            <w:bookmarkEnd w:id="0"/>
          </w:p>
        </w:tc>
      </w:tr>
    </w:tbl>
    <w:p w:rsidR="002B2EC6" w:rsidRDefault="005A73AA">
      <w:pPr>
        <w:spacing w:after="814"/>
        <w:ind w:right="770"/>
        <w:jc w:val="right"/>
      </w:pPr>
      <w:r>
        <w:rPr>
          <w:sz w:val="24"/>
        </w:rPr>
        <w:t xml:space="preserve">Kontaktní osoba: </w:t>
      </w:r>
      <w:r w:rsidRPr="00DD76AD">
        <w:rPr>
          <w:sz w:val="24"/>
          <w:highlight w:val="black"/>
        </w:rPr>
        <w:t>ing. Martin Máša</w:t>
      </w:r>
    </w:p>
    <w:p w:rsidR="002B2EC6" w:rsidRDefault="005A73AA">
      <w:pPr>
        <w:spacing w:after="0"/>
        <w:ind w:left="24" w:hanging="10"/>
      </w:pPr>
      <w:r>
        <w:rPr>
          <w:sz w:val="24"/>
        </w:rPr>
        <w:t>Dodavatel:</w:t>
      </w:r>
    </w:p>
    <w:p w:rsidR="002B2EC6" w:rsidRDefault="005A73AA">
      <w:pPr>
        <w:spacing w:after="112" w:line="269" w:lineRule="auto"/>
        <w:ind w:left="24" w:hanging="10"/>
        <w:jc w:val="both"/>
      </w:pPr>
      <w:r>
        <w:t>Tato objednávka - smlouva Objednatele zavazuje po jejím potvrzení Dodavatelem obě smluvní strany ke splnění stanovených závazků a nahrazuje smlouvu. Dodavatel se zavazuje provést na svůj náklad a nebezpečí pro Objednatele služby specifikované níže. Objedna</w:t>
      </w:r>
      <w:r>
        <w:t>tel se zavazuje zaplatit za služby poskytnuté v souladu s touto objednávkou cenu uvedenou níže.</w:t>
      </w:r>
    </w:p>
    <w:p w:rsidR="002B2EC6" w:rsidRDefault="005A73AA">
      <w:pPr>
        <w:spacing w:after="112" w:line="269" w:lineRule="auto"/>
        <w:ind w:left="24" w:hanging="10"/>
        <w:jc w:val="both"/>
      </w:pPr>
      <w:r>
        <w:t>Místo dodání: dle požadavků objednatele</w:t>
      </w:r>
    </w:p>
    <w:p w:rsidR="002B2EC6" w:rsidRDefault="005A73AA">
      <w:pPr>
        <w:spacing w:after="136"/>
        <w:ind w:left="24" w:hanging="10"/>
      </w:pPr>
      <w:r>
        <w:rPr>
          <w:sz w:val="24"/>
        </w:rPr>
        <w:t xml:space="preserve">Kontaktní osoba Objednatele: </w:t>
      </w:r>
      <w:r w:rsidRPr="00DD76AD">
        <w:rPr>
          <w:sz w:val="24"/>
          <w:highlight w:val="black"/>
        </w:rPr>
        <w:t>Ladislava Martínková, tel. 377 333 761</w:t>
      </w:r>
    </w:p>
    <w:p w:rsidR="002B2EC6" w:rsidRDefault="005A73AA">
      <w:pPr>
        <w:spacing w:after="141" w:line="269" w:lineRule="auto"/>
        <w:ind w:left="24" w:hanging="10"/>
        <w:jc w:val="both"/>
      </w:pPr>
      <w:r>
        <w:t>Fakturujte: Ředitelství silnic a dálnic ČR, Správa Plzeň, Hřímalého 37, 301 00 Plzeň</w:t>
      </w:r>
    </w:p>
    <w:p w:rsidR="002B2EC6" w:rsidRDefault="005A73AA">
      <w:pPr>
        <w:spacing w:after="112" w:line="269" w:lineRule="auto"/>
        <w:ind w:left="24" w:hanging="10"/>
        <w:jc w:val="both"/>
      </w:pPr>
      <w:r>
        <w:t>Obchodní a platební podmínky: Objednatel uhradí cenu jednorázovým bankovním převodem na účet Dodavatele uvedený na faktuře, termín splatnosti je stanoven na 30 dnů ode dne</w:t>
      </w:r>
      <w:r>
        <w:t xml:space="preserve"> doručení faktury Objednateli. Fakturu lze předložit nejdříve po protokolárním převzetí služeb Objednatelem bez vad či nedodělků. Faktura musí obsahovat veškeré náležitosti stanovené platnými právními předpisy, číslo objednávky a místo dodáni. Objednatel n</w:t>
      </w:r>
      <w:r>
        <w:t>eposkytuje žádné zálohy na cenu, ani dílčí platby ceny. Potvrzením přijetí (akceptací) této objednávky se Dodavatel zavazuje plnit veškeré povinnosti v této objednávce uvedené. Objednatel výslovně vylučuje akceptaci objednávky Dodavatelem s jakýmikoliv změ</w:t>
      </w:r>
      <w:r>
        <w:t>nami jejího obsahu, k takovému právnímu jednání Dodavatele se nepřihlíží. Dodavatel poskytuje souhlas s uveřejněním objednávky a jejího potvrzení v registru smluv zřízeným z</w:t>
      </w:r>
      <w:r w:rsidR="00DD76AD">
        <w:t>ákonem č, 340/2015 Sb., o zvláštn</w:t>
      </w:r>
      <w:r>
        <w:t>ích podmínkách účinnosti některých smluv, uveřejňov</w:t>
      </w:r>
      <w:r>
        <w:t>áni těchto smluv a o registru smluv, ve znění pozdějších předpisů (dále jako „zákon o registru smluv”), Objednatelem.</w:t>
      </w:r>
    </w:p>
    <w:p w:rsidR="002B2EC6" w:rsidRDefault="002B2EC6">
      <w:pPr>
        <w:spacing w:after="0"/>
        <w:ind w:left="648"/>
        <w:jc w:val="center"/>
      </w:pPr>
    </w:p>
    <w:p w:rsidR="002B2EC6" w:rsidRDefault="005A73AA">
      <w:pPr>
        <w:spacing w:after="190" w:line="248" w:lineRule="auto"/>
        <w:ind w:left="24" w:right="14" w:hanging="3"/>
        <w:jc w:val="both"/>
      </w:pPr>
      <w:r>
        <w:lastRenderedPageBreak/>
        <w:t xml:space="preserve">Objednávka je účinná okamžikem zveřejnění v registru smluv, přičemž Objednatel o této skutečnosti Dodavatele informuje. Objednatel je </w:t>
      </w:r>
      <w:r>
        <w:t>oprávněn kdykoliv po uzavření objednávky tuto objednávku vypovědět s účinky od doručení písemné výpovědi Dodavateli, a to i bez uvedení důvodu. Výpověd' objednávky dle předcházející věty nemá vliv na již řádně poskytnuté plnění včetně práv a povinností z n</w:t>
      </w:r>
      <w:r>
        <w:t>ěj vyplývajících.</w:t>
      </w:r>
    </w:p>
    <w:p w:rsidR="002B2EC6" w:rsidRDefault="005A73AA">
      <w:pPr>
        <w:spacing w:after="162" w:line="248" w:lineRule="auto"/>
        <w:ind w:left="24" w:right="14" w:hanging="3"/>
        <w:jc w:val="both"/>
      </w:pPr>
      <w:r>
        <w:t>Záruční lhůta: Objednatel záruku za jakost Služeb nepožaduje.</w:t>
      </w:r>
    </w:p>
    <w:p w:rsidR="002B2EC6" w:rsidRDefault="005A73AA">
      <w:pPr>
        <w:spacing w:after="139" w:line="248" w:lineRule="auto"/>
        <w:ind w:left="24" w:right="14" w:hanging="3"/>
        <w:jc w:val="both"/>
      </w:pPr>
      <w:r>
        <w:t>Objednáváme u Vás: provedení speciální bezpečnostní inspekce</w:t>
      </w:r>
    </w:p>
    <w:p w:rsidR="002B2EC6" w:rsidRDefault="005A73AA">
      <w:pPr>
        <w:spacing w:after="125"/>
        <w:ind w:left="36"/>
      </w:pPr>
      <w:r>
        <w:rPr>
          <w:sz w:val="24"/>
        </w:rPr>
        <w:t xml:space="preserve">Lhůta pro dodání či termín dodání: </w:t>
      </w:r>
      <w:r>
        <w:rPr>
          <w:sz w:val="24"/>
          <w:u w:val="single" w:color="000000"/>
        </w:rPr>
        <w:t>do 28.2.2018</w:t>
      </w:r>
    </w:p>
    <w:p w:rsidR="002B2EC6" w:rsidRDefault="005A73AA">
      <w:pPr>
        <w:spacing w:after="175" w:line="265" w:lineRule="auto"/>
        <w:ind w:left="24" w:hanging="10"/>
      </w:pPr>
      <w:r>
        <w:rPr>
          <w:sz w:val="24"/>
        </w:rPr>
        <w:t>Celková hodnota objednávky v Kč:</w:t>
      </w:r>
    </w:p>
    <w:p w:rsidR="002B2EC6" w:rsidRDefault="005A73AA">
      <w:pPr>
        <w:tabs>
          <w:tab w:val="center" w:pos="2869"/>
        </w:tabs>
        <w:spacing w:after="330" w:line="265" w:lineRule="auto"/>
      </w:pPr>
      <w:r>
        <w:rPr>
          <w:sz w:val="24"/>
        </w:rPr>
        <w:t>Cena bez DPH</w:t>
      </w:r>
      <w:r w:rsidR="00DD76AD">
        <w:rPr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 w:rsidR="00DD76AD">
        <w:rPr>
          <w:sz w:val="24"/>
        </w:rPr>
        <w:t xml:space="preserve">             </w:t>
      </w:r>
      <w:r>
        <w:rPr>
          <w:sz w:val="24"/>
        </w:rPr>
        <w:t>83 160,-- Kč</w:t>
      </w:r>
    </w:p>
    <w:p w:rsidR="002B2EC6" w:rsidRDefault="00DD76AD">
      <w:pPr>
        <w:tabs>
          <w:tab w:val="center" w:pos="2866"/>
        </w:tabs>
        <w:spacing w:after="313" w:line="248" w:lineRule="auto"/>
      </w:pPr>
      <w:r>
        <w:t xml:space="preserve">DPH 21 % </w:t>
      </w:r>
      <w:r w:rsidR="005A73AA">
        <w:t>:</w:t>
      </w:r>
      <w:r w:rsidR="005A73AA">
        <w:tab/>
      </w:r>
      <w:r>
        <w:t xml:space="preserve">             </w:t>
      </w:r>
      <w:r w:rsidR="005A73AA">
        <w:t>17 463,60 Kč</w:t>
      </w:r>
    </w:p>
    <w:p w:rsidR="002B2EC6" w:rsidRDefault="005A73AA">
      <w:pPr>
        <w:spacing w:after="432" w:line="265" w:lineRule="auto"/>
        <w:ind w:left="24" w:hanging="10"/>
      </w:pPr>
      <w:r>
        <w:rPr>
          <w:sz w:val="24"/>
        </w:rPr>
        <w:t>Cena celkem s</w:t>
      </w:r>
      <w:r w:rsidR="00DD76AD">
        <w:rPr>
          <w:sz w:val="24"/>
        </w:rPr>
        <w:t> </w:t>
      </w:r>
      <w:r>
        <w:rPr>
          <w:sz w:val="24"/>
        </w:rPr>
        <w:t>DPH</w:t>
      </w:r>
      <w:r w:rsidR="00DD76AD">
        <w:rPr>
          <w:sz w:val="24"/>
        </w:rPr>
        <w:t xml:space="preserve"> </w:t>
      </w:r>
      <w:r>
        <w:rPr>
          <w:sz w:val="24"/>
        </w:rPr>
        <w:t xml:space="preserve">: </w:t>
      </w:r>
      <w:r w:rsidR="00DD76AD">
        <w:rPr>
          <w:sz w:val="24"/>
        </w:rPr>
        <w:t xml:space="preserve">      </w:t>
      </w:r>
      <w:r>
        <w:rPr>
          <w:sz w:val="24"/>
        </w:rPr>
        <w:t>100 623,60 Kč</w:t>
      </w:r>
    </w:p>
    <w:p w:rsidR="002B2EC6" w:rsidRDefault="005A73AA">
      <w:pPr>
        <w:spacing w:after="120" w:line="248" w:lineRule="auto"/>
        <w:ind w:left="24" w:right="14" w:hanging="3"/>
        <w:jc w:val="both"/>
      </w:pPr>
      <w:r>
        <w:t xml:space="preserve">V případě akceptace objednávky Objednatele Dodavatel objednávku písemně potvrdí prostřednictvím e-mailu zaslaného do e-mailové schránky Objednatele </w:t>
      </w:r>
      <w:r w:rsidRPr="00DD76AD">
        <w:rPr>
          <w:highlight w:val="black"/>
        </w:rPr>
        <w:t>la</w:t>
      </w:r>
      <w:r w:rsidRPr="00DD76AD">
        <w:rPr>
          <w:highlight w:val="black"/>
          <w:u w:val="single" w:color="000000"/>
        </w:rPr>
        <w:t>dislav</w:t>
      </w:r>
      <w:r w:rsidRPr="00DD76AD">
        <w:rPr>
          <w:highlight w:val="black"/>
        </w:rPr>
        <w:t>a.</w:t>
      </w:r>
      <w:r w:rsidRPr="00DD76AD">
        <w:rPr>
          <w:highlight w:val="black"/>
          <w:u w:val="single" w:color="000000"/>
        </w:rPr>
        <w:t>martinkova</w:t>
      </w:r>
      <w:r w:rsidRPr="00DD76AD">
        <w:rPr>
          <w:highlight w:val="black"/>
        </w:rPr>
        <w:t xml:space="preserve"> rs@.cz .</w:t>
      </w:r>
      <w:r>
        <w:t xml:space="preserve"> V případě nepotvrzení akcep</w:t>
      </w:r>
      <w:r>
        <w:t>tace objednávky Objednatele Dodavatelem platí, že Dodavatel objednávku neakceptov</w:t>
      </w:r>
      <w:r w:rsidR="00DD76AD">
        <w:t>al a objednávka je bez dalšího zn</w:t>
      </w:r>
      <w:r>
        <w:t>eplatněna.</w:t>
      </w:r>
    </w:p>
    <w:p w:rsidR="002B2EC6" w:rsidRDefault="005A73AA">
      <w:pPr>
        <w:spacing w:after="14" w:line="248" w:lineRule="auto"/>
        <w:ind w:left="24" w:right="14" w:hanging="3"/>
        <w:jc w:val="both"/>
      </w:pPr>
      <w:r>
        <w:t>Nedílnou součástí této objednávky jsou následující přílohy:</w:t>
      </w:r>
    </w:p>
    <w:p w:rsidR="002B2EC6" w:rsidRDefault="002B2EC6"/>
    <w:p w:rsidR="00DD76AD" w:rsidRDefault="00DD76AD">
      <w:pPr>
        <w:sectPr w:rsidR="00DD76AD">
          <w:footerReference w:type="even" r:id="rId6"/>
          <w:footerReference w:type="default" r:id="rId7"/>
          <w:footerReference w:type="first" r:id="rId8"/>
          <w:pgSz w:w="11902" w:h="16834"/>
          <w:pgMar w:top="1922" w:right="1627" w:bottom="1215" w:left="1634" w:header="708" w:footer="1210" w:gutter="0"/>
          <w:cols w:space="708"/>
        </w:sectPr>
      </w:pPr>
    </w:p>
    <w:p w:rsidR="002B2EC6" w:rsidRDefault="00DD76AD">
      <w:pPr>
        <w:spacing w:after="128" w:line="265" w:lineRule="auto"/>
        <w:ind w:left="24" w:hanging="10"/>
      </w:pPr>
      <w:r>
        <w:rPr>
          <w:sz w:val="24"/>
        </w:rPr>
        <w:t>Příloha č. 1</w:t>
      </w:r>
      <w:r w:rsidR="005A73AA">
        <w:rPr>
          <w:sz w:val="24"/>
        </w:rPr>
        <w:t xml:space="preserve"> — Specifikace služeb</w:t>
      </w:r>
    </w:p>
    <w:p w:rsidR="002B2EC6" w:rsidRDefault="005A73AA">
      <w:pPr>
        <w:spacing w:after="793" w:line="248" w:lineRule="auto"/>
        <w:ind w:left="24" w:right="14" w:hanging="3"/>
        <w:jc w:val="both"/>
      </w:pPr>
      <w:r>
        <w:t xml:space="preserve">Příloha č. 2 — </w:t>
      </w:r>
      <w:r>
        <w:t>Položkový rozpis ceny</w:t>
      </w:r>
    </w:p>
    <w:p w:rsidR="00DD76AD" w:rsidRDefault="00DD76AD">
      <w:pPr>
        <w:spacing w:after="793" w:line="248" w:lineRule="auto"/>
        <w:ind w:left="24" w:right="14" w:hanging="3"/>
        <w:jc w:val="both"/>
      </w:pPr>
      <w:r>
        <w:t xml:space="preserve">V Plzni dne </w:t>
      </w:r>
      <w:r>
        <w:tab/>
      </w:r>
      <w:r>
        <w:tab/>
      </w:r>
      <w:r>
        <w:tab/>
      </w:r>
      <w:r>
        <w:tab/>
        <w:t xml:space="preserve">   V Praze dne 8.1.2018</w:t>
      </w:r>
    </w:p>
    <w:p w:rsidR="00DD76AD" w:rsidRDefault="00DD76AD">
      <w:pPr>
        <w:spacing w:after="14" w:line="248" w:lineRule="auto"/>
        <w:ind w:left="104" w:right="14" w:hanging="3"/>
        <w:jc w:val="both"/>
      </w:pPr>
    </w:p>
    <w:p w:rsidR="00DD76AD" w:rsidRDefault="00DD76AD">
      <w:pPr>
        <w:spacing w:after="14" w:line="248" w:lineRule="auto"/>
        <w:ind w:left="104" w:right="14" w:hanging="3"/>
        <w:jc w:val="both"/>
      </w:pPr>
    </w:p>
    <w:p w:rsidR="00DD76AD" w:rsidRDefault="00DD76AD">
      <w:pPr>
        <w:spacing w:after="14" w:line="248" w:lineRule="auto"/>
        <w:ind w:left="104" w:right="14" w:hanging="3"/>
        <w:jc w:val="both"/>
      </w:pPr>
    </w:p>
    <w:p w:rsidR="00DD76AD" w:rsidRDefault="00DD76AD">
      <w:pPr>
        <w:spacing w:after="14" w:line="248" w:lineRule="auto"/>
        <w:ind w:left="104" w:right="14" w:hanging="3"/>
        <w:jc w:val="both"/>
      </w:pPr>
    </w:p>
    <w:p w:rsidR="00DD76AD" w:rsidRDefault="00DD76AD">
      <w:pPr>
        <w:spacing w:after="14" w:line="248" w:lineRule="auto"/>
        <w:ind w:left="104" w:right="14" w:hanging="3"/>
        <w:jc w:val="both"/>
      </w:pPr>
    </w:p>
    <w:p w:rsidR="00DD76AD" w:rsidRDefault="00DD76AD">
      <w:pPr>
        <w:spacing w:after="14" w:line="248" w:lineRule="auto"/>
        <w:ind w:left="104" w:right="14" w:hanging="3"/>
        <w:jc w:val="both"/>
      </w:pPr>
    </w:p>
    <w:p w:rsidR="00DD76AD" w:rsidRDefault="00DD76AD">
      <w:pPr>
        <w:spacing w:after="14" w:line="248" w:lineRule="auto"/>
        <w:ind w:left="104" w:right="14" w:hanging="3"/>
        <w:jc w:val="both"/>
      </w:pPr>
    </w:p>
    <w:p w:rsidR="00DD76AD" w:rsidRDefault="00DD76AD">
      <w:pPr>
        <w:spacing w:after="14" w:line="248" w:lineRule="auto"/>
        <w:ind w:left="104" w:right="14" w:hanging="3"/>
        <w:jc w:val="both"/>
      </w:pPr>
    </w:p>
    <w:p w:rsidR="00DD76AD" w:rsidRDefault="00DD76AD">
      <w:pPr>
        <w:spacing w:after="14" w:line="248" w:lineRule="auto"/>
        <w:ind w:left="104" w:right="14" w:hanging="3"/>
        <w:jc w:val="both"/>
      </w:pPr>
    </w:p>
    <w:p w:rsidR="00DD76AD" w:rsidRDefault="00DD76AD">
      <w:pPr>
        <w:spacing w:after="14" w:line="248" w:lineRule="auto"/>
        <w:ind w:left="104" w:right="14" w:hanging="3"/>
        <w:jc w:val="both"/>
      </w:pPr>
    </w:p>
    <w:p w:rsidR="00DD76AD" w:rsidRDefault="00DD76AD" w:rsidP="00DD76AD">
      <w:pPr>
        <w:spacing w:after="14" w:line="248" w:lineRule="auto"/>
        <w:ind w:left="104" w:right="14" w:hanging="3"/>
      </w:pPr>
    </w:p>
    <w:p w:rsidR="00DD76AD" w:rsidRDefault="00DD76AD" w:rsidP="00DD76AD">
      <w:pPr>
        <w:spacing w:after="14" w:line="248" w:lineRule="auto"/>
        <w:ind w:left="104" w:right="14" w:hanging="3"/>
        <w:sectPr w:rsidR="00DD76AD" w:rsidSect="00DD76AD">
          <w:type w:val="continuous"/>
          <w:pgSz w:w="11902" w:h="16834"/>
          <w:pgMar w:top="1440" w:right="2563" w:bottom="1440" w:left="1634" w:header="708" w:footer="708" w:gutter="0"/>
          <w:cols w:space="720"/>
        </w:sectPr>
      </w:pPr>
    </w:p>
    <w:p w:rsidR="002B2EC6" w:rsidRPr="00DD76AD" w:rsidRDefault="002B2EC6">
      <w:pPr>
        <w:rPr>
          <w:u w:val="single"/>
        </w:rPr>
        <w:sectPr w:rsidR="002B2EC6" w:rsidRPr="00DD76AD" w:rsidSect="00DD76AD">
          <w:type w:val="continuous"/>
          <w:pgSz w:w="11902" w:h="16834"/>
          <w:pgMar w:top="1440" w:right="2563" w:bottom="1440" w:left="1634" w:header="708" w:footer="708" w:gutter="0"/>
          <w:cols w:space="720"/>
        </w:sectPr>
      </w:pPr>
    </w:p>
    <w:p w:rsidR="002B2EC6" w:rsidRPr="00DD76AD" w:rsidRDefault="005A73AA">
      <w:pPr>
        <w:pStyle w:val="Nadpis3"/>
        <w:ind w:left="17" w:right="0"/>
      </w:pPr>
      <w:r w:rsidRPr="00DD76AD">
        <w:lastRenderedPageBreak/>
        <w:t>Příloha č. 1 - Specifikace služeb</w:t>
      </w:r>
    </w:p>
    <w:p w:rsidR="002B2EC6" w:rsidRDefault="005A73AA">
      <w:pPr>
        <w:spacing w:after="14" w:line="248" w:lineRule="auto"/>
        <w:ind w:left="24" w:right="14" w:hanging="3"/>
        <w:jc w:val="both"/>
      </w:pPr>
      <w:r>
        <w:t xml:space="preserve">Z důvodu zvýšené nehodovosti na silnici I/26 přeložka Staňkova, je nutné vypracování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4418" name="Picture 44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8" name="Picture 441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speciální bezpečnostní inspekce.</w:t>
      </w:r>
    </w:p>
    <w:p w:rsidR="002B2EC6" w:rsidRDefault="005A73AA">
      <w:pPr>
        <w:spacing w:after="14" w:line="248" w:lineRule="auto"/>
        <w:ind w:left="24" w:right="14" w:hanging="3"/>
        <w:jc w:val="both"/>
      </w:pPr>
      <w:r>
        <w:t>Jedná se o provedení speciální bezpečnostní inspekce s rozsahem činností: - zajištění a zpracování podk</w:t>
      </w:r>
      <w:r>
        <w:t>ladů, prohlídka předmětného úseku, identifikace rizik, návrh opravných opatření, zpráva o provedení inspekce.</w:t>
      </w:r>
    </w:p>
    <w:p w:rsidR="002B2EC6" w:rsidRDefault="005A73AA">
      <w:pPr>
        <w:spacing w:after="14" w:line="248" w:lineRule="auto"/>
        <w:ind w:left="24" w:right="14" w:hanging="3"/>
        <w:jc w:val="both"/>
      </w:pPr>
      <w:r>
        <w:t>Bezpečnostní inspekce bude zahrnovat pouze 3 křižovatková napojení obce Staňkov na novou trasu silnice I/26.</w:t>
      </w:r>
    </w:p>
    <w:p w:rsidR="002B2EC6" w:rsidRDefault="005A73AA">
      <w:pPr>
        <w:spacing w:after="10254" w:line="248" w:lineRule="auto"/>
        <w:ind w:left="24" w:right="14" w:hanging="3"/>
        <w:jc w:val="both"/>
      </w:pPr>
      <w:r>
        <w:t>Relevantní nehodová data (poslední 3 roky) nejsou k dispozici. Z tohoto důvodu bude nehodovost posuzována pouze za předpokladu, že Policie ČR poskytne data za období od uvedení do provozu.</w:t>
      </w:r>
    </w:p>
    <w:sectPr w:rsidR="002B2EC6">
      <w:type w:val="continuous"/>
      <w:pgSz w:w="11902" w:h="16834"/>
      <w:pgMar w:top="1440" w:right="1562" w:bottom="1440" w:left="177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A73AA">
      <w:pPr>
        <w:spacing w:after="0" w:line="240" w:lineRule="auto"/>
      </w:pPr>
      <w:r>
        <w:separator/>
      </w:r>
    </w:p>
  </w:endnote>
  <w:endnote w:type="continuationSeparator" w:id="0">
    <w:p w:rsidR="00000000" w:rsidRDefault="005A7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EC6" w:rsidRDefault="005A73AA">
    <w:pPr>
      <w:spacing w:after="0"/>
      <w:ind w:right="194"/>
      <w:jc w:val="center"/>
    </w:pPr>
    <w:r>
      <w:rPr>
        <w:sz w:val="16"/>
      </w:rPr>
      <w:t>St</w:t>
    </w:r>
    <w:r>
      <w:rPr>
        <w:sz w:val="16"/>
      </w:rPr>
      <w:t xml:space="preserve">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2"/>
      </w:rPr>
      <w:t>1</w:t>
    </w:r>
    <w:r>
      <w:rPr>
        <w:sz w:val="12"/>
      </w:rPr>
      <w:fldChar w:fldCharType="end"/>
    </w:r>
    <w:r>
      <w:rPr>
        <w:sz w:val="1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EC6" w:rsidRDefault="005A73AA">
    <w:pPr>
      <w:spacing w:after="0"/>
      <w:ind w:right="194"/>
      <w:jc w:val="center"/>
    </w:pPr>
    <w:r>
      <w:rPr>
        <w:sz w:val="16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 w:rsidRPr="005A73AA">
      <w:rPr>
        <w:noProof/>
        <w:sz w:val="12"/>
      </w:rPr>
      <w:t>3</w:t>
    </w:r>
    <w:r>
      <w:rPr>
        <w:sz w:val="12"/>
      </w:rPr>
      <w:fldChar w:fldCharType="end"/>
    </w:r>
    <w:r>
      <w:rPr>
        <w:sz w:val="1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EC6" w:rsidRDefault="005A73AA">
    <w:pPr>
      <w:spacing w:after="0"/>
      <w:ind w:right="194"/>
      <w:jc w:val="center"/>
    </w:pPr>
    <w:r>
      <w:rPr>
        <w:sz w:val="16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2"/>
      </w:rPr>
      <w:t>1</w:t>
    </w:r>
    <w:r>
      <w:rPr>
        <w:sz w:val="12"/>
      </w:rPr>
      <w:fldChar w:fldCharType="end"/>
    </w:r>
    <w:r>
      <w:rPr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A73AA">
      <w:pPr>
        <w:spacing w:after="0" w:line="240" w:lineRule="auto"/>
      </w:pPr>
      <w:r>
        <w:separator/>
      </w:r>
    </w:p>
  </w:footnote>
  <w:footnote w:type="continuationSeparator" w:id="0">
    <w:p w:rsidR="00000000" w:rsidRDefault="005A73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C6"/>
    <w:rsid w:val="002B2EC6"/>
    <w:rsid w:val="005A73AA"/>
    <w:rsid w:val="00601FAB"/>
    <w:rsid w:val="00DD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70870"/>
  <w15:docId w15:val="{D45FE947-61C7-4190-A140-DA5DFC1D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color w:val="000000"/>
      <w:sz w:val="52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37"/>
      <w:jc w:val="center"/>
      <w:outlineLvl w:val="1"/>
    </w:pPr>
    <w:rPr>
      <w:rFonts w:ascii="Times New Roman" w:eastAsia="Times New Roman" w:hAnsi="Times New Roman" w:cs="Times New Roman"/>
      <w:color w:val="000000"/>
      <w:sz w:val="38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0"/>
      <w:ind w:left="284" w:right="-346" w:hanging="10"/>
      <w:outlineLvl w:val="2"/>
    </w:pPr>
    <w:rPr>
      <w:rFonts w:ascii="Times New Roman" w:eastAsia="Times New Roman" w:hAnsi="Times New Roman" w:cs="Times New Roman"/>
      <w:color w:val="000000"/>
      <w:sz w:val="36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38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52"/>
    </w:rPr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color w:val="000000"/>
      <w:sz w:val="36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2</cp:revision>
  <dcterms:created xsi:type="dcterms:W3CDTF">2018-01-11T06:41:00Z</dcterms:created>
  <dcterms:modified xsi:type="dcterms:W3CDTF">2018-01-11T06:41:00Z</dcterms:modified>
</cp:coreProperties>
</file>