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C28" w:rsidRDefault="00255724" w:rsidP="006E1C28">
      <w:pPr>
        <w:pStyle w:val="Nzev"/>
        <w:rPr>
          <w:b/>
          <w:sz w:val="28"/>
        </w:rPr>
      </w:pPr>
      <w:bookmarkStart w:id="0" w:name="_GoBack"/>
      <w:bookmarkEnd w:id="0"/>
      <w:r>
        <w:rPr>
          <w:b/>
          <w:sz w:val="28"/>
        </w:rPr>
        <w:t>Dodatek č.</w:t>
      </w:r>
      <w:r w:rsidR="006E6207">
        <w:rPr>
          <w:b/>
          <w:sz w:val="28"/>
        </w:rPr>
        <w:t xml:space="preserve"> </w:t>
      </w:r>
      <w:r>
        <w:rPr>
          <w:b/>
          <w:sz w:val="28"/>
        </w:rPr>
        <w:t>1</w:t>
      </w:r>
    </w:p>
    <w:p w:rsidR="00255724" w:rsidRDefault="00255724" w:rsidP="006E1C28">
      <w:pPr>
        <w:pStyle w:val="Nzev"/>
        <w:rPr>
          <w:b/>
          <w:sz w:val="28"/>
        </w:rPr>
      </w:pPr>
      <w:r>
        <w:rPr>
          <w:b/>
          <w:sz w:val="28"/>
        </w:rPr>
        <w:t xml:space="preserve">ke smlouvě o nájmu prostor sloužících k podnikání ze dne </w:t>
      </w:r>
      <w:proofErr w:type="gramStart"/>
      <w:r>
        <w:rPr>
          <w:b/>
          <w:sz w:val="28"/>
        </w:rPr>
        <w:t>31.08.2017</w:t>
      </w:r>
      <w:proofErr w:type="gramEnd"/>
    </w:p>
    <w:p w:rsidR="006E1C28" w:rsidRDefault="006E1C28" w:rsidP="006E1C28">
      <w:pPr>
        <w:pStyle w:val="Nzev"/>
        <w:rPr>
          <w:b/>
          <w:sz w:val="28"/>
        </w:rPr>
      </w:pPr>
    </w:p>
    <w:p w:rsidR="006E1C28" w:rsidRDefault="006E1C28" w:rsidP="006E1C28">
      <w:pPr>
        <w:pStyle w:val="Bezmezer"/>
        <w:jc w:val="both"/>
        <w:rPr>
          <w:szCs w:val="22"/>
        </w:rPr>
      </w:pPr>
      <w:r>
        <w:t>uzavřen</w:t>
      </w:r>
      <w:r w:rsidR="006E6207">
        <w:t>ý</w:t>
      </w:r>
      <w:r>
        <w:t xml:space="preserve"> dle ustanovení § </w:t>
      </w:r>
      <w:smartTag w:uri="urn:schemas-microsoft-com:office:smarttags" w:element="metricconverter">
        <w:smartTagPr>
          <w:attr w:name="ProductID" w:val="2201 a"/>
        </w:smartTagPr>
        <w:r>
          <w:t>2201 a</w:t>
        </w:r>
      </w:smartTag>
      <w:r>
        <w:t xml:space="preserve"> násl. a § </w:t>
      </w:r>
      <w:smartTag w:uri="urn:schemas-microsoft-com:office:smarttags" w:element="metricconverter">
        <w:smartTagPr>
          <w:attr w:name="ProductID" w:val="2302 a"/>
        </w:smartTagPr>
        <w:r>
          <w:t>2302 a</w:t>
        </w:r>
      </w:smartTag>
      <w:r>
        <w:t xml:space="preserve"> násl. zákona č. 89/2012 Sb., občanský zákoník, v platném znění, mezi:</w:t>
      </w:r>
    </w:p>
    <w:p w:rsidR="006E1C28" w:rsidRDefault="006E1C28" w:rsidP="006E1C28">
      <w:pPr>
        <w:pStyle w:val="Nzev"/>
        <w:jc w:val="both"/>
        <w:rPr>
          <w:sz w:val="24"/>
        </w:rPr>
      </w:pPr>
    </w:p>
    <w:p w:rsidR="006E1C28" w:rsidRDefault="006E1C28" w:rsidP="006E1C28">
      <w:pPr>
        <w:pStyle w:val="Nzev"/>
        <w:jc w:val="both"/>
        <w:rPr>
          <w:b/>
          <w:sz w:val="24"/>
        </w:rPr>
      </w:pPr>
      <w:r>
        <w:rPr>
          <w:b/>
          <w:sz w:val="24"/>
        </w:rPr>
        <w:t xml:space="preserve">statutárním městem Frýdek-Místek, </w:t>
      </w:r>
    </w:p>
    <w:p w:rsidR="006E1C28" w:rsidRDefault="006E1C28" w:rsidP="006E1C28">
      <w:pPr>
        <w:pStyle w:val="Nzev"/>
        <w:jc w:val="both"/>
        <w:rPr>
          <w:sz w:val="24"/>
        </w:rPr>
      </w:pPr>
      <w:r>
        <w:rPr>
          <w:sz w:val="24"/>
        </w:rPr>
        <w:t>zastoupeným vedoucí odboru správy obecního majetku</w:t>
      </w:r>
      <w:r w:rsidR="006E6207">
        <w:rPr>
          <w:sz w:val="24"/>
        </w:rPr>
        <w:t xml:space="preserve"> Magistrátu města </w:t>
      </w:r>
      <w:proofErr w:type="gramStart"/>
      <w:r w:rsidR="006E6207">
        <w:rPr>
          <w:sz w:val="24"/>
        </w:rPr>
        <w:t xml:space="preserve">Frýdku-Místku </w:t>
      </w:r>
      <w:r>
        <w:rPr>
          <w:sz w:val="24"/>
        </w:rPr>
        <w:t xml:space="preserve"> </w:t>
      </w:r>
      <w:r w:rsidR="006E6207">
        <w:rPr>
          <w:sz w:val="24"/>
        </w:rPr>
        <w:t xml:space="preserve">      </w:t>
      </w:r>
      <w:r>
        <w:rPr>
          <w:sz w:val="24"/>
        </w:rPr>
        <w:t>Ing.</w:t>
      </w:r>
      <w:proofErr w:type="gramEnd"/>
      <w:r>
        <w:rPr>
          <w:sz w:val="24"/>
        </w:rPr>
        <w:t xml:space="preserve"> Bc. Hanou Kalužovou</w:t>
      </w:r>
    </w:p>
    <w:p w:rsidR="006E1C28" w:rsidRDefault="006E1C28" w:rsidP="006E1C28">
      <w:pPr>
        <w:pStyle w:val="Nzev"/>
        <w:spacing w:line="360" w:lineRule="auto"/>
        <w:jc w:val="both"/>
        <w:rPr>
          <w:sz w:val="24"/>
        </w:rPr>
      </w:pPr>
      <w:r>
        <w:rPr>
          <w:sz w:val="24"/>
        </w:rPr>
        <w:t>se sídlem: Radniční 1148, Frýdek, 73801 Frýdek-Místek</w:t>
      </w:r>
    </w:p>
    <w:p w:rsidR="006E1C28" w:rsidRDefault="006E1C28" w:rsidP="006E1C28">
      <w:pPr>
        <w:pStyle w:val="Nzev"/>
        <w:spacing w:before="0" w:line="360" w:lineRule="auto"/>
        <w:jc w:val="both"/>
        <w:rPr>
          <w:sz w:val="24"/>
        </w:rPr>
      </w:pPr>
      <w:r>
        <w:rPr>
          <w:sz w:val="24"/>
        </w:rPr>
        <w:t>IČ : 00296643</w:t>
      </w:r>
    </w:p>
    <w:p w:rsidR="006E1C28" w:rsidRDefault="006E1C28" w:rsidP="006E1C28">
      <w:pPr>
        <w:pStyle w:val="Nzev"/>
        <w:spacing w:before="0" w:line="360" w:lineRule="auto"/>
        <w:jc w:val="both"/>
        <w:rPr>
          <w:sz w:val="24"/>
        </w:rPr>
      </w:pPr>
      <w:r>
        <w:rPr>
          <w:sz w:val="24"/>
        </w:rPr>
        <w:t>DIČ: CZ00296643</w:t>
      </w:r>
    </w:p>
    <w:p w:rsidR="006E1C28" w:rsidRDefault="006E1C28" w:rsidP="006E1C28">
      <w:pPr>
        <w:pStyle w:val="Nzev"/>
        <w:spacing w:before="0" w:line="360" w:lineRule="auto"/>
        <w:jc w:val="both"/>
        <w:rPr>
          <w:sz w:val="24"/>
        </w:rPr>
      </w:pPr>
      <w:r>
        <w:rPr>
          <w:sz w:val="24"/>
        </w:rPr>
        <w:t>(dále jen „pronajímatel“)</w:t>
      </w:r>
    </w:p>
    <w:p w:rsidR="006E1C28" w:rsidRDefault="006E1C28" w:rsidP="006E1C28">
      <w:pPr>
        <w:autoSpaceDE w:val="0"/>
        <w:autoSpaceDN w:val="0"/>
        <w:adjustRightInd w:val="0"/>
        <w:spacing w:before="120"/>
      </w:pPr>
      <w:r>
        <w:t>a</w:t>
      </w:r>
    </w:p>
    <w:p w:rsidR="006E1C28" w:rsidRDefault="006E1C28" w:rsidP="006E1C28">
      <w:pPr>
        <w:autoSpaceDE w:val="0"/>
        <w:autoSpaceDN w:val="0"/>
        <w:adjustRightInd w:val="0"/>
      </w:pPr>
    </w:p>
    <w:p w:rsidR="006E1C28" w:rsidRDefault="00255724" w:rsidP="006E1C28">
      <w:pPr>
        <w:pStyle w:val="Nzev"/>
        <w:jc w:val="both"/>
        <w:rPr>
          <w:b/>
          <w:sz w:val="24"/>
        </w:rPr>
      </w:pPr>
      <w:r>
        <w:rPr>
          <w:b/>
          <w:sz w:val="24"/>
        </w:rPr>
        <w:t xml:space="preserve">společností </w:t>
      </w:r>
      <w:proofErr w:type="gramStart"/>
      <w:r>
        <w:rPr>
          <w:b/>
          <w:sz w:val="24"/>
        </w:rPr>
        <w:t>H.A.</w:t>
      </w:r>
      <w:proofErr w:type="gramEnd"/>
      <w:r>
        <w:rPr>
          <w:b/>
          <w:sz w:val="24"/>
        </w:rPr>
        <w:t>S. spol. s.r.o.</w:t>
      </w:r>
    </w:p>
    <w:p w:rsidR="006E1C28" w:rsidRDefault="00D274B0" w:rsidP="006E1C28">
      <w:pPr>
        <w:pStyle w:val="Nzev"/>
        <w:jc w:val="both"/>
        <w:rPr>
          <w:sz w:val="24"/>
        </w:rPr>
      </w:pPr>
      <w:r>
        <w:rPr>
          <w:sz w:val="24"/>
        </w:rPr>
        <w:t>zastoupen</w:t>
      </w:r>
      <w:r w:rsidR="00255724">
        <w:rPr>
          <w:sz w:val="24"/>
        </w:rPr>
        <w:t xml:space="preserve">ou jednatelem Ing. Janem </w:t>
      </w:r>
      <w:proofErr w:type="spellStart"/>
      <w:r w:rsidR="00255724">
        <w:rPr>
          <w:sz w:val="24"/>
        </w:rPr>
        <w:t>Heidrichem</w:t>
      </w:r>
      <w:proofErr w:type="spellEnd"/>
    </w:p>
    <w:p w:rsidR="006E1C28" w:rsidRDefault="00255724" w:rsidP="006E1C28">
      <w:pPr>
        <w:pStyle w:val="Nzev"/>
        <w:jc w:val="both"/>
        <w:rPr>
          <w:sz w:val="24"/>
        </w:rPr>
      </w:pPr>
      <w:r>
        <w:rPr>
          <w:sz w:val="24"/>
        </w:rPr>
        <w:t xml:space="preserve">se sídlem: </w:t>
      </w:r>
      <w:proofErr w:type="spellStart"/>
      <w:r>
        <w:rPr>
          <w:sz w:val="24"/>
        </w:rPr>
        <w:t>Svazarmovská</w:t>
      </w:r>
      <w:proofErr w:type="spellEnd"/>
      <w:r>
        <w:rPr>
          <w:sz w:val="24"/>
        </w:rPr>
        <w:t xml:space="preserve"> 317, Místek, 73801 Frýdek-Místek</w:t>
      </w:r>
    </w:p>
    <w:p w:rsidR="006E1C28" w:rsidRDefault="006E1C28" w:rsidP="006E1C28">
      <w:pPr>
        <w:pStyle w:val="Nzev"/>
        <w:jc w:val="both"/>
        <w:rPr>
          <w:sz w:val="24"/>
        </w:rPr>
      </w:pPr>
      <w:r>
        <w:rPr>
          <w:sz w:val="24"/>
        </w:rPr>
        <w:t>IČ</w:t>
      </w:r>
      <w:r w:rsidR="00255724">
        <w:rPr>
          <w:sz w:val="24"/>
        </w:rPr>
        <w:t>: 47682281</w:t>
      </w:r>
    </w:p>
    <w:p w:rsidR="006E1C28" w:rsidRDefault="006E1C28" w:rsidP="006E1C28">
      <w:pPr>
        <w:pStyle w:val="Nzev"/>
        <w:jc w:val="both"/>
        <w:rPr>
          <w:sz w:val="24"/>
        </w:rPr>
      </w:pPr>
      <w:r>
        <w:rPr>
          <w:sz w:val="24"/>
        </w:rPr>
        <w:t>DIČ</w:t>
      </w:r>
      <w:r w:rsidR="00255724">
        <w:rPr>
          <w:sz w:val="24"/>
        </w:rPr>
        <w:t>: CZ47682281</w:t>
      </w:r>
    </w:p>
    <w:p w:rsidR="006E1C28" w:rsidRDefault="006E1C28" w:rsidP="006E1C28">
      <w:pPr>
        <w:pStyle w:val="Nzev"/>
        <w:jc w:val="both"/>
        <w:rPr>
          <w:sz w:val="24"/>
          <w:szCs w:val="24"/>
        </w:rPr>
      </w:pPr>
      <w:r>
        <w:rPr>
          <w:sz w:val="24"/>
          <w:szCs w:val="24"/>
        </w:rPr>
        <w:t>(dále jen "nájemce")</w:t>
      </w:r>
    </w:p>
    <w:p w:rsidR="006E1C28" w:rsidRDefault="006E1C28" w:rsidP="006E1C28">
      <w:pPr>
        <w:autoSpaceDE w:val="0"/>
        <w:autoSpaceDN w:val="0"/>
        <w:adjustRightInd w:val="0"/>
        <w:spacing w:line="360" w:lineRule="auto"/>
        <w:rPr>
          <w:b/>
        </w:rPr>
      </w:pPr>
    </w:p>
    <w:p w:rsidR="006E6207" w:rsidRPr="008578DC" w:rsidRDefault="006E6207" w:rsidP="008578DC">
      <w:pPr>
        <w:pStyle w:val="Bezmezer"/>
        <w:jc w:val="both"/>
      </w:pPr>
      <w:r>
        <w:t>Výše uvedené smluvní strany se dohodly na následujícíc</w:t>
      </w:r>
      <w:r w:rsidR="005B4CE3">
        <w:t>h změnách smlouvy o nájmu prost</w:t>
      </w:r>
      <w:r>
        <w:t>o</w:t>
      </w:r>
      <w:r w:rsidR="005B4CE3">
        <w:t>r</w:t>
      </w:r>
      <w:r>
        <w:t xml:space="preserve"> sloužících podnikání, uzavřené dne 31.08.2017</w:t>
      </w:r>
      <w:r w:rsidR="005B4CE3">
        <w:t>, týkající se pronájmu nebytových prostor</w:t>
      </w:r>
      <w:r w:rsidR="005B4CE3" w:rsidRPr="00E84744">
        <w:t xml:space="preserve"> o celkové výměře </w:t>
      </w:r>
      <w:r w:rsidR="005B4CE3">
        <w:t>381 m2, 381 m2  a 337 m2,</w:t>
      </w:r>
      <w:r w:rsidR="005B4CE3" w:rsidRPr="004125F5">
        <w:t xml:space="preserve"> </w:t>
      </w:r>
      <w:r w:rsidR="005B4CE3">
        <w:t xml:space="preserve">nacházejících se </w:t>
      </w:r>
      <w:r w:rsidR="005B4CE3" w:rsidRPr="00E84744">
        <w:t xml:space="preserve">v objektu </w:t>
      </w:r>
      <w:r w:rsidR="005B4CE3">
        <w:t>bez čp/</w:t>
      </w:r>
      <w:proofErr w:type="spellStart"/>
      <w:r w:rsidR="005B4CE3">
        <w:t>če</w:t>
      </w:r>
      <w:proofErr w:type="spellEnd"/>
      <w:r w:rsidR="005B4CE3">
        <w:t xml:space="preserve">, který je součástí pozemku </w:t>
      </w:r>
      <w:proofErr w:type="spellStart"/>
      <w:proofErr w:type="gramStart"/>
      <w:r w:rsidR="005B4CE3">
        <w:t>p.č</w:t>
      </w:r>
      <w:proofErr w:type="spellEnd"/>
      <w:r w:rsidR="005B4CE3">
        <w:t>.</w:t>
      </w:r>
      <w:proofErr w:type="gramEnd"/>
      <w:r w:rsidR="005B4CE3">
        <w:t xml:space="preserve"> 2829/2 </w:t>
      </w:r>
      <w:proofErr w:type="spellStart"/>
      <w:r w:rsidR="005B4CE3">
        <w:t>zast</w:t>
      </w:r>
      <w:proofErr w:type="spellEnd"/>
      <w:r w:rsidR="005B4CE3">
        <w:t xml:space="preserve">. plocha a nádvoří, </w:t>
      </w:r>
      <w:proofErr w:type="spellStart"/>
      <w:r w:rsidR="005B4CE3">
        <w:t>k.ú</w:t>
      </w:r>
      <w:proofErr w:type="spellEnd"/>
      <w:r w:rsidR="005B4CE3">
        <w:t>. Frýdek, obec Frýdek-</w:t>
      </w:r>
      <w:r w:rsidR="005B4CE3" w:rsidRPr="00E84744">
        <w:t>Místek</w:t>
      </w:r>
      <w:r>
        <w:t xml:space="preserve"> (dále jen „smlouva“).</w:t>
      </w:r>
    </w:p>
    <w:p w:rsidR="000A0999" w:rsidRDefault="000A0999" w:rsidP="000A0999">
      <w:pPr>
        <w:autoSpaceDE w:val="0"/>
        <w:autoSpaceDN w:val="0"/>
        <w:adjustRightInd w:val="0"/>
        <w:spacing w:line="360" w:lineRule="auto"/>
        <w:jc w:val="center"/>
        <w:rPr>
          <w:b/>
        </w:rPr>
      </w:pPr>
      <w:r>
        <w:rPr>
          <w:b/>
        </w:rPr>
        <w:t>I.</w:t>
      </w:r>
    </w:p>
    <w:p w:rsidR="006E6207" w:rsidRDefault="006E6207" w:rsidP="000C028E">
      <w:pPr>
        <w:jc w:val="both"/>
        <w:rPr>
          <w:u w:val="single"/>
        </w:rPr>
      </w:pPr>
      <w:r>
        <w:t xml:space="preserve">V důsledku částečné výpovědi smlouvy, učiněné nájemcem dne </w:t>
      </w:r>
      <w:proofErr w:type="gramStart"/>
      <w:r>
        <w:t>30.10.2017</w:t>
      </w:r>
      <w:proofErr w:type="gramEnd"/>
      <w:r>
        <w:t xml:space="preserve">, se </w:t>
      </w:r>
      <w:r>
        <w:rPr>
          <w:u w:val="single"/>
        </w:rPr>
        <w:t>v</w:t>
      </w:r>
      <w:r w:rsidR="000C028E">
        <w:rPr>
          <w:u w:val="single"/>
        </w:rPr>
        <w:t xml:space="preserve"> </w:t>
      </w:r>
      <w:r>
        <w:rPr>
          <w:u w:val="single"/>
        </w:rPr>
        <w:t>č</w:t>
      </w:r>
      <w:r w:rsidR="000C028E">
        <w:rPr>
          <w:u w:val="single"/>
        </w:rPr>
        <w:t>l. II</w:t>
      </w:r>
      <w:r>
        <w:rPr>
          <w:u w:val="single"/>
        </w:rPr>
        <w:t xml:space="preserve"> smlouvy</w:t>
      </w:r>
    </w:p>
    <w:p w:rsidR="000C028E" w:rsidRDefault="000C028E" w:rsidP="000C028E">
      <w:pPr>
        <w:jc w:val="both"/>
        <w:rPr>
          <w:u w:val="single"/>
        </w:rPr>
      </w:pPr>
      <w:r>
        <w:rPr>
          <w:u w:val="single"/>
        </w:rPr>
        <w:t>odst. 1 ruší a nahrazuje se novým odst.</w:t>
      </w:r>
      <w:r w:rsidR="006E6207">
        <w:rPr>
          <w:u w:val="single"/>
        </w:rPr>
        <w:t xml:space="preserve"> </w:t>
      </w:r>
      <w:r>
        <w:rPr>
          <w:u w:val="single"/>
        </w:rPr>
        <w:t>1, který zní:</w:t>
      </w:r>
    </w:p>
    <w:p w:rsidR="000C028E" w:rsidRDefault="000C028E" w:rsidP="000C028E">
      <w:pPr>
        <w:jc w:val="both"/>
        <w:rPr>
          <w:u w:val="single"/>
        </w:rPr>
      </w:pPr>
    </w:p>
    <w:p w:rsidR="000C028E" w:rsidRDefault="000A0999" w:rsidP="000C028E">
      <w:pPr>
        <w:jc w:val="both"/>
      </w:pPr>
      <w:r>
        <w:t>„</w:t>
      </w:r>
      <w:r w:rsidR="000C028E">
        <w:t>1. Pronajímatel tímto přenechává Nájemci do nájmu a Nájemce tímto od Pronajímatele do nájmu přijímá níže specifikované prostory sloužící k podnikání, jež se nachází v</w:t>
      </w:r>
      <w:r w:rsidR="00436E2A">
        <w:t> </w:t>
      </w:r>
      <w:r w:rsidR="000C028E">
        <w:t>Budově</w:t>
      </w:r>
      <w:r w:rsidR="00436E2A">
        <w:t>, a to</w:t>
      </w:r>
      <w:r w:rsidR="000C028E">
        <w:t>:</w:t>
      </w:r>
    </w:p>
    <w:p w:rsidR="00436E2A" w:rsidRDefault="00436E2A" w:rsidP="008578DC">
      <w:pPr>
        <w:pStyle w:val="Odstavecseseznamem"/>
        <w:jc w:val="both"/>
      </w:pPr>
    </w:p>
    <w:tbl>
      <w:tblPr>
        <w:tblW w:w="3420" w:type="dxa"/>
        <w:tblCellMar>
          <w:left w:w="70" w:type="dxa"/>
          <w:right w:w="70" w:type="dxa"/>
        </w:tblCellMar>
        <w:tblLook w:val="04A0" w:firstRow="1" w:lastRow="0" w:firstColumn="1" w:lastColumn="0" w:noHBand="0" w:noVBand="1"/>
      </w:tblPr>
      <w:tblGrid>
        <w:gridCol w:w="1940"/>
        <w:gridCol w:w="1480"/>
      </w:tblGrid>
      <w:tr w:rsidR="000C028E" w:rsidRPr="000C028E" w:rsidTr="000C028E">
        <w:trPr>
          <w:trHeight w:val="300"/>
        </w:trPr>
        <w:tc>
          <w:tcPr>
            <w:tcW w:w="194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0C028E" w:rsidRPr="000C028E" w:rsidRDefault="000C028E" w:rsidP="000C028E">
            <w:pPr>
              <w:rPr>
                <w:rFonts w:ascii="Calibri" w:hAnsi="Calibri" w:cs="Calibri"/>
                <w:b/>
                <w:bCs/>
                <w:color w:val="000000"/>
                <w:sz w:val="22"/>
                <w:szCs w:val="22"/>
              </w:rPr>
            </w:pPr>
            <w:r w:rsidRPr="000C028E">
              <w:rPr>
                <w:rFonts w:ascii="Calibri" w:hAnsi="Calibri" w:cs="Calibri"/>
                <w:b/>
                <w:bCs/>
                <w:color w:val="000000"/>
                <w:sz w:val="22"/>
                <w:szCs w:val="22"/>
              </w:rPr>
              <w:t>označení prostor</w:t>
            </w:r>
          </w:p>
        </w:tc>
        <w:tc>
          <w:tcPr>
            <w:tcW w:w="1480" w:type="dxa"/>
            <w:tcBorders>
              <w:top w:val="single" w:sz="4" w:space="0" w:color="auto"/>
              <w:left w:val="nil"/>
              <w:bottom w:val="single" w:sz="4" w:space="0" w:color="auto"/>
              <w:right w:val="single" w:sz="4" w:space="0" w:color="auto"/>
            </w:tcBorders>
            <w:shd w:val="clear" w:color="000000" w:fill="D0CECE"/>
            <w:noWrap/>
            <w:vAlign w:val="bottom"/>
            <w:hideMark/>
          </w:tcPr>
          <w:p w:rsidR="000C028E" w:rsidRPr="000C028E" w:rsidRDefault="000C028E" w:rsidP="000C028E">
            <w:pPr>
              <w:jc w:val="right"/>
              <w:rPr>
                <w:rFonts w:ascii="Calibri" w:hAnsi="Calibri" w:cs="Calibri"/>
                <w:b/>
                <w:bCs/>
                <w:color w:val="000000"/>
                <w:sz w:val="22"/>
                <w:szCs w:val="22"/>
              </w:rPr>
            </w:pPr>
            <w:r w:rsidRPr="000C028E">
              <w:rPr>
                <w:rFonts w:ascii="Calibri" w:hAnsi="Calibri" w:cs="Calibri"/>
                <w:b/>
                <w:bCs/>
                <w:color w:val="000000"/>
                <w:sz w:val="22"/>
                <w:szCs w:val="22"/>
              </w:rPr>
              <w:t>výměra v m2</w:t>
            </w:r>
          </w:p>
        </w:tc>
      </w:tr>
      <w:tr w:rsidR="000C028E" w:rsidRPr="000C028E" w:rsidTr="000C028E">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C028E" w:rsidRPr="000C028E" w:rsidRDefault="000C028E" w:rsidP="000C028E">
            <w:pPr>
              <w:rPr>
                <w:rFonts w:ascii="Calibri" w:hAnsi="Calibri" w:cs="Calibri"/>
                <w:color w:val="000000"/>
                <w:sz w:val="22"/>
                <w:szCs w:val="22"/>
              </w:rPr>
            </w:pPr>
            <w:r w:rsidRPr="000C028E">
              <w:rPr>
                <w:rFonts w:ascii="Calibri" w:hAnsi="Calibri" w:cs="Calibri"/>
                <w:color w:val="000000"/>
                <w:sz w:val="22"/>
                <w:szCs w:val="22"/>
              </w:rPr>
              <w:t>sklad 115</w:t>
            </w:r>
          </w:p>
        </w:tc>
        <w:tc>
          <w:tcPr>
            <w:tcW w:w="1480" w:type="dxa"/>
            <w:tcBorders>
              <w:top w:val="nil"/>
              <w:left w:val="nil"/>
              <w:bottom w:val="single" w:sz="4" w:space="0" w:color="auto"/>
              <w:right w:val="single" w:sz="4" w:space="0" w:color="auto"/>
            </w:tcBorders>
            <w:shd w:val="clear" w:color="auto" w:fill="auto"/>
            <w:noWrap/>
            <w:vAlign w:val="bottom"/>
            <w:hideMark/>
          </w:tcPr>
          <w:p w:rsidR="000C028E" w:rsidRPr="000C028E" w:rsidRDefault="000C028E" w:rsidP="000C028E">
            <w:pPr>
              <w:jc w:val="right"/>
              <w:rPr>
                <w:rFonts w:ascii="Calibri" w:hAnsi="Calibri" w:cs="Calibri"/>
                <w:color w:val="000000"/>
                <w:sz w:val="22"/>
                <w:szCs w:val="22"/>
              </w:rPr>
            </w:pPr>
            <w:r w:rsidRPr="000C028E">
              <w:rPr>
                <w:rFonts w:ascii="Calibri" w:hAnsi="Calibri" w:cs="Calibri"/>
                <w:color w:val="000000"/>
                <w:sz w:val="22"/>
                <w:szCs w:val="22"/>
              </w:rPr>
              <w:t>326,76</w:t>
            </w:r>
          </w:p>
        </w:tc>
      </w:tr>
    </w:tbl>
    <w:p w:rsidR="000C028E" w:rsidRDefault="000C028E" w:rsidP="000C028E">
      <w:pPr>
        <w:pStyle w:val="Odstavecseseznamem"/>
        <w:jc w:val="both"/>
      </w:pPr>
    </w:p>
    <w:p w:rsidR="000A0999" w:rsidRDefault="000A0999" w:rsidP="008578DC">
      <w:pPr>
        <w:pStyle w:val="Odstavecseseznamem"/>
        <w:ind w:left="0"/>
        <w:jc w:val="both"/>
      </w:pPr>
      <w:r>
        <w:t>(dále jen „</w:t>
      </w:r>
      <w:r w:rsidRPr="000A0999">
        <w:rPr>
          <w:b/>
        </w:rPr>
        <w:t>Prostory</w:t>
      </w:r>
      <w:r>
        <w:t>“).</w:t>
      </w:r>
      <w:r w:rsidR="006E6207" w:rsidRPr="006E6207">
        <w:t xml:space="preserve"> </w:t>
      </w:r>
      <w:r w:rsidR="006E6207">
        <w:t>Přesná</w:t>
      </w:r>
      <w:r w:rsidR="006E6207" w:rsidRPr="00CB1723">
        <w:rPr>
          <w:color w:val="FF0000"/>
        </w:rPr>
        <w:t xml:space="preserve"> </w:t>
      </w:r>
      <w:r w:rsidR="006E6207">
        <w:t xml:space="preserve">specifikace </w:t>
      </w:r>
      <w:r w:rsidR="00436E2A">
        <w:t>P</w:t>
      </w:r>
      <w:r w:rsidR="006E6207">
        <w:t xml:space="preserve">rostor je uvedena v evidenčním listě č. 1, </w:t>
      </w:r>
      <w:r w:rsidR="00436E2A">
        <w:t>a je vyznačena vyšrafováním v</w:t>
      </w:r>
      <w:r w:rsidR="00E4405A">
        <w:t> situačním výkresu</w:t>
      </w:r>
      <w:r w:rsidR="00436E2A">
        <w:t>, který tvoří přílohu č. 2, přičemž obě přílohy jsou nedílnou součástí této smlouvy.</w:t>
      </w:r>
      <w:r>
        <w:t>“</w:t>
      </w:r>
      <w:r w:rsidR="006E6207">
        <w:t>.</w:t>
      </w:r>
    </w:p>
    <w:p w:rsidR="000A0999" w:rsidRDefault="000A0999" w:rsidP="000C028E">
      <w:pPr>
        <w:pStyle w:val="Odstavecseseznamem"/>
        <w:jc w:val="both"/>
      </w:pPr>
    </w:p>
    <w:p w:rsidR="000A0999" w:rsidRDefault="000A0999" w:rsidP="000A0999">
      <w:pPr>
        <w:pStyle w:val="Odstavecseseznamem"/>
        <w:ind w:left="0"/>
        <w:jc w:val="center"/>
        <w:rPr>
          <w:u w:val="single"/>
        </w:rPr>
      </w:pPr>
    </w:p>
    <w:p w:rsidR="000A0999" w:rsidRDefault="000A0999" w:rsidP="000A0999">
      <w:pPr>
        <w:pStyle w:val="Odstavecseseznamem"/>
        <w:ind w:left="0"/>
        <w:jc w:val="center"/>
        <w:rPr>
          <w:u w:val="single"/>
        </w:rPr>
      </w:pPr>
    </w:p>
    <w:p w:rsidR="000A0999" w:rsidRPr="000A0999" w:rsidRDefault="000A0999" w:rsidP="000A0999">
      <w:pPr>
        <w:pStyle w:val="Odstavecseseznamem"/>
        <w:ind w:left="0"/>
        <w:jc w:val="center"/>
        <w:rPr>
          <w:b/>
        </w:rPr>
      </w:pPr>
      <w:r w:rsidRPr="000A0999">
        <w:rPr>
          <w:b/>
        </w:rPr>
        <w:t>II.</w:t>
      </w:r>
    </w:p>
    <w:p w:rsidR="000A0999" w:rsidRDefault="000A0999" w:rsidP="000A0999">
      <w:pPr>
        <w:pStyle w:val="Odstavecseseznamem"/>
        <w:ind w:left="0"/>
        <w:jc w:val="both"/>
        <w:rPr>
          <w:u w:val="single"/>
        </w:rPr>
      </w:pPr>
      <w:r>
        <w:rPr>
          <w:u w:val="single"/>
        </w:rPr>
        <w:t xml:space="preserve">V </w:t>
      </w:r>
      <w:r w:rsidR="006E6207">
        <w:rPr>
          <w:u w:val="single"/>
        </w:rPr>
        <w:t>č</w:t>
      </w:r>
      <w:r>
        <w:rPr>
          <w:u w:val="single"/>
        </w:rPr>
        <w:t>l. II</w:t>
      </w:r>
      <w:r w:rsidR="00E4405A">
        <w:rPr>
          <w:u w:val="single"/>
        </w:rPr>
        <w:t xml:space="preserve"> smlouvy</w:t>
      </w:r>
      <w:r>
        <w:rPr>
          <w:u w:val="single"/>
        </w:rPr>
        <w:t xml:space="preserve"> se odst. 2 ruší</w:t>
      </w:r>
      <w:r w:rsidR="00E4405A">
        <w:rPr>
          <w:u w:val="single"/>
        </w:rPr>
        <w:t>.</w:t>
      </w:r>
    </w:p>
    <w:p w:rsidR="000A0999" w:rsidRDefault="000A0999" w:rsidP="000A0999">
      <w:pPr>
        <w:pStyle w:val="Odstavecseseznamem"/>
        <w:ind w:left="0"/>
        <w:jc w:val="both"/>
        <w:rPr>
          <w:u w:val="single"/>
        </w:rPr>
      </w:pPr>
    </w:p>
    <w:p w:rsidR="000A0999" w:rsidRDefault="000A0999" w:rsidP="000A0999">
      <w:pPr>
        <w:pStyle w:val="Odstavecseseznamem"/>
        <w:ind w:left="0"/>
        <w:jc w:val="both"/>
        <w:rPr>
          <w:u w:val="single"/>
        </w:rPr>
      </w:pPr>
    </w:p>
    <w:p w:rsidR="000A0999" w:rsidRDefault="000A0999" w:rsidP="000A0999">
      <w:pPr>
        <w:pStyle w:val="Odstavecseseznamem"/>
        <w:ind w:left="0"/>
        <w:jc w:val="center"/>
        <w:rPr>
          <w:b/>
        </w:rPr>
      </w:pPr>
      <w:r>
        <w:rPr>
          <w:b/>
        </w:rPr>
        <w:t>III.</w:t>
      </w:r>
    </w:p>
    <w:p w:rsidR="000A0999" w:rsidRDefault="00E4405A" w:rsidP="000A0999">
      <w:pPr>
        <w:pStyle w:val="Odstavecseseznamem"/>
        <w:ind w:left="0"/>
        <w:rPr>
          <w:u w:val="single"/>
        </w:rPr>
      </w:pPr>
      <w:r>
        <w:rPr>
          <w:u w:val="single"/>
        </w:rPr>
        <w:t>Č</w:t>
      </w:r>
      <w:r w:rsidR="000A0999">
        <w:rPr>
          <w:u w:val="single"/>
        </w:rPr>
        <w:t>l. VI</w:t>
      </w:r>
      <w:r>
        <w:rPr>
          <w:u w:val="single"/>
        </w:rPr>
        <w:t xml:space="preserve"> smlouvy</w:t>
      </w:r>
      <w:r w:rsidR="000A0999">
        <w:rPr>
          <w:u w:val="single"/>
        </w:rPr>
        <w:t xml:space="preserve"> se ruší a nahrazuje se novým </w:t>
      </w:r>
      <w:r w:rsidR="004B306F">
        <w:rPr>
          <w:u w:val="single"/>
        </w:rPr>
        <w:t>čl. VI</w:t>
      </w:r>
      <w:r w:rsidR="000A0999">
        <w:rPr>
          <w:u w:val="single"/>
        </w:rPr>
        <w:t>, který zní:</w:t>
      </w:r>
    </w:p>
    <w:p w:rsidR="000A0999" w:rsidRDefault="000A0999" w:rsidP="000A0999">
      <w:pPr>
        <w:pStyle w:val="Odstavecseseznamem"/>
        <w:ind w:left="0"/>
        <w:rPr>
          <w:u w:val="single"/>
        </w:rPr>
      </w:pPr>
    </w:p>
    <w:p w:rsidR="00E4405A" w:rsidRDefault="000A0999" w:rsidP="008578DC">
      <w:pPr>
        <w:autoSpaceDE w:val="0"/>
        <w:autoSpaceDN w:val="0"/>
        <w:adjustRightInd w:val="0"/>
        <w:spacing w:before="120"/>
        <w:jc w:val="center"/>
      </w:pPr>
      <w:r>
        <w:t>„</w:t>
      </w:r>
      <w:r w:rsidR="00E4405A">
        <w:t>VI.</w:t>
      </w:r>
    </w:p>
    <w:p w:rsidR="004B306F" w:rsidRDefault="004B306F" w:rsidP="004B306F">
      <w:pPr>
        <w:autoSpaceDE w:val="0"/>
        <w:autoSpaceDN w:val="0"/>
        <w:adjustRightInd w:val="0"/>
        <w:spacing w:before="120"/>
        <w:jc w:val="both"/>
        <w:rPr>
          <w:b/>
        </w:rPr>
      </w:pPr>
      <w:r>
        <w:t xml:space="preserve">1. Nájemné se sjednává ve výši </w:t>
      </w:r>
      <w:r>
        <w:rPr>
          <w:b/>
        </w:rPr>
        <w:t>350 Kč/ m</w:t>
      </w:r>
      <w:r>
        <w:rPr>
          <w:b/>
          <w:vertAlign w:val="superscript"/>
        </w:rPr>
        <w:t>2</w:t>
      </w:r>
      <w:r>
        <w:rPr>
          <w:b/>
        </w:rPr>
        <w:t xml:space="preserve">/rok + příslušná sazba DPH. </w:t>
      </w:r>
      <w:r>
        <w:t xml:space="preserve">Celková roční výše nájemného činí </w:t>
      </w:r>
      <w:r>
        <w:rPr>
          <w:b/>
        </w:rPr>
        <w:t>138 384 Kč vč. příslušné sazby DPH po zaokrouhlení.</w:t>
      </w:r>
    </w:p>
    <w:p w:rsidR="004B306F" w:rsidRDefault="004B306F" w:rsidP="004B306F">
      <w:pPr>
        <w:pStyle w:val="Nzev"/>
        <w:spacing w:after="120"/>
        <w:jc w:val="both"/>
        <w:rPr>
          <w:sz w:val="24"/>
        </w:rPr>
      </w:pPr>
      <w:r>
        <w:rPr>
          <w:sz w:val="24"/>
        </w:rPr>
        <w:t xml:space="preserve">2. Nájemné je splatné měsíčně předem, </w:t>
      </w:r>
      <w:r>
        <w:rPr>
          <w:b/>
          <w:sz w:val="24"/>
        </w:rPr>
        <w:t>dle splátkového kalendáře</w:t>
      </w:r>
      <w:r>
        <w:rPr>
          <w:sz w:val="24"/>
        </w:rPr>
        <w:t xml:space="preserve">, ve výši 1/12 ročního nájemného, tj. ve výši </w:t>
      </w:r>
      <w:r>
        <w:rPr>
          <w:b/>
          <w:sz w:val="24"/>
        </w:rPr>
        <w:t>11 532 Kč</w:t>
      </w:r>
      <w:r>
        <w:rPr>
          <w:sz w:val="24"/>
        </w:rPr>
        <w:t xml:space="preserve"> </w:t>
      </w:r>
      <w:r>
        <w:rPr>
          <w:b/>
          <w:sz w:val="24"/>
        </w:rPr>
        <w:t>vč. DPH</w:t>
      </w:r>
      <w:r>
        <w:rPr>
          <w:sz w:val="24"/>
        </w:rPr>
        <w:t xml:space="preserve"> měsíčně, na účet pronajímatele u Komerční banky a.s. ve Frýdku-Místku, </w:t>
      </w:r>
      <w:r>
        <w:rPr>
          <w:b/>
          <w:sz w:val="24"/>
        </w:rPr>
        <w:t xml:space="preserve">č. účtu </w:t>
      </w:r>
      <w:proofErr w:type="spellStart"/>
      <w:r w:rsidR="00AA3B59">
        <w:rPr>
          <w:b/>
          <w:sz w:val="24"/>
        </w:rPr>
        <w:t>xxxxxxxxxxxx</w:t>
      </w:r>
      <w:proofErr w:type="spellEnd"/>
      <w:r>
        <w:rPr>
          <w:b/>
          <w:sz w:val="24"/>
        </w:rPr>
        <w:t xml:space="preserve">, VS </w:t>
      </w:r>
      <w:proofErr w:type="spellStart"/>
      <w:r w:rsidR="00AA3B59">
        <w:rPr>
          <w:b/>
          <w:sz w:val="24"/>
        </w:rPr>
        <w:t>xxxxxxxxxxxxxxxxxx</w:t>
      </w:r>
      <w:proofErr w:type="spellEnd"/>
      <w:r>
        <w:rPr>
          <w:sz w:val="24"/>
        </w:rPr>
        <w:t xml:space="preserve">, a to převodním příkazem nebo na pokladně pronajímatele. Nájemné včetně záloh na služby na období od </w:t>
      </w:r>
      <w:proofErr w:type="gramStart"/>
      <w:r>
        <w:rPr>
          <w:b/>
          <w:sz w:val="24"/>
        </w:rPr>
        <w:t>01.01.2018</w:t>
      </w:r>
      <w:proofErr w:type="gramEnd"/>
      <w:r>
        <w:rPr>
          <w:b/>
          <w:sz w:val="24"/>
        </w:rPr>
        <w:t xml:space="preserve"> do 31.01.2018 ve výši 11 865 Kč</w:t>
      </w:r>
      <w:r>
        <w:rPr>
          <w:b/>
        </w:rPr>
        <w:t xml:space="preserve"> </w:t>
      </w:r>
      <w:r>
        <w:rPr>
          <w:sz w:val="24"/>
        </w:rPr>
        <w:t>je splatné při podpisu této smlouvy.</w:t>
      </w:r>
    </w:p>
    <w:p w:rsidR="004B306F" w:rsidRDefault="004B306F" w:rsidP="004B306F">
      <w:pPr>
        <w:pStyle w:val="Nzev"/>
        <w:tabs>
          <w:tab w:val="left" w:pos="360"/>
        </w:tabs>
        <w:jc w:val="both"/>
        <w:rPr>
          <w:sz w:val="24"/>
        </w:rPr>
      </w:pPr>
      <w:r>
        <w:rPr>
          <w:sz w:val="24"/>
        </w:rPr>
        <w:t>3.</w:t>
      </w:r>
      <w:r>
        <w:rPr>
          <w:sz w:val="24"/>
        </w:rPr>
        <w:tab/>
        <w:t xml:space="preserve">Splátkový kalendář je daňovým dokladem ve smyslu ustanovení § 31 </w:t>
      </w:r>
      <w:proofErr w:type="gramStart"/>
      <w:r>
        <w:rPr>
          <w:sz w:val="24"/>
        </w:rPr>
        <w:t>zákona  č.</w:t>
      </w:r>
      <w:proofErr w:type="gramEnd"/>
      <w:r>
        <w:rPr>
          <w:sz w:val="24"/>
        </w:rPr>
        <w:t> 235/2004 Sb., o dani z přidané hodnoty, ve znění pozdějších předpisů, a je nedílnou součástí nájemní smlouvy.</w:t>
      </w:r>
    </w:p>
    <w:p w:rsidR="004B306F" w:rsidRDefault="004B306F" w:rsidP="004B306F">
      <w:pPr>
        <w:pStyle w:val="Nzev"/>
        <w:tabs>
          <w:tab w:val="left" w:pos="360"/>
        </w:tabs>
        <w:spacing w:before="0" w:after="120"/>
        <w:jc w:val="both"/>
        <w:rPr>
          <w:sz w:val="24"/>
        </w:rPr>
      </w:pPr>
      <w:r>
        <w:rPr>
          <w:sz w:val="24"/>
        </w:rPr>
        <w:t xml:space="preserve">Splátkový kalendář vystavuje pronajímatel vždy na příslušný kalendářní rok jednostranným písemným úkonem doručeným nájemci do </w:t>
      </w:r>
      <w:proofErr w:type="gramStart"/>
      <w:r>
        <w:rPr>
          <w:sz w:val="24"/>
        </w:rPr>
        <w:t>28.2. příslušného</w:t>
      </w:r>
      <w:proofErr w:type="gramEnd"/>
      <w:r>
        <w:rPr>
          <w:sz w:val="24"/>
        </w:rPr>
        <w:t xml:space="preserve"> roku. Doručením splátkového kalendáře nájemci dochází ke změně nájemní smlouvy v části týkající se splátkového kalendáře. Další daňové doklady nebudou pronajímatelem vystavovány. </w:t>
      </w:r>
    </w:p>
    <w:p w:rsidR="004B306F" w:rsidRDefault="004B306F" w:rsidP="004B306F">
      <w:pPr>
        <w:pStyle w:val="Nzev"/>
        <w:jc w:val="both"/>
        <w:rPr>
          <w:sz w:val="24"/>
        </w:rPr>
      </w:pPr>
      <w:r>
        <w:rPr>
          <w:sz w:val="24"/>
        </w:rPr>
        <w:t xml:space="preserve">4. Pronajímatel je oprávněn upravit bez dohody smluvních stran každoročně výši nájemného o tolik %, kolik činí růst inflace vypočtený průměrem % růstu inflace v jednotlivých měsících za uplynulý kalendářní rok. Nájemné lze zvýšit o tuto vypočtenou částku prvním dnem následujícího kalendářního roku. Při stanovení % růstu inflace v jednotlivých měsících kalendářního roku se vychází z oficiálního údaje orgánů státní statistiky, popř. ČNB. Vychází se přitom ze základu, kterým je procento inflace platné k 1. dni sledovaného kalendářního roku. </w:t>
      </w:r>
    </w:p>
    <w:p w:rsidR="004B306F" w:rsidRDefault="004B306F" w:rsidP="004B306F">
      <w:pPr>
        <w:jc w:val="both"/>
      </w:pPr>
    </w:p>
    <w:p w:rsidR="004B306F" w:rsidRDefault="004B306F" w:rsidP="004B306F">
      <w:pPr>
        <w:jc w:val="both"/>
      </w:pPr>
      <w:r>
        <w:t>5. V případě, že nájemce nebude dodržovat stanovené termíny úhrad nájemného, bude mu účtován zákonný úrok z prodlení dle § 1970 zákona č. 89/2012 Sb., občanský zákoník, v platném znění, ve spojení s ustanovením § 2 nařízení vlády č. 351/2013 Sb., v platném znění.“</w:t>
      </w:r>
      <w:r w:rsidR="00E4405A">
        <w:t>.</w:t>
      </w:r>
    </w:p>
    <w:p w:rsidR="004B306F" w:rsidRDefault="004B306F" w:rsidP="004B306F">
      <w:pPr>
        <w:jc w:val="both"/>
      </w:pPr>
    </w:p>
    <w:p w:rsidR="004B306F" w:rsidRDefault="004B306F" w:rsidP="004B306F">
      <w:pPr>
        <w:jc w:val="center"/>
        <w:rPr>
          <w:b/>
        </w:rPr>
      </w:pPr>
    </w:p>
    <w:p w:rsidR="004B306F" w:rsidRDefault="004B306F" w:rsidP="004B306F">
      <w:pPr>
        <w:jc w:val="center"/>
        <w:rPr>
          <w:b/>
        </w:rPr>
      </w:pPr>
      <w:r>
        <w:rPr>
          <w:b/>
        </w:rPr>
        <w:t>IV.</w:t>
      </w:r>
    </w:p>
    <w:p w:rsidR="00E4405A" w:rsidRDefault="004B306F" w:rsidP="004B306F">
      <w:pPr>
        <w:pStyle w:val="Odstavecseseznamem"/>
        <w:ind w:left="0"/>
        <w:rPr>
          <w:u w:val="single"/>
        </w:rPr>
      </w:pPr>
      <w:r>
        <w:rPr>
          <w:u w:val="single"/>
        </w:rPr>
        <w:t xml:space="preserve">V </w:t>
      </w:r>
      <w:r w:rsidR="00E4405A">
        <w:rPr>
          <w:u w:val="single"/>
        </w:rPr>
        <w:t>č</w:t>
      </w:r>
      <w:r>
        <w:rPr>
          <w:u w:val="single"/>
        </w:rPr>
        <w:t>l. VII</w:t>
      </w:r>
      <w:r w:rsidR="00E4405A">
        <w:rPr>
          <w:u w:val="single"/>
        </w:rPr>
        <w:t xml:space="preserve"> smlouvy se:</w:t>
      </w:r>
      <w:r>
        <w:rPr>
          <w:u w:val="single"/>
        </w:rPr>
        <w:t xml:space="preserve"> </w:t>
      </w:r>
    </w:p>
    <w:p w:rsidR="004B306F" w:rsidRDefault="004B306F" w:rsidP="008578DC">
      <w:pPr>
        <w:pStyle w:val="Odstavecseseznamem"/>
        <w:numPr>
          <w:ilvl w:val="0"/>
          <w:numId w:val="26"/>
        </w:numPr>
        <w:ind w:left="284" w:hanging="284"/>
        <w:rPr>
          <w:u w:val="single"/>
        </w:rPr>
      </w:pPr>
      <w:r>
        <w:rPr>
          <w:u w:val="single"/>
        </w:rPr>
        <w:t>odst.</w:t>
      </w:r>
      <w:r w:rsidR="00E4405A">
        <w:rPr>
          <w:u w:val="single"/>
        </w:rPr>
        <w:t xml:space="preserve"> </w:t>
      </w:r>
      <w:r>
        <w:rPr>
          <w:u w:val="single"/>
        </w:rPr>
        <w:t xml:space="preserve">1 </w:t>
      </w:r>
      <w:r w:rsidR="00E4405A">
        <w:rPr>
          <w:u w:val="single"/>
        </w:rPr>
        <w:t>až</w:t>
      </w:r>
      <w:r>
        <w:rPr>
          <w:u w:val="single"/>
        </w:rPr>
        <w:t xml:space="preserve"> 3 ruší a nahrazují se novými odst.</w:t>
      </w:r>
      <w:r w:rsidR="00E4405A">
        <w:rPr>
          <w:u w:val="single"/>
        </w:rPr>
        <w:t xml:space="preserve"> </w:t>
      </w:r>
      <w:r>
        <w:rPr>
          <w:u w:val="single"/>
        </w:rPr>
        <w:t xml:space="preserve">1 </w:t>
      </w:r>
      <w:r w:rsidR="00E4405A">
        <w:rPr>
          <w:u w:val="single"/>
        </w:rPr>
        <w:t xml:space="preserve">až </w:t>
      </w:r>
      <w:r>
        <w:rPr>
          <w:u w:val="single"/>
        </w:rPr>
        <w:t>7</w:t>
      </w:r>
      <w:r w:rsidR="00E4405A">
        <w:rPr>
          <w:u w:val="single"/>
        </w:rPr>
        <w:t xml:space="preserve"> následujícího znění</w:t>
      </w:r>
      <w:r>
        <w:rPr>
          <w:u w:val="single"/>
        </w:rPr>
        <w:t>:</w:t>
      </w:r>
    </w:p>
    <w:p w:rsidR="00E4405A" w:rsidRDefault="00E4405A" w:rsidP="008578DC">
      <w:pPr>
        <w:pStyle w:val="Odstavecseseznamem"/>
        <w:ind w:left="284"/>
        <w:rPr>
          <w:u w:val="single"/>
        </w:rPr>
      </w:pPr>
    </w:p>
    <w:p w:rsidR="004B306F" w:rsidRDefault="004B306F" w:rsidP="004B306F">
      <w:pPr>
        <w:autoSpaceDE w:val="0"/>
        <w:autoSpaceDN w:val="0"/>
        <w:adjustRightInd w:val="0"/>
        <w:jc w:val="both"/>
      </w:pPr>
      <w:r>
        <w:t>„1. V zájmu řádného užívání prostor bylo dohodnuto, že pronajímatel poskytne po dobu odpovídající době nájmu:</w:t>
      </w:r>
    </w:p>
    <w:p w:rsidR="004B306F" w:rsidRDefault="004B306F" w:rsidP="004B306F">
      <w:pPr>
        <w:autoSpaceDE w:val="0"/>
        <w:autoSpaceDN w:val="0"/>
        <w:adjustRightInd w:val="0"/>
        <w:jc w:val="both"/>
      </w:pPr>
    </w:p>
    <w:p w:rsidR="004B306F" w:rsidRDefault="004B306F" w:rsidP="004B306F">
      <w:pPr>
        <w:autoSpaceDE w:val="0"/>
        <w:autoSpaceDN w:val="0"/>
        <w:adjustRightInd w:val="0"/>
        <w:jc w:val="both"/>
        <w:rPr>
          <w:b/>
        </w:rPr>
      </w:pPr>
      <w:r>
        <w:t xml:space="preserve">- </w:t>
      </w:r>
      <w:r>
        <w:rPr>
          <w:b/>
        </w:rPr>
        <w:t xml:space="preserve">dodávku el. </w:t>
      </w:r>
      <w:proofErr w:type="gramStart"/>
      <w:r>
        <w:rPr>
          <w:b/>
        </w:rPr>
        <w:t>energie</w:t>
      </w:r>
      <w:proofErr w:type="gramEnd"/>
    </w:p>
    <w:p w:rsidR="004B306F" w:rsidRDefault="004B306F" w:rsidP="004B306F">
      <w:pPr>
        <w:autoSpaceDE w:val="0"/>
        <w:autoSpaceDN w:val="0"/>
        <w:adjustRightInd w:val="0"/>
        <w:spacing w:before="120"/>
        <w:jc w:val="both"/>
      </w:pPr>
      <w:r>
        <w:t>2. Pronajímatel se zavazuje poskytnout dohodnuté služby včas, řádně, v množství a kvalitě odpovídající obvyklé potřebě nájemců, nebo s nájemci dohodnuté.</w:t>
      </w:r>
    </w:p>
    <w:p w:rsidR="004B306F" w:rsidRDefault="004B306F" w:rsidP="004B306F">
      <w:pPr>
        <w:autoSpaceDE w:val="0"/>
        <w:autoSpaceDN w:val="0"/>
        <w:adjustRightInd w:val="0"/>
        <w:spacing w:before="120"/>
        <w:jc w:val="both"/>
      </w:pPr>
      <w:r>
        <w:lastRenderedPageBreak/>
        <w:t>3. Nájemce se zavazuje řádně a včas dohodnuté služby převzít, včas oznámit pronajímateli závady toho se týkající a řádně spolupůsobit při plánování potřeby služeb s pronajímatelem.</w:t>
      </w:r>
    </w:p>
    <w:p w:rsidR="004B306F" w:rsidRDefault="004B306F" w:rsidP="004B306F">
      <w:pPr>
        <w:autoSpaceDE w:val="0"/>
        <w:autoSpaceDN w:val="0"/>
        <w:adjustRightInd w:val="0"/>
        <w:spacing w:before="120"/>
        <w:jc w:val="both"/>
      </w:pPr>
      <w:r>
        <w:t>4. Nájemce se zavazuje hradit pronajímateli úhrady za služby tak, jak je sjednáno v této smlouvě, případně tak, jak vyplývá z platných právních předpisů.</w:t>
      </w:r>
    </w:p>
    <w:p w:rsidR="004B306F" w:rsidRDefault="004B306F" w:rsidP="004B306F">
      <w:pPr>
        <w:jc w:val="both"/>
      </w:pPr>
    </w:p>
    <w:p w:rsidR="004B306F" w:rsidRDefault="004B306F" w:rsidP="004B306F">
      <w:pPr>
        <w:jc w:val="both"/>
        <w:rPr>
          <w:b/>
        </w:rPr>
      </w:pPr>
      <w:r>
        <w:t xml:space="preserve">5. Cena za dodávku </w:t>
      </w:r>
      <w:r>
        <w:rPr>
          <w:b/>
        </w:rPr>
        <w:t xml:space="preserve">el. </w:t>
      </w:r>
      <w:proofErr w:type="gramStart"/>
      <w:r>
        <w:rPr>
          <w:b/>
        </w:rPr>
        <w:t>energie</w:t>
      </w:r>
      <w:proofErr w:type="gramEnd"/>
      <w:r>
        <w:t xml:space="preserve"> je stanovena paušálně na částku 3 300 Kč ročně + příslušná sazba DPH</w:t>
      </w:r>
      <w:r>
        <w:rPr>
          <w:b/>
        </w:rPr>
        <w:t xml:space="preserve">. </w:t>
      </w:r>
    </w:p>
    <w:p w:rsidR="004B306F" w:rsidRDefault="004B306F" w:rsidP="004B306F">
      <w:pPr>
        <w:jc w:val="both"/>
      </w:pPr>
    </w:p>
    <w:p w:rsidR="004B306F" w:rsidRDefault="004B306F" w:rsidP="004B306F">
      <w:pPr>
        <w:pStyle w:val="Zkladntext"/>
      </w:pPr>
      <w:r>
        <w:t xml:space="preserve">6. Nájemce je povinen zálohově hradit služby dle specifikace uvedené na evidenčním listě č. 1 ve výši </w:t>
      </w:r>
      <w:r>
        <w:rPr>
          <w:b/>
        </w:rPr>
        <w:t>333 Kč měsíčně</w:t>
      </w:r>
      <w:r>
        <w:t xml:space="preserve">, a to ve lhůtách splatnosti jako nájemné dle článku </w:t>
      </w:r>
      <w:proofErr w:type="gramStart"/>
      <w:r>
        <w:t>III.2. smlouvy</w:t>
      </w:r>
      <w:proofErr w:type="gramEnd"/>
      <w:r>
        <w:t xml:space="preserve">. Daňovým dokladem je platební kalendář, který vystavuje pronajímatel vždy na příslušný kalendářní rok jednostranným písemným úkonem doručeným nájemci do </w:t>
      </w:r>
      <w:proofErr w:type="gramStart"/>
      <w:r>
        <w:t>28.2</w:t>
      </w:r>
      <w:proofErr w:type="gramEnd"/>
      <w:r>
        <w:t>.  příslušného roku. Doručením platebního kalendáře nájemci dochází ke změně nájemní smlouvy v části týkající se platebního kalendáře.</w:t>
      </w:r>
    </w:p>
    <w:p w:rsidR="004B306F" w:rsidRDefault="004B306F" w:rsidP="004B306F">
      <w:pPr>
        <w:jc w:val="both"/>
      </w:pPr>
    </w:p>
    <w:p w:rsidR="004B306F" w:rsidRDefault="004B306F" w:rsidP="004B306F">
      <w:pPr>
        <w:jc w:val="both"/>
      </w:pPr>
      <w:r>
        <w:t xml:space="preserve">7. Konečné vyúčtování veškerých poskytovaných služeb bude provedeno po obdržení vyúčtování příslušných dodavatelů a poskytovatelů vždy v průběhu následujícího kalendářního roku. Případný přeplatek či nedoplatek záloh na poskytnuté služby je splatný do </w:t>
      </w:r>
      <w:proofErr w:type="gramStart"/>
      <w:r>
        <w:t>31.7. příslušného</w:t>
      </w:r>
      <w:proofErr w:type="gramEnd"/>
      <w:r>
        <w:t xml:space="preserve"> roku za předchozí kalendářní rok.</w:t>
      </w:r>
      <w:r w:rsidR="0014338B">
        <w:t>“.</w:t>
      </w:r>
    </w:p>
    <w:p w:rsidR="004B306F" w:rsidRDefault="004B306F" w:rsidP="004B306F"/>
    <w:p w:rsidR="0014338B" w:rsidRPr="008578DC" w:rsidRDefault="0014338B" w:rsidP="008578DC">
      <w:pPr>
        <w:pStyle w:val="Odstavecseseznamem"/>
        <w:numPr>
          <w:ilvl w:val="0"/>
          <w:numId w:val="26"/>
        </w:numPr>
        <w:ind w:left="284" w:hanging="284"/>
        <w:rPr>
          <w:u w:val="single"/>
        </w:rPr>
      </w:pPr>
      <w:r w:rsidRPr="008578DC">
        <w:rPr>
          <w:u w:val="single"/>
        </w:rPr>
        <w:t>dosavadní odst. 4 a 5 označují nyní jako odst. 8 a 9.</w:t>
      </w:r>
    </w:p>
    <w:p w:rsidR="004B306F" w:rsidRDefault="004B306F" w:rsidP="004B306F"/>
    <w:p w:rsidR="004B306F" w:rsidRDefault="004B306F" w:rsidP="004B306F"/>
    <w:p w:rsidR="004B306F" w:rsidRDefault="004B306F" w:rsidP="004B306F">
      <w:pPr>
        <w:jc w:val="center"/>
        <w:rPr>
          <w:b/>
        </w:rPr>
      </w:pPr>
      <w:r w:rsidRPr="004B306F">
        <w:rPr>
          <w:b/>
        </w:rPr>
        <w:t>V.</w:t>
      </w:r>
    </w:p>
    <w:p w:rsidR="004B306F" w:rsidRDefault="004B306F" w:rsidP="004B306F">
      <w:pPr>
        <w:jc w:val="both"/>
        <w:rPr>
          <w:u w:val="single"/>
        </w:rPr>
      </w:pPr>
      <w:r>
        <w:rPr>
          <w:u w:val="single"/>
        </w:rPr>
        <w:t xml:space="preserve">V </w:t>
      </w:r>
      <w:r w:rsidR="0014338B">
        <w:rPr>
          <w:u w:val="single"/>
        </w:rPr>
        <w:t>č</w:t>
      </w:r>
      <w:r>
        <w:rPr>
          <w:u w:val="single"/>
        </w:rPr>
        <w:t>l. XVI</w:t>
      </w:r>
      <w:r w:rsidR="0014338B">
        <w:rPr>
          <w:u w:val="single"/>
        </w:rPr>
        <w:t xml:space="preserve"> smlouvy</w:t>
      </w:r>
      <w:r>
        <w:rPr>
          <w:u w:val="single"/>
        </w:rPr>
        <w:t xml:space="preserve"> se odst. 3 ruší a nahrazuje se novým odst.</w:t>
      </w:r>
      <w:r w:rsidR="0014338B">
        <w:rPr>
          <w:u w:val="single"/>
        </w:rPr>
        <w:t xml:space="preserve"> </w:t>
      </w:r>
      <w:r>
        <w:rPr>
          <w:u w:val="single"/>
        </w:rPr>
        <w:t>3, který zní:</w:t>
      </w:r>
    </w:p>
    <w:p w:rsidR="004B306F" w:rsidRDefault="004B306F" w:rsidP="004B306F">
      <w:pPr>
        <w:jc w:val="both"/>
      </w:pPr>
      <w:r w:rsidRPr="004B306F">
        <w:t xml:space="preserve">„3. </w:t>
      </w:r>
      <w:r>
        <w:t xml:space="preserve">Pronajímatel i nájemce jsou oprávněni vypovědět </w:t>
      </w:r>
      <w:proofErr w:type="gramStart"/>
      <w:r>
        <w:t>smlouvu  písemně</w:t>
      </w:r>
      <w:proofErr w:type="gramEnd"/>
      <w:r>
        <w:t xml:space="preserve"> i bez udání důvodů v </w:t>
      </w:r>
      <w:r>
        <w:rPr>
          <w:b/>
        </w:rPr>
        <w:t>tříměsíční výpovědní době</w:t>
      </w:r>
      <w:r>
        <w:t>. Výpovědní doba počíná běžet prvním dnem měsíce následujícího po doručení výpovědi.“</w:t>
      </w:r>
      <w:r w:rsidR="0014338B">
        <w:t>.</w:t>
      </w:r>
    </w:p>
    <w:p w:rsidR="004B306F" w:rsidRDefault="004B306F" w:rsidP="004B306F">
      <w:pPr>
        <w:jc w:val="both"/>
      </w:pPr>
    </w:p>
    <w:p w:rsidR="004B306F" w:rsidRDefault="004B306F" w:rsidP="004B306F">
      <w:pPr>
        <w:jc w:val="both"/>
      </w:pPr>
    </w:p>
    <w:p w:rsidR="004B306F" w:rsidRDefault="004B306F" w:rsidP="004B306F">
      <w:pPr>
        <w:jc w:val="center"/>
        <w:rPr>
          <w:b/>
        </w:rPr>
      </w:pPr>
      <w:r>
        <w:rPr>
          <w:b/>
        </w:rPr>
        <w:t>VI.</w:t>
      </w:r>
    </w:p>
    <w:p w:rsidR="004B306F" w:rsidRDefault="004B306F" w:rsidP="004B306F">
      <w:pPr>
        <w:jc w:val="both"/>
        <w:rPr>
          <w:u w:val="single"/>
        </w:rPr>
      </w:pPr>
      <w:r>
        <w:rPr>
          <w:u w:val="single"/>
        </w:rPr>
        <w:t>V č</w:t>
      </w:r>
      <w:r w:rsidRPr="006F6889">
        <w:rPr>
          <w:u w:val="single"/>
        </w:rPr>
        <w:t>l</w:t>
      </w:r>
      <w:r>
        <w:rPr>
          <w:u w:val="single"/>
        </w:rPr>
        <w:t>.</w:t>
      </w:r>
      <w:r w:rsidRPr="006F6889">
        <w:rPr>
          <w:u w:val="single"/>
        </w:rPr>
        <w:t xml:space="preserve"> </w:t>
      </w:r>
      <w:r>
        <w:rPr>
          <w:u w:val="single"/>
        </w:rPr>
        <w:t xml:space="preserve">XX </w:t>
      </w:r>
      <w:r w:rsidR="0014338B">
        <w:rPr>
          <w:u w:val="single"/>
        </w:rPr>
        <w:t xml:space="preserve">smlouvy </w:t>
      </w:r>
      <w:r w:rsidRPr="006F6889">
        <w:rPr>
          <w:u w:val="single"/>
        </w:rPr>
        <w:t xml:space="preserve">se </w:t>
      </w:r>
      <w:r>
        <w:rPr>
          <w:u w:val="single"/>
        </w:rPr>
        <w:t xml:space="preserve">za odst. 2 vkládají nové odst. 3 a </w:t>
      </w:r>
      <w:r w:rsidR="0014338B">
        <w:rPr>
          <w:u w:val="single"/>
        </w:rPr>
        <w:t>4</w:t>
      </w:r>
      <w:r>
        <w:rPr>
          <w:u w:val="single"/>
        </w:rPr>
        <w:t>, které zní:</w:t>
      </w:r>
    </w:p>
    <w:p w:rsidR="008A622D" w:rsidRDefault="008A622D" w:rsidP="008A622D">
      <w:pPr>
        <w:pStyle w:val="Zkladntext2"/>
        <w:spacing w:line="240" w:lineRule="auto"/>
        <w:jc w:val="both"/>
      </w:pPr>
      <w:r>
        <w:t xml:space="preserve">„3. </w:t>
      </w:r>
      <w:r w:rsidRPr="00DA7FAC">
        <w:t xml:space="preserve">Nájemce </w:t>
      </w:r>
      <w:r>
        <w:t>je povinen</w:t>
      </w:r>
      <w:r w:rsidRPr="00DA7FAC">
        <w:t xml:space="preserve"> </w:t>
      </w:r>
      <w:r>
        <w:t>sdělit pronajímateli jakékoli změny týkající se jeho podnikatelské činnosti – tj. např. přerušení živnosti, ukončení živnosti, změna v plátcovství DPH a jiné rozhodné skutečnosti, a to nejpozději do 8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je povinen pronajímateli zaplatit vzniklou škodu ve výši neodvedené daně z přidané hodnoty, doměření daňové povinnosti, vyúčtování penále ze strany finančního úřadu za pozdní platbu daňové povinnosti.</w:t>
      </w:r>
    </w:p>
    <w:p w:rsidR="000A0999" w:rsidRDefault="008A622D" w:rsidP="008A622D">
      <w:pPr>
        <w:pStyle w:val="Zkladntext2"/>
        <w:spacing w:line="240" w:lineRule="auto"/>
        <w:jc w:val="both"/>
      </w:pPr>
      <w:r>
        <w:t>4. Tato smlouva podléhá povinnosti uveřejnění prostřednictvím registru smluv dle ustanovení § 2 odst. 1 a § 3 zákona č. 340/2015 Sb., o zvláštních podmínkách účinnosti některých smluv, uveřejňování těchto smluv a o registru smluv (zákon o registru smluv), ve znění pozdějších předpisů.“</w:t>
      </w:r>
      <w:r w:rsidR="0014338B">
        <w:t>.</w:t>
      </w:r>
    </w:p>
    <w:p w:rsidR="0014338B" w:rsidRDefault="0014338B" w:rsidP="008A622D">
      <w:pPr>
        <w:pStyle w:val="Zkladntext2"/>
        <w:spacing w:line="240" w:lineRule="auto"/>
        <w:jc w:val="both"/>
      </w:pPr>
    </w:p>
    <w:p w:rsidR="0014338B" w:rsidRDefault="0014338B" w:rsidP="008578DC">
      <w:pPr>
        <w:pStyle w:val="Zkladntext2"/>
        <w:spacing w:line="240" w:lineRule="auto"/>
        <w:jc w:val="center"/>
        <w:rPr>
          <w:b/>
        </w:rPr>
      </w:pPr>
      <w:r>
        <w:rPr>
          <w:b/>
        </w:rPr>
        <w:t>VII.</w:t>
      </w:r>
    </w:p>
    <w:p w:rsidR="0014338B" w:rsidRPr="0014338B" w:rsidRDefault="0014338B">
      <w:pPr>
        <w:pStyle w:val="Zkladntext2"/>
        <w:spacing w:line="240" w:lineRule="auto"/>
        <w:jc w:val="both"/>
      </w:pPr>
      <w:r>
        <w:t>Dosavadní přílohy č. 2, 3 a 4 se nyní označují jako přílohy č. 3, 4 a 5.</w:t>
      </w:r>
    </w:p>
    <w:p w:rsidR="0071294A" w:rsidRDefault="0071294A" w:rsidP="0071294A">
      <w:pPr>
        <w:jc w:val="both"/>
      </w:pPr>
    </w:p>
    <w:p w:rsidR="006E1C28" w:rsidRPr="0071294A" w:rsidRDefault="004B306F" w:rsidP="0071294A">
      <w:pPr>
        <w:jc w:val="center"/>
      </w:pPr>
      <w:r>
        <w:rPr>
          <w:b/>
        </w:rPr>
        <w:t>VI</w:t>
      </w:r>
      <w:r w:rsidR="0014338B">
        <w:rPr>
          <w:b/>
        </w:rPr>
        <w:t>I</w:t>
      </w:r>
      <w:r>
        <w:rPr>
          <w:b/>
        </w:rPr>
        <w:t>I</w:t>
      </w:r>
      <w:r w:rsidR="006E1C28">
        <w:rPr>
          <w:b/>
        </w:rPr>
        <w:t>.</w:t>
      </w:r>
    </w:p>
    <w:p w:rsidR="006E1C28" w:rsidRDefault="006E1C28" w:rsidP="006E1C28">
      <w:pPr>
        <w:pStyle w:val="Nadpis1"/>
        <w:spacing w:before="0"/>
      </w:pPr>
      <w:r>
        <w:t>ZÁVĚREČNÁ USTANOVENÍ</w:t>
      </w:r>
    </w:p>
    <w:p w:rsidR="006E1C28" w:rsidRDefault="006E1C28" w:rsidP="006E1C28"/>
    <w:p w:rsidR="006E1C28" w:rsidRDefault="006E1C28" w:rsidP="006E1C28">
      <w:pPr>
        <w:pStyle w:val="Zkladntext"/>
        <w:spacing w:after="120"/>
      </w:pPr>
      <w:r>
        <w:t xml:space="preserve">1. </w:t>
      </w:r>
      <w:r w:rsidR="008A622D">
        <w:t>Ostatní náležitosti smlouvy zůstávají nezměněny</w:t>
      </w:r>
      <w:r>
        <w:t>.</w:t>
      </w:r>
    </w:p>
    <w:p w:rsidR="006E1C28" w:rsidRDefault="0014338B" w:rsidP="006E1C28">
      <w:pPr>
        <w:autoSpaceDE w:val="0"/>
        <w:autoSpaceDN w:val="0"/>
        <w:adjustRightInd w:val="0"/>
        <w:spacing w:before="120" w:after="120"/>
        <w:jc w:val="both"/>
      </w:pPr>
      <w:r>
        <w:t>2</w:t>
      </w:r>
      <w:r w:rsidR="006E1C28">
        <w:t xml:space="preserve">. </w:t>
      </w:r>
      <w:r>
        <w:t>Tento dodatek podléhá</w:t>
      </w:r>
      <w:r w:rsidR="006E1C28">
        <w:t xml:space="preserve"> povinnosti uveřejnění prostřednictvím </w:t>
      </w:r>
      <w:r w:rsidR="00A74F2D">
        <w:t>registru smluv</w:t>
      </w:r>
      <w:r w:rsidR="006E1C28">
        <w:t xml:space="preserve"> dle ustanovení § 2 odst. 1 a § 3 zákona č. 340/2015 Sb., o zvláštních podmínkách účinnosti některých smluv, uveřejňování těchto sm</w:t>
      </w:r>
      <w:r w:rsidR="00A74F2D">
        <w:t xml:space="preserve">luv a o registru smluv (zákon </w:t>
      </w:r>
      <w:r w:rsidR="006E1C28">
        <w:t>o registru smluv), ve znění pozdějších předpisů</w:t>
      </w:r>
      <w:r>
        <w:t>.</w:t>
      </w:r>
      <w:r w:rsidR="006E1C28">
        <w:t xml:space="preserve"> </w:t>
      </w:r>
      <w:r>
        <w:t>P</w:t>
      </w:r>
      <w:r w:rsidR="006E1C28">
        <w:t>ronajímatel</w:t>
      </w:r>
      <w:r>
        <w:t xml:space="preserve"> je</w:t>
      </w:r>
      <w:r w:rsidR="006E1C28">
        <w:t xml:space="preserve"> jako osoba uvedená v ustanovení § 2 odst. 1 tohoto zákona povin</w:t>
      </w:r>
      <w:r>
        <w:t>en</w:t>
      </w:r>
      <w:r w:rsidR="006E1C28">
        <w:t xml:space="preserve"> zaslat </w:t>
      </w:r>
      <w:r>
        <w:t>tento dodatek včetně smlouvy</w:t>
      </w:r>
      <w:r w:rsidR="006E1C28">
        <w:t xml:space="preserve"> nejpozději do 30 dnů od jeho uzavření Ministerstvu vnitra jako správci registru smluv k uveřejnění.</w:t>
      </w:r>
    </w:p>
    <w:p w:rsidR="006E1C28" w:rsidRDefault="0014338B" w:rsidP="006E1C28">
      <w:pPr>
        <w:pStyle w:val="Zkladntext"/>
        <w:spacing w:after="120"/>
      </w:pPr>
      <w:r>
        <w:t>3</w:t>
      </w:r>
      <w:r w:rsidR="006E1C28">
        <w:t xml:space="preserve">. Rada města Frýdek-Místek schválila záměr statutárního města Frýdek-Místek </w:t>
      </w:r>
      <w:r w:rsidR="008A622D">
        <w:t>uzavřít dodatek č.</w:t>
      </w:r>
      <w:r>
        <w:t xml:space="preserve"> </w:t>
      </w:r>
      <w:r w:rsidR="008A622D">
        <w:t>1</w:t>
      </w:r>
      <w:r>
        <w:t xml:space="preserve"> ke smlouvě</w:t>
      </w:r>
      <w:r w:rsidR="006E1C28">
        <w:t xml:space="preserve"> dne </w:t>
      </w:r>
      <w:proofErr w:type="gramStart"/>
      <w:r w:rsidR="00CA74C6">
        <w:t>12.12.</w:t>
      </w:r>
      <w:r w:rsidR="006E1C28" w:rsidRPr="00CA74C6">
        <w:t>2017</w:t>
      </w:r>
      <w:proofErr w:type="gramEnd"/>
      <w:r w:rsidR="006E1C28">
        <w:t>. Zá</w:t>
      </w:r>
      <w:r w:rsidR="00D274B0">
        <w:t>měr statutárního města</w:t>
      </w:r>
      <w:r w:rsidR="006E1C28">
        <w:t xml:space="preserve"> Frýdek-Místek </w:t>
      </w:r>
      <w:r>
        <w:t>uzavřít tento</w:t>
      </w:r>
      <w:r w:rsidR="006E1C28">
        <w:t xml:space="preserve"> byl zveřejněn zákonem stanoveným způsobem  ode dne </w:t>
      </w:r>
      <w:proofErr w:type="gramStart"/>
      <w:r w:rsidR="00CA74C6" w:rsidRPr="008578DC">
        <w:t>13.12.</w:t>
      </w:r>
      <w:r w:rsidR="006E1C28" w:rsidRPr="008578DC">
        <w:t>2017</w:t>
      </w:r>
      <w:proofErr w:type="gramEnd"/>
      <w:r w:rsidR="006E1C28" w:rsidRPr="008578DC">
        <w:t>.</w:t>
      </w:r>
    </w:p>
    <w:p w:rsidR="00D832B5" w:rsidRDefault="00D832B5" w:rsidP="006E1C28">
      <w:pPr>
        <w:autoSpaceDE w:val="0"/>
        <w:autoSpaceDN w:val="0"/>
        <w:adjustRightInd w:val="0"/>
        <w:jc w:val="both"/>
      </w:pPr>
    </w:p>
    <w:p w:rsidR="006E1C28" w:rsidRDefault="0014338B" w:rsidP="006E1C28">
      <w:pPr>
        <w:autoSpaceDE w:val="0"/>
        <w:autoSpaceDN w:val="0"/>
        <w:adjustRightInd w:val="0"/>
        <w:jc w:val="both"/>
      </w:pPr>
      <w:r>
        <w:t>4</w:t>
      </w:r>
      <w:r w:rsidR="006E1C28">
        <w:t xml:space="preserve">. </w:t>
      </w:r>
      <w:r>
        <w:t>Tento d</w:t>
      </w:r>
      <w:r w:rsidR="00D832B5">
        <w:t>odatek</w:t>
      </w:r>
      <w:r w:rsidR="00FE1275">
        <w:t xml:space="preserve"> </w:t>
      </w:r>
      <w:r w:rsidR="00D832B5">
        <w:t>byl</w:t>
      </w:r>
      <w:r w:rsidR="006E1C28">
        <w:t xml:space="preserve"> vypracován ve 2 vyhotoveních, z nichž 1 vyhotovení obdrží pronajímatel, 1 vyhotovení nájemce.</w:t>
      </w:r>
    </w:p>
    <w:p w:rsidR="000F37AA" w:rsidRDefault="000F37AA" w:rsidP="006E1C28">
      <w:pPr>
        <w:autoSpaceDE w:val="0"/>
        <w:autoSpaceDN w:val="0"/>
        <w:adjustRightInd w:val="0"/>
        <w:jc w:val="both"/>
      </w:pPr>
    </w:p>
    <w:p w:rsidR="008A622D" w:rsidRDefault="0014338B" w:rsidP="0071294A">
      <w:pPr>
        <w:autoSpaceDE w:val="0"/>
        <w:autoSpaceDN w:val="0"/>
        <w:adjustRightInd w:val="0"/>
        <w:spacing w:before="120"/>
        <w:jc w:val="both"/>
      </w:pPr>
      <w:r>
        <w:t>5</w:t>
      </w:r>
      <w:r w:rsidR="006E1C28" w:rsidRPr="006B5819">
        <w:t>.</w:t>
      </w:r>
      <w:r w:rsidR="006B5819" w:rsidRPr="006B5819">
        <w:rPr>
          <w:iCs/>
        </w:rPr>
        <w:t xml:space="preserve"> </w:t>
      </w:r>
      <w:r>
        <w:rPr>
          <w:iCs/>
        </w:rPr>
        <w:t>Tento d</w:t>
      </w:r>
      <w:r w:rsidR="00FE1275">
        <w:rPr>
          <w:iCs/>
        </w:rPr>
        <w:t>odatek</w:t>
      </w:r>
      <w:r w:rsidR="006B5819" w:rsidRPr="006B5819">
        <w:rPr>
          <w:iCs/>
        </w:rPr>
        <w:t xml:space="preserve"> nabývá účinnosti dnem uveřejnění v registru smluv dle zákona č. 340/2015 Sb., o zvláštních podmínkách účinnosti některých smluv, uveřejňování těchto smluv a o registru smluv (zákon o registru smlu</w:t>
      </w:r>
      <w:r w:rsidR="0071294A">
        <w:rPr>
          <w:iCs/>
        </w:rPr>
        <w:t xml:space="preserve">v), ve znění pozdějších </w:t>
      </w:r>
      <w:r>
        <w:t>předpisů.</w:t>
      </w:r>
      <w:r w:rsidR="008A622D">
        <w:tab/>
      </w:r>
      <w:r w:rsidR="008A622D">
        <w:tab/>
      </w:r>
    </w:p>
    <w:p w:rsidR="0014338B" w:rsidRDefault="0014338B" w:rsidP="0071294A">
      <w:pPr>
        <w:autoSpaceDE w:val="0"/>
        <w:autoSpaceDN w:val="0"/>
        <w:adjustRightInd w:val="0"/>
        <w:spacing w:before="120"/>
        <w:jc w:val="both"/>
      </w:pPr>
    </w:p>
    <w:p w:rsidR="0014338B" w:rsidRDefault="0014338B" w:rsidP="0071294A">
      <w:pPr>
        <w:autoSpaceDE w:val="0"/>
        <w:autoSpaceDN w:val="0"/>
        <w:adjustRightInd w:val="0"/>
        <w:spacing w:before="120"/>
        <w:jc w:val="both"/>
      </w:pPr>
    </w:p>
    <w:p w:rsidR="0014338B" w:rsidRDefault="0014338B" w:rsidP="0071294A">
      <w:pPr>
        <w:autoSpaceDE w:val="0"/>
        <w:autoSpaceDN w:val="0"/>
        <w:adjustRightInd w:val="0"/>
        <w:spacing w:before="120"/>
        <w:jc w:val="both"/>
      </w:pPr>
    </w:p>
    <w:p w:rsidR="0014338B" w:rsidRDefault="0014338B" w:rsidP="0071294A">
      <w:pPr>
        <w:autoSpaceDE w:val="0"/>
        <w:autoSpaceDN w:val="0"/>
        <w:adjustRightInd w:val="0"/>
        <w:spacing w:before="120"/>
        <w:jc w:val="both"/>
      </w:pPr>
    </w:p>
    <w:p w:rsidR="0014338B" w:rsidRPr="0071294A" w:rsidRDefault="006E1C28" w:rsidP="0014338B">
      <w:pPr>
        <w:autoSpaceDE w:val="0"/>
        <w:autoSpaceDN w:val="0"/>
        <w:adjustRightInd w:val="0"/>
        <w:spacing w:before="120"/>
        <w:jc w:val="both"/>
        <w:rPr>
          <w:iCs/>
        </w:rPr>
      </w:pPr>
      <w:r>
        <w:t>Ve Frýdku-Místku dne:</w:t>
      </w:r>
      <w:r w:rsidR="0014338B" w:rsidRPr="0014338B">
        <w:t xml:space="preserve"> </w:t>
      </w:r>
      <w:r w:rsidR="0014338B">
        <w:tab/>
      </w:r>
      <w:r w:rsidR="0014338B">
        <w:tab/>
      </w:r>
      <w:r w:rsidR="0014338B">
        <w:tab/>
      </w:r>
      <w:r w:rsidR="0014338B">
        <w:tab/>
        <w:t>Ve Frýdku-Místku dne:</w:t>
      </w:r>
    </w:p>
    <w:p w:rsidR="006E1C28" w:rsidRPr="0071294A" w:rsidRDefault="006E1C28" w:rsidP="0071294A">
      <w:pPr>
        <w:autoSpaceDE w:val="0"/>
        <w:autoSpaceDN w:val="0"/>
        <w:adjustRightInd w:val="0"/>
        <w:spacing w:before="120"/>
        <w:jc w:val="both"/>
        <w:rPr>
          <w:iCs/>
        </w:rPr>
      </w:pPr>
    </w:p>
    <w:p w:rsidR="006E1C28" w:rsidRDefault="006E1C28" w:rsidP="006E1C28">
      <w:pPr>
        <w:autoSpaceDE w:val="0"/>
        <w:autoSpaceDN w:val="0"/>
        <w:adjustRightInd w:val="0"/>
        <w:spacing w:before="120"/>
      </w:pPr>
    </w:p>
    <w:p w:rsidR="006E1C28" w:rsidRDefault="006E1C28" w:rsidP="006E1C28">
      <w:pPr>
        <w:autoSpaceDE w:val="0"/>
        <w:autoSpaceDN w:val="0"/>
        <w:adjustRightInd w:val="0"/>
        <w:spacing w:before="120"/>
      </w:pPr>
      <w:r>
        <w:t xml:space="preserve">Za pronajímatele: </w:t>
      </w:r>
      <w:r>
        <w:tab/>
      </w:r>
      <w:r>
        <w:tab/>
      </w:r>
      <w:r>
        <w:tab/>
      </w:r>
      <w:r>
        <w:tab/>
        <w:t xml:space="preserve">           Za nájemce:</w:t>
      </w:r>
    </w:p>
    <w:p w:rsidR="006E1C28" w:rsidRDefault="006E1C28" w:rsidP="006E1C28">
      <w:pPr>
        <w:autoSpaceDE w:val="0"/>
        <w:autoSpaceDN w:val="0"/>
        <w:adjustRightInd w:val="0"/>
        <w:spacing w:before="120"/>
      </w:pPr>
    </w:p>
    <w:p w:rsidR="006E1C28" w:rsidRDefault="006E1C28" w:rsidP="006E1C28">
      <w:pPr>
        <w:autoSpaceDE w:val="0"/>
        <w:autoSpaceDN w:val="0"/>
        <w:adjustRightInd w:val="0"/>
        <w:spacing w:before="120"/>
        <w:rPr>
          <w:b/>
        </w:rPr>
      </w:pPr>
    </w:p>
    <w:p w:rsidR="006E1C28" w:rsidRDefault="006E1C28" w:rsidP="006E1C28">
      <w:pPr>
        <w:autoSpaceDE w:val="0"/>
        <w:autoSpaceDN w:val="0"/>
        <w:adjustRightInd w:val="0"/>
        <w:spacing w:before="120"/>
        <w:rPr>
          <w:b/>
        </w:rPr>
      </w:pPr>
    </w:p>
    <w:p w:rsidR="006E1C28" w:rsidRDefault="006E1C28" w:rsidP="006E1C28">
      <w:pPr>
        <w:autoSpaceDE w:val="0"/>
        <w:autoSpaceDN w:val="0"/>
        <w:adjustRightInd w:val="0"/>
        <w:spacing w:before="120"/>
        <w:rPr>
          <w:b/>
        </w:rPr>
      </w:pPr>
      <w:r>
        <w:rPr>
          <w:b/>
        </w:rPr>
        <w:t xml:space="preserve">statutární město Frýdek-Místek </w:t>
      </w:r>
      <w:r>
        <w:rPr>
          <w:b/>
        </w:rPr>
        <w:tab/>
      </w:r>
      <w:r>
        <w:rPr>
          <w:b/>
        </w:rPr>
        <w:tab/>
      </w:r>
      <w:r>
        <w:rPr>
          <w:b/>
        </w:rPr>
        <w:tab/>
      </w:r>
      <w:proofErr w:type="gramStart"/>
      <w:r w:rsidR="00FE1275">
        <w:rPr>
          <w:b/>
        </w:rPr>
        <w:t>H.A.</w:t>
      </w:r>
      <w:proofErr w:type="gramEnd"/>
      <w:r w:rsidR="00FE1275">
        <w:rPr>
          <w:b/>
        </w:rPr>
        <w:t>S. spol. s.r.o.</w:t>
      </w:r>
    </w:p>
    <w:p w:rsidR="006E1C28" w:rsidRDefault="000F37AA" w:rsidP="006E1C28">
      <w:pPr>
        <w:autoSpaceDE w:val="0"/>
        <w:autoSpaceDN w:val="0"/>
        <w:adjustRightInd w:val="0"/>
        <w:spacing w:before="120"/>
      </w:pPr>
      <w:r>
        <w:t>Ing. Bc. Hana Kalužová</w:t>
      </w:r>
      <w:r w:rsidR="006E1C28">
        <w:tab/>
        <w:t xml:space="preserve">                                    </w:t>
      </w:r>
      <w:r w:rsidR="00FE1275">
        <w:t xml:space="preserve">Ing. Jan </w:t>
      </w:r>
      <w:proofErr w:type="spellStart"/>
      <w:r w:rsidR="00FE1275">
        <w:t>Heidrich</w:t>
      </w:r>
      <w:proofErr w:type="spellEnd"/>
    </w:p>
    <w:p w:rsidR="00696632" w:rsidRDefault="00696632">
      <w:pPr>
        <w:spacing w:after="160" w:line="259" w:lineRule="auto"/>
      </w:pPr>
      <w:r>
        <w:br w:type="page"/>
      </w:r>
    </w:p>
    <w:p w:rsidR="00696632" w:rsidRPr="00696632" w:rsidRDefault="00696632" w:rsidP="00696632">
      <w:pPr>
        <w:autoSpaceDE w:val="0"/>
        <w:autoSpaceDN w:val="0"/>
        <w:adjustRightInd w:val="0"/>
        <w:jc w:val="right"/>
        <w:rPr>
          <w:b/>
        </w:rPr>
      </w:pPr>
      <w:r w:rsidRPr="00696632">
        <w:rPr>
          <w:b/>
        </w:rPr>
        <w:lastRenderedPageBreak/>
        <w:t>Příloha č.</w:t>
      </w:r>
      <w:r w:rsidR="0014338B">
        <w:rPr>
          <w:b/>
        </w:rPr>
        <w:t xml:space="preserve"> </w:t>
      </w:r>
      <w:r w:rsidRPr="00696632">
        <w:rPr>
          <w:b/>
        </w:rPr>
        <w:t>1</w:t>
      </w:r>
    </w:p>
    <w:p w:rsidR="00A011CF" w:rsidRDefault="00696632" w:rsidP="00D274B0">
      <w:pPr>
        <w:autoSpaceDE w:val="0"/>
        <w:autoSpaceDN w:val="0"/>
        <w:adjustRightInd w:val="0"/>
        <w:jc w:val="center"/>
        <w:rPr>
          <w:b/>
        </w:rPr>
      </w:pPr>
      <w:r w:rsidRPr="00696632">
        <w:rPr>
          <w:b/>
        </w:rPr>
        <w:t xml:space="preserve">EVIDENČNÍ LIST </w:t>
      </w:r>
      <w:proofErr w:type="gramStart"/>
      <w:r w:rsidRPr="00696632">
        <w:rPr>
          <w:b/>
        </w:rPr>
        <w:t>č.1</w:t>
      </w:r>
      <w:proofErr w:type="gramEnd"/>
    </w:p>
    <w:p w:rsidR="00696632" w:rsidRDefault="00696632" w:rsidP="00D274B0">
      <w:pPr>
        <w:autoSpaceDE w:val="0"/>
        <w:autoSpaceDN w:val="0"/>
        <w:adjustRightInd w:val="0"/>
        <w:jc w:val="center"/>
        <w:rPr>
          <w:b/>
        </w:rPr>
      </w:pPr>
    </w:p>
    <w:p w:rsidR="00696632" w:rsidRDefault="00696632" w:rsidP="00D274B0">
      <w:pPr>
        <w:autoSpaceDE w:val="0"/>
        <w:autoSpaceDN w:val="0"/>
        <w:adjustRightInd w:val="0"/>
        <w:jc w:val="center"/>
        <w:rPr>
          <w:b/>
        </w:rPr>
      </w:pPr>
    </w:p>
    <w:p w:rsidR="00696632" w:rsidRDefault="00696632" w:rsidP="00696632">
      <w:pPr>
        <w:autoSpaceDE w:val="0"/>
        <w:autoSpaceDN w:val="0"/>
        <w:adjustRightInd w:val="0"/>
      </w:pPr>
      <w:r>
        <w:rPr>
          <w:b/>
        </w:rPr>
        <w:t xml:space="preserve">Nájemce: </w:t>
      </w:r>
      <w:proofErr w:type="gramStart"/>
      <w:r w:rsidRPr="00696632">
        <w:t>H.A.</w:t>
      </w:r>
      <w:proofErr w:type="gramEnd"/>
      <w:r w:rsidRPr="00696632">
        <w:t>S. spol. s.r.o.</w:t>
      </w:r>
      <w:r w:rsidRPr="00696632">
        <w:br/>
      </w:r>
      <w:r>
        <w:rPr>
          <w:b/>
        </w:rPr>
        <w:t xml:space="preserve">Nebytový prostor: </w:t>
      </w:r>
      <w:r w:rsidRPr="00696632">
        <w:t>sklad č. 115 v budově bez č.p./</w:t>
      </w:r>
      <w:proofErr w:type="spellStart"/>
      <w:r w:rsidRPr="00696632">
        <w:t>č.ev</w:t>
      </w:r>
      <w:proofErr w:type="spellEnd"/>
      <w:r w:rsidRPr="00696632">
        <w:t xml:space="preserve">. na pozemku </w:t>
      </w:r>
      <w:proofErr w:type="spellStart"/>
      <w:r w:rsidRPr="00696632">
        <w:t>p.č</w:t>
      </w:r>
      <w:proofErr w:type="spellEnd"/>
      <w:r w:rsidRPr="00696632">
        <w:t>. 2829/2</w:t>
      </w:r>
    </w:p>
    <w:p w:rsidR="00696632" w:rsidRDefault="00696632" w:rsidP="00696632">
      <w:pPr>
        <w:autoSpaceDE w:val="0"/>
        <w:autoSpaceDN w:val="0"/>
        <w:adjustRightInd w:val="0"/>
      </w:pPr>
    </w:p>
    <w:tbl>
      <w:tblPr>
        <w:tblW w:w="7240" w:type="dxa"/>
        <w:tblCellMar>
          <w:left w:w="70" w:type="dxa"/>
          <w:right w:w="70" w:type="dxa"/>
        </w:tblCellMar>
        <w:tblLook w:val="04A0" w:firstRow="1" w:lastRow="0" w:firstColumn="1" w:lastColumn="0" w:noHBand="0" w:noVBand="1"/>
      </w:tblPr>
      <w:tblGrid>
        <w:gridCol w:w="960"/>
        <w:gridCol w:w="2275"/>
        <w:gridCol w:w="745"/>
        <w:gridCol w:w="3260"/>
      </w:tblGrid>
      <w:tr w:rsidR="00696632" w:rsidRPr="00696632" w:rsidTr="00696632">
        <w:trPr>
          <w:trHeight w:val="253"/>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proofErr w:type="spellStart"/>
            <w:proofErr w:type="gramStart"/>
            <w:r w:rsidRPr="00696632">
              <w:rPr>
                <w:b/>
                <w:bCs/>
                <w:color w:val="000000"/>
                <w:sz w:val="22"/>
                <w:szCs w:val="22"/>
              </w:rPr>
              <w:t>Poř.č</w:t>
            </w:r>
            <w:proofErr w:type="spellEnd"/>
            <w:r w:rsidRPr="00696632">
              <w:rPr>
                <w:b/>
                <w:bCs/>
                <w:color w:val="000000"/>
                <w:sz w:val="22"/>
                <w:szCs w:val="22"/>
              </w:rPr>
              <w:t>.</w:t>
            </w:r>
            <w:proofErr w:type="gramEnd"/>
          </w:p>
        </w:tc>
        <w:tc>
          <w:tcPr>
            <w:tcW w:w="2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Druh místnosti</w:t>
            </w:r>
          </w:p>
        </w:tc>
        <w:tc>
          <w:tcPr>
            <w:tcW w:w="7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m</w:t>
            </w:r>
            <w:r w:rsidRPr="00696632">
              <w:rPr>
                <w:b/>
                <w:bCs/>
                <w:color w:val="000000"/>
                <w:sz w:val="22"/>
                <w:szCs w:val="22"/>
                <w:vertAlign w:val="superscript"/>
              </w:rPr>
              <w:t>2</w:t>
            </w:r>
          </w:p>
        </w:tc>
        <w:tc>
          <w:tcPr>
            <w:tcW w:w="32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Kč/m2/rok</w:t>
            </w:r>
          </w:p>
        </w:tc>
      </w:tr>
      <w:tr w:rsidR="00696632" w:rsidRPr="00696632" w:rsidTr="00696632">
        <w:trPr>
          <w:trHeight w:val="458"/>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696632" w:rsidRPr="00696632" w:rsidRDefault="00696632" w:rsidP="00696632">
            <w:pPr>
              <w:rPr>
                <w:b/>
                <w:bCs/>
                <w:color w:val="000000"/>
                <w:sz w:val="22"/>
                <w:szCs w:val="22"/>
              </w:rPr>
            </w:pPr>
          </w:p>
        </w:tc>
        <w:tc>
          <w:tcPr>
            <w:tcW w:w="2300" w:type="dxa"/>
            <w:vMerge/>
            <w:tcBorders>
              <w:top w:val="single" w:sz="8" w:space="0" w:color="auto"/>
              <w:left w:val="single" w:sz="4" w:space="0" w:color="auto"/>
              <w:bottom w:val="single" w:sz="8" w:space="0" w:color="000000"/>
              <w:right w:val="single" w:sz="4" w:space="0" w:color="auto"/>
            </w:tcBorders>
            <w:vAlign w:val="center"/>
            <w:hideMark/>
          </w:tcPr>
          <w:p w:rsidR="00696632" w:rsidRPr="00696632" w:rsidRDefault="00696632" w:rsidP="00696632">
            <w:pPr>
              <w:rPr>
                <w:b/>
                <w:bCs/>
                <w:color w:val="000000"/>
                <w:sz w:val="22"/>
                <w:szCs w:val="22"/>
              </w:rPr>
            </w:pPr>
          </w:p>
        </w:tc>
        <w:tc>
          <w:tcPr>
            <w:tcW w:w="720" w:type="dxa"/>
            <w:vMerge/>
            <w:tcBorders>
              <w:top w:val="single" w:sz="8" w:space="0" w:color="auto"/>
              <w:left w:val="single" w:sz="4" w:space="0" w:color="auto"/>
              <w:bottom w:val="single" w:sz="8" w:space="0" w:color="000000"/>
              <w:right w:val="single" w:sz="4" w:space="0" w:color="auto"/>
            </w:tcBorders>
            <w:vAlign w:val="center"/>
            <w:hideMark/>
          </w:tcPr>
          <w:p w:rsidR="00696632" w:rsidRPr="00696632" w:rsidRDefault="00696632" w:rsidP="00696632">
            <w:pPr>
              <w:rPr>
                <w:b/>
                <w:bCs/>
                <w:color w:val="000000"/>
                <w:sz w:val="22"/>
                <w:szCs w:val="22"/>
              </w:rPr>
            </w:pPr>
          </w:p>
        </w:tc>
        <w:tc>
          <w:tcPr>
            <w:tcW w:w="3260" w:type="dxa"/>
            <w:vMerge/>
            <w:tcBorders>
              <w:top w:val="single" w:sz="8" w:space="0" w:color="auto"/>
              <w:left w:val="single" w:sz="4" w:space="0" w:color="auto"/>
              <w:bottom w:val="single" w:sz="8" w:space="0" w:color="000000"/>
              <w:right w:val="single" w:sz="8" w:space="0" w:color="auto"/>
            </w:tcBorders>
            <w:vAlign w:val="center"/>
            <w:hideMark/>
          </w:tcPr>
          <w:p w:rsidR="00696632" w:rsidRPr="00696632" w:rsidRDefault="00696632" w:rsidP="00696632">
            <w:pPr>
              <w:rPr>
                <w:b/>
                <w:bCs/>
                <w:color w:val="000000"/>
                <w:sz w:val="22"/>
                <w:szCs w:val="22"/>
              </w:rPr>
            </w:pPr>
          </w:p>
        </w:tc>
      </w:tr>
      <w:tr w:rsidR="00696632" w:rsidRPr="00696632" w:rsidTr="00696632">
        <w:trPr>
          <w:trHeight w:val="120"/>
        </w:trPr>
        <w:tc>
          <w:tcPr>
            <w:tcW w:w="960" w:type="dxa"/>
            <w:tcBorders>
              <w:top w:val="nil"/>
              <w:left w:val="single" w:sz="8" w:space="0" w:color="auto"/>
              <w:bottom w:val="nil"/>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c>
          <w:tcPr>
            <w:tcW w:w="2300" w:type="dxa"/>
            <w:tcBorders>
              <w:top w:val="nil"/>
              <w:left w:val="nil"/>
              <w:bottom w:val="nil"/>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c>
          <w:tcPr>
            <w:tcW w:w="720" w:type="dxa"/>
            <w:tcBorders>
              <w:top w:val="nil"/>
              <w:left w:val="nil"/>
              <w:bottom w:val="nil"/>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c>
          <w:tcPr>
            <w:tcW w:w="3260" w:type="dxa"/>
            <w:tcBorders>
              <w:top w:val="nil"/>
              <w:left w:val="nil"/>
              <w:bottom w:val="nil"/>
              <w:right w:val="single" w:sz="8"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r>
      <w:tr w:rsidR="00696632" w:rsidRPr="00696632" w:rsidTr="00696632">
        <w:trPr>
          <w:trHeight w:val="300"/>
        </w:trPr>
        <w:tc>
          <w:tcPr>
            <w:tcW w:w="960" w:type="dxa"/>
            <w:tcBorders>
              <w:top w:val="nil"/>
              <w:left w:val="single" w:sz="8" w:space="0" w:color="auto"/>
              <w:bottom w:val="nil"/>
              <w:right w:val="nil"/>
            </w:tcBorders>
            <w:shd w:val="clear" w:color="auto" w:fill="auto"/>
            <w:vAlign w:val="center"/>
            <w:hideMark/>
          </w:tcPr>
          <w:p w:rsidR="00696632" w:rsidRPr="00696632" w:rsidRDefault="00696632" w:rsidP="00696632">
            <w:pPr>
              <w:jc w:val="center"/>
              <w:rPr>
                <w:color w:val="000000"/>
                <w:sz w:val="22"/>
                <w:szCs w:val="22"/>
              </w:rPr>
            </w:pPr>
            <w:r w:rsidRPr="00696632">
              <w:rPr>
                <w:color w:val="000000"/>
                <w:sz w:val="22"/>
                <w:szCs w:val="22"/>
              </w:rPr>
              <w:t>115</w:t>
            </w:r>
          </w:p>
        </w:tc>
        <w:tc>
          <w:tcPr>
            <w:tcW w:w="2300" w:type="dxa"/>
            <w:tcBorders>
              <w:top w:val="nil"/>
              <w:left w:val="single" w:sz="4" w:space="0" w:color="auto"/>
              <w:bottom w:val="nil"/>
              <w:right w:val="single" w:sz="4" w:space="0" w:color="auto"/>
            </w:tcBorders>
            <w:shd w:val="clear" w:color="auto" w:fill="auto"/>
            <w:vAlign w:val="center"/>
            <w:hideMark/>
          </w:tcPr>
          <w:p w:rsidR="00696632" w:rsidRPr="00696632" w:rsidRDefault="00696632" w:rsidP="00696632">
            <w:pPr>
              <w:jc w:val="center"/>
              <w:rPr>
                <w:color w:val="000000"/>
                <w:sz w:val="22"/>
                <w:szCs w:val="22"/>
              </w:rPr>
            </w:pPr>
            <w:r w:rsidRPr="00696632">
              <w:rPr>
                <w:color w:val="000000"/>
                <w:sz w:val="22"/>
                <w:szCs w:val="22"/>
              </w:rPr>
              <w:t>sklad</w:t>
            </w:r>
          </w:p>
        </w:tc>
        <w:tc>
          <w:tcPr>
            <w:tcW w:w="720" w:type="dxa"/>
            <w:tcBorders>
              <w:top w:val="nil"/>
              <w:left w:val="nil"/>
              <w:bottom w:val="nil"/>
              <w:right w:val="nil"/>
            </w:tcBorders>
            <w:shd w:val="clear" w:color="auto" w:fill="auto"/>
            <w:vAlign w:val="center"/>
            <w:hideMark/>
          </w:tcPr>
          <w:p w:rsidR="00696632" w:rsidRPr="00696632" w:rsidRDefault="00696632" w:rsidP="00696632">
            <w:pPr>
              <w:jc w:val="center"/>
              <w:rPr>
                <w:color w:val="000000"/>
                <w:sz w:val="22"/>
                <w:szCs w:val="22"/>
              </w:rPr>
            </w:pPr>
            <w:r w:rsidRPr="00696632">
              <w:rPr>
                <w:color w:val="000000"/>
                <w:sz w:val="22"/>
                <w:szCs w:val="22"/>
              </w:rPr>
              <w:t>326,76</w:t>
            </w:r>
          </w:p>
        </w:tc>
        <w:tc>
          <w:tcPr>
            <w:tcW w:w="3260" w:type="dxa"/>
            <w:tcBorders>
              <w:top w:val="nil"/>
              <w:left w:val="single" w:sz="4" w:space="0" w:color="auto"/>
              <w:bottom w:val="nil"/>
              <w:right w:val="single" w:sz="8" w:space="0" w:color="auto"/>
            </w:tcBorders>
            <w:shd w:val="clear" w:color="auto" w:fill="auto"/>
            <w:noWrap/>
            <w:vAlign w:val="bottom"/>
            <w:hideMark/>
          </w:tcPr>
          <w:p w:rsidR="00696632" w:rsidRPr="00696632" w:rsidRDefault="00696632" w:rsidP="00696632">
            <w:pPr>
              <w:jc w:val="right"/>
              <w:rPr>
                <w:color w:val="000000"/>
                <w:sz w:val="22"/>
                <w:szCs w:val="22"/>
              </w:rPr>
            </w:pPr>
            <w:r w:rsidRPr="00696632">
              <w:rPr>
                <w:color w:val="000000"/>
                <w:sz w:val="22"/>
                <w:szCs w:val="22"/>
              </w:rPr>
              <w:t>350</w:t>
            </w:r>
          </w:p>
        </w:tc>
      </w:tr>
      <w:tr w:rsidR="00696632" w:rsidRPr="00696632" w:rsidTr="00696632">
        <w:trPr>
          <w:trHeight w:val="315"/>
        </w:trPr>
        <w:tc>
          <w:tcPr>
            <w:tcW w:w="960" w:type="dxa"/>
            <w:tcBorders>
              <w:top w:val="single" w:sz="4" w:space="0" w:color="auto"/>
              <w:left w:val="single" w:sz="8" w:space="0" w:color="auto"/>
              <w:bottom w:val="single" w:sz="8" w:space="0" w:color="auto"/>
              <w:right w:val="nil"/>
            </w:tcBorders>
            <w:shd w:val="clear" w:color="auto" w:fill="auto"/>
            <w:vAlign w:val="center"/>
            <w:hideMark/>
          </w:tcPr>
          <w:p w:rsidR="00696632" w:rsidRPr="00696632" w:rsidRDefault="00696632" w:rsidP="00696632">
            <w:pPr>
              <w:jc w:val="center"/>
              <w:rPr>
                <w:color w:val="000000"/>
                <w:sz w:val="22"/>
                <w:szCs w:val="22"/>
              </w:rPr>
            </w:pPr>
            <w:r w:rsidRPr="00696632">
              <w:rPr>
                <w:color w:val="000000"/>
                <w:sz w:val="22"/>
                <w:szCs w:val="22"/>
              </w:rPr>
              <w:t> </w:t>
            </w:r>
          </w:p>
        </w:tc>
        <w:tc>
          <w:tcPr>
            <w:tcW w:w="230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celkem</w:t>
            </w:r>
          </w:p>
        </w:tc>
        <w:tc>
          <w:tcPr>
            <w:tcW w:w="720" w:type="dxa"/>
            <w:tcBorders>
              <w:top w:val="single" w:sz="4" w:space="0" w:color="auto"/>
              <w:left w:val="nil"/>
              <w:bottom w:val="single" w:sz="8" w:space="0" w:color="auto"/>
              <w:right w:val="nil"/>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c>
          <w:tcPr>
            <w:tcW w:w="32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696632" w:rsidRPr="00696632" w:rsidRDefault="00696632" w:rsidP="00696632">
            <w:pPr>
              <w:jc w:val="right"/>
              <w:rPr>
                <w:color w:val="000000"/>
                <w:sz w:val="22"/>
                <w:szCs w:val="22"/>
              </w:rPr>
            </w:pPr>
            <w:r w:rsidRPr="00696632">
              <w:rPr>
                <w:color w:val="000000"/>
                <w:sz w:val="22"/>
                <w:szCs w:val="22"/>
              </w:rPr>
              <w:t> </w:t>
            </w:r>
          </w:p>
        </w:tc>
      </w:tr>
      <w:tr w:rsidR="00696632" w:rsidRPr="00696632" w:rsidTr="00696632">
        <w:trPr>
          <w:trHeight w:val="402"/>
        </w:trPr>
        <w:tc>
          <w:tcPr>
            <w:tcW w:w="72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N Á J E M N É</w:t>
            </w:r>
          </w:p>
        </w:tc>
      </w:tr>
      <w:tr w:rsidR="00696632" w:rsidRPr="00696632" w:rsidTr="00696632">
        <w:trPr>
          <w:trHeight w:val="360"/>
        </w:trPr>
        <w:tc>
          <w:tcPr>
            <w:tcW w:w="3980" w:type="dxa"/>
            <w:gridSpan w:val="3"/>
            <w:tcBorders>
              <w:top w:val="single" w:sz="8" w:space="0" w:color="auto"/>
              <w:left w:val="single" w:sz="8" w:space="0" w:color="auto"/>
              <w:bottom w:val="single" w:sz="4" w:space="0" w:color="auto"/>
              <w:right w:val="nil"/>
            </w:tcBorders>
            <w:shd w:val="clear" w:color="auto" w:fill="auto"/>
            <w:vAlign w:val="center"/>
            <w:hideMark/>
          </w:tcPr>
          <w:p w:rsidR="00696632" w:rsidRPr="00696632" w:rsidRDefault="00696632" w:rsidP="00696632">
            <w:pPr>
              <w:rPr>
                <w:color w:val="000000"/>
                <w:sz w:val="22"/>
                <w:szCs w:val="22"/>
              </w:rPr>
            </w:pPr>
            <w:r w:rsidRPr="00696632">
              <w:rPr>
                <w:color w:val="000000"/>
                <w:sz w:val="22"/>
                <w:szCs w:val="22"/>
              </w:rPr>
              <w:t>Sazba za m</w:t>
            </w:r>
            <w:r w:rsidRPr="00696632">
              <w:rPr>
                <w:color w:val="000000"/>
                <w:sz w:val="22"/>
                <w:szCs w:val="22"/>
                <w:vertAlign w:val="superscript"/>
              </w:rPr>
              <w:t>2</w:t>
            </w:r>
            <w:r w:rsidRPr="00696632">
              <w:rPr>
                <w:color w:val="000000"/>
                <w:sz w:val="22"/>
                <w:szCs w:val="22"/>
              </w:rPr>
              <w:t>/rok bez DPH</w:t>
            </w:r>
          </w:p>
        </w:tc>
        <w:tc>
          <w:tcPr>
            <w:tcW w:w="3260" w:type="dxa"/>
            <w:tcBorders>
              <w:top w:val="nil"/>
              <w:left w:val="single" w:sz="4" w:space="0" w:color="auto"/>
              <w:bottom w:val="single" w:sz="4" w:space="0" w:color="auto"/>
              <w:right w:val="single" w:sz="8" w:space="0" w:color="auto"/>
            </w:tcBorders>
            <w:shd w:val="clear" w:color="auto" w:fill="auto"/>
            <w:vAlign w:val="center"/>
            <w:hideMark/>
          </w:tcPr>
          <w:p w:rsidR="00696632" w:rsidRPr="00696632" w:rsidRDefault="00696632" w:rsidP="00696632">
            <w:pPr>
              <w:jc w:val="right"/>
              <w:rPr>
                <w:color w:val="000000"/>
                <w:sz w:val="22"/>
                <w:szCs w:val="22"/>
              </w:rPr>
            </w:pPr>
            <w:r w:rsidRPr="00696632">
              <w:rPr>
                <w:color w:val="000000"/>
                <w:sz w:val="22"/>
                <w:szCs w:val="22"/>
              </w:rPr>
              <w:t>350</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vAlign w:val="center"/>
            <w:hideMark/>
          </w:tcPr>
          <w:p w:rsidR="00696632" w:rsidRPr="00696632" w:rsidRDefault="00696632" w:rsidP="00696632">
            <w:pPr>
              <w:rPr>
                <w:color w:val="000000"/>
                <w:sz w:val="22"/>
                <w:szCs w:val="22"/>
              </w:rPr>
            </w:pPr>
            <w:r w:rsidRPr="00696632">
              <w:rPr>
                <w:color w:val="000000"/>
                <w:sz w:val="22"/>
                <w:szCs w:val="22"/>
              </w:rPr>
              <w:t>Roční nájemné bez DPH</w:t>
            </w:r>
          </w:p>
        </w:tc>
        <w:tc>
          <w:tcPr>
            <w:tcW w:w="3260" w:type="dxa"/>
            <w:tcBorders>
              <w:top w:val="nil"/>
              <w:left w:val="single" w:sz="4" w:space="0" w:color="auto"/>
              <w:bottom w:val="single" w:sz="4" w:space="0" w:color="auto"/>
              <w:right w:val="single" w:sz="8" w:space="0" w:color="auto"/>
            </w:tcBorders>
            <w:shd w:val="clear" w:color="auto" w:fill="auto"/>
            <w:vAlign w:val="center"/>
            <w:hideMark/>
          </w:tcPr>
          <w:p w:rsidR="00696632" w:rsidRPr="00696632" w:rsidRDefault="00696632" w:rsidP="00696632">
            <w:pPr>
              <w:jc w:val="right"/>
              <w:rPr>
                <w:color w:val="000000"/>
                <w:sz w:val="22"/>
                <w:szCs w:val="22"/>
              </w:rPr>
            </w:pPr>
            <w:r w:rsidRPr="00696632">
              <w:rPr>
                <w:color w:val="000000"/>
                <w:sz w:val="22"/>
                <w:szCs w:val="22"/>
              </w:rPr>
              <w:t>114 366</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vAlign w:val="center"/>
            <w:hideMark/>
          </w:tcPr>
          <w:p w:rsidR="00696632" w:rsidRPr="00696632" w:rsidRDefault="00696632" w:rsidP="00696632">
            <w:pPr>
              <w:rPr>
                <w:b/>
                <w:bCs/>
                <w:color w:val="000000"/>
                <w:sz w:val="22"/>
                <w:szCs w:val="22"/>
              </w:rPr>
            </w:pPr>
            <w:r w:rsidRPr="00696632">
              <w:rPr>
                <w:b/>
                <w:bCs/>
                <w:color w:val="000000"/>
                <w:sz w:val="22"/>
                <w:szCs w:val="22"/>
              </w:rPr>
              <w:t xml:space="preserve">Roční nájemné vč. DPH </w:t>
            </w:r>
            <w:r w:rsidRPr="00696632">
              <w:rPr>
                <w:b/>
                <w:bCs/>
                <w:color w:val="000000"/>
                <w:sz w:val="16"/>
                <w:szCs w:val="16"/>
              </w:rPr>
              <w:t>po zaokrouhlení</w:t>
            </w:r>
          </w:p>
        </w:tc>
        <w:tc>
          <w:tcPr>
            <w:tcW w:w="3260" w:type="dxa"/>
            <w:tcBorders>
              <w:top w:val="nil"/>
              <w:left w:val="single" w:sz="4" w:space="0" w:color="auto"/>
              <w:bottom w:val="single" w:sz="4" w:space="0" w:color="auto"/>
              <w:right w:val="single" w:sz="8" w:space="0" w:color="auto"/>
            </w:tcBorders>
            <w:shd w:val="clear" w:color="auto" w:fill="auto"/>
            <w:vAlign w:val="center"/>
            <w:hideMark/>
          </w:tcPr>
          <w:p w:rsidR="00696632" w:rsidRPr="00696632" w:rsidRDefault="00696632" w:rsidP="00696632">
            <w:pPr>
              <w:jc w:val="right"/>
              <w:rPr>
                <w:b/>
                <w:bCs/>
                <w:color w:val="000000"/>
                <w:sz w:val="22"/>
                <w:szCs w:val="22"/>
              </w:rPr>
            </w:pPr>
            <w:r w:rsidRPr="00696632">
              <w:rPr>
                <w:b/>
                <w:bCs/>
                <w:color w:val="000000"/>
                <w:sz w:val="22"/>
                <w:szCs w:val="22"/>
              </w:rPr>
              <w:t>138 384</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vAlign w:val="center"/>
            <w:hideMark/>
          </w:tcPr>
          <w:p w:rsidR="00696632" w:rsidRPr="00696632" w:rsidRDefault="00696632" w:rsidP="00696632">
            <w:pPr>
              <w:rPr>
                <w:b/>
                <w:bCs/>
                <w:color w:val="000000"/>
                <w:sz w:val="22"/>
                <w:szCs w:val="22"/>
              </w:rPr>
            </w:pPr>
            <w:r w:rsidRPr="00696632">
              <w:rPr>
                <w:b/>
                <w:bCs/>
                <w:color w:val="000000"/>
                <w:sz w:val="22"/>
                <w:szCs w:val="22"/>
              </w:rPr>
              <w:t>Měsíční nájemné včetně DPH</w:t>
            </w:r>
          </w:p>
        </w:tc>
        <w:tc>
          <w:tcPr>
            <w:tcW w:w="3260" w:type="dxa"/>
            <w:tcBorders>
              <w:top w:val="nil"/>
              <w:left w:val="single" w:sz="4" w:space="0" w:color="auto"/>
              <w:bottom w:val="single" w:sz="4" w:space="0" w:color="auto"/>
              <w:right w:val="single" w:sz="8" w:space="0" w:color="auto"/>
            </w:tcBorders>
            <w:shd w:val="clear" w:color="auto" w:fill="auto"/>
            <w:vAlign w:val="center"/>
            <w:hideMark/>
          </w:tcPr>
          <w:p w:rsidR="00696632" w:rsidRPr="00696632" w:rsidRDefault="00696632" w:rsidP="00696632">
            <w:pPr>
              <w:jc w:val="right"/>
              <w:rPr>
                <w:b/>
                <w:bCs/>
                <w:color w:val="000000"/>
                <w:sz w:val="22"/>
                <w:szCs w:val="22"/>
              </w:rPr>
            </w:pPr>
            <w:r w:rsidRPr="00696632">
              <w:rPr>
                <w:b/>
                <w:bCs/>
                <w:color w:val="000000"/>
                <w:sz w:val="22"/>
                <w:szCs w:val="22"/>
              </w:rPr>
              <w:t>11 532</w:t>
            </w:r>
          </w:p>
        </w:tc>
      </w:tr>
      <w:tr w:rsidR="00696632" w:rsidRPr="00696632" w:rsidTr="00696632">
        <w:trPr>
          <w:trHeight w:val="402"/>
        </w:trPr>
        <w:tc>
          <w:tcPr>
            <w:tcW w:w="72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96632" w:rsidRPr="00696632" w:rsidRDefault="00696632" w:rsidP="00696632">
            <w:pPr>
              <w:jc w:val="center"/>
              <w:rPr>
                <w:b/>
                <w:bCs/>
                <w:color w:val="000000"/>
                <w:sz w:val="22"/>
                <w:szCs w:val="22"/>
              </w:rPr>
            </w:pPr>
            <w:r w:rsidRPr="00696632">
              <w:rPr>
                <w:b/>
                <w:bCs/>
                <w:color w:val="000000"/>
                <w:sz w:val="22"/>
                <w:szCs w:val="22"/>
              </w:rPr>
              <w:t xml:space="preserve"> </w:t>
            </w:r>
            <w:proofErr w:type="gramStart"/>
            <w:r w:rsidRPr="00696632">
              <w:rPr>
                <w:b/>
                <w:bCs/>
                <w:color w:val="000000"/>
                <w:sz w:val="22"/>
                <w:szCs w:val="22"/>
              </w:rPr>
              <w:t>Z Á L O H Y   N A   S L U Ž B Y</w:t>
            </w:r>
            <w:proofErr w:type="gramEnd"/>
          </w:p>
        </w:tc>
      </w:tr>
      <w:tr w:rsidR="00696632" w:rsidRPr="00696632" w:rsidTr="00696632">
        <w:trPr>
          <w:trHeight w:val="360"/>
        </w:trPr>
        <w:tc>
          <w:tcPr>
            <w:tcW w:w="3980" w:type="dxa"/>
            <w:gridSpan w:val="3"/>
            <w:tcBorders>
              <w:top w:val="nil"/>
              <w:left w:val="single" w:sz="8" w:space="0" w:color="auto"/>
              <w:bottom w:val="single" w:sz="4" w:space="0" w:color="auto"/>
              <w:right w:val="single" w:sz="4" w:space="0" w:color="auto"/>
            </w:tcBorders>
            <w:shd w:val="clear" w:color="auto" w:fill="auto"/>
            <w:noWrap/>
            <w:vAlign w:val="bottom"/>
            <w:hideMark/>
          </w:tcPr>
          <w:p w:rsidR="00696632" w:rsidRPr="00CA74C6" w:rsidRDefault="00696632" w:rsidP="00CA74C6">
            <w:pPr>
              <w:rPr>
                <w:b/>
                <w:bCs/>
                <w:color w:val="000000"/>
                <w:sz w:val="10"/>
                <w:szCs w:val="22"/>
              </w:rPr>
            </w:pPr>
            <w:r w:rsidRPr="00696632">
              <w:rPr>
                <w:b/>
                <w:bCs/>
                <w:color w:val="000000"/>
                <w:sz w:val="22"/>
                <w:szCs w:val="22"/>
              </w:rPr>
              <w:t>Roční záloha na služby s</w:t>
            </w:r>
            <w:r w:rsidR="00CA74C6">
              <w:rPr>
                <w:b/>
                <w:bCs/>
                <w:color w:val="000000"/>
                <w:sz w:val="22"/>
                <w:szCs w:val="22"/>
              </w:rPr>
              <w:t> </w:t>
            </w:r>
            <w:r w:rsidRPr="00696632">
              <w:rPr>
                <w:b/>
                <w:bCs/>
                <w:color w:val="000000"/>
                <w:sz w:val="22"/>
                <w:szCs w:val="22"/>
              </w:rPr>
              <w:t>DPH</w:t>
            </w:r>
            <w:r w:rsidR="00CA74C6">
              <w:rPr>
                <w:b/>
                <w:bCs/>
                <w:color w:val="000000"/>
                <w:sz w:val="10"/>
                <w:szCs w:val="22"/>
              </w:rPr>
              <w:t xml:space="preserve"> </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696632" w:rsidP="00CA74C6">
            <w:pPr>
              <w:jc w:val="right"/>
              <w:rPr>
                <w:b/>
                <w:bCs/>
                <w:color w:val="000000"/>
                <w:sz w:val="22"/>
                <w:szCs w:val="22"/>
              </w:rPr>
            </w:pPr>
            <w:r w:rsidRPr="00696632">
              <w:rPr>
                <w:b/>
                <w:bCs/>
                <w:color w:val="000000"/>
                <w:sz w:val="22"/>
                <w:szCs w:val="22"/>
              </w:rPr>
              <w:t xml:space="preserve">3 </w:t>
            </w:r>
            <w:r w:rsidR="00CA74C6">
              <w:rPr>
                <w:b/>
                <w:bCs/>
                <w:color w:val="000000"/>
                <w:sz w:val="22"/>
                <w:szCs w:val="22"/>
              </w:rPr>
              <w:t>993</w:t>
            </w:r>
          </w:p>
        </w:tc>
      </w:tr>
      <w:tr w:rsidR="00696632" w:rsidRPr="00696632" w:rsidTr="00696632">
        <w:trPr>
          <w:trHeight w:val="315"/>
        </w:trPr>
        <w:tc>
          <w:tcPr>
            <w:tcW w:w="3980" w:type="dxa"/>
            <w:gridSpan w:val="3"/>
            <w:tcBorders>
              <w:top w:val="single" w:sz="4" w:space="0" w:color="auto"/>
              <w:left w:val="single" w:sz="8" w:space="0" w:color="auto"/>
              <w:bottom w:val="single" w:sz="4" w:space="0" w:color="auto"/>
              <w:right w:val="nil"/>
            </w:tcBorders>
            <w:shd w:val="clear" w:color="auto" w:fill="auto"/>
            <w:vAlign w:val="bottom"/>
            <w:hideMark/>
          </w:tcPr>
          <w:p w:rsidR="00696632" w:rsidRPr="00CA74C6" w:rsidRDefault="00696632" w:rsidP="00CA74C6">
            <w:pPr>
              <w:rPr>
                <w:color w:val="000000"/>
                <w:sz w:val="12"/>
                <w:szCs w:val="22"/>
              </w:rPr>
            </w:pPr>
            <w:r w:rsidRPr="00696632">
              <w:rPr>
                <w:color w:val="000000"/>
                <w:sz w:val="22"/>
                <w:szCs w:val="22"/>
              </w:rPr>
              <w:t xml:space="preserve">osvětlení společných prostor </w:t>
            </w:r>
            <w:r w:rsidR="00CA74C6">
              <w:rPr>
                <w:color w:val="000000"/>
                <w:sz w:val="22"/>
                <w:szCs w:val="22"/>
              </w:rPr>
              <w:t>–</w:t>
            </w:r>
            <w:r w:rsidRPr="00696632">
              <w:rPr>
                <w:color w:val="000000"/>
                <w:sz w:val="22"/>
                <w:szCs w:val="22"/>
              </w:rPr>
              <w:t xml:space="preserve"> paušál</w:t>
            </w:r>
            <w:r w:rsidR="00CA74C6">
              <w:rPr>
                <w:color w:val="000000"/>
                <w:sz w:val="12"/>
                <w:szCs w:val="22"/>
              </w:rPr>
              <w:t xml:space="preserve"> </w:t>
            </w:r>
          </w:p>
        </w:tc>
        <w:tc>
          <w:tcPr>
            <w:tcW w:w="3260" w:type="dxa"/>
            <w:tcBorders>
              <w:top w:val="nil"/>
              <w:left w:val="single" w:sz="4" w:space="0" w:color="auto"/>
              <w:bottom w:val="nil"/>
              <w:right w:val="single" w:sz="8" w:space="0" w:color="auto"/>
            </w:tcBorders>
            <w:shd w:val="clear" w:color="auto" w:fill="auto"/>
            <w:noWrap/>
            <w:vAlign w:val="bottom"/>
            <w:hideMark/>
          </w:tcPr>
          <w:p w:rsidR="00696632" w:rsidRPr="00696632" w:rsidRDefault="00696632" w:rsidP="00CA74C6">
            <w:pPr>
              <w:jc w:val="right"/>
              <w:rPr>
                <w:color w:val="000000"/>
                <w:sz w:val="22"/>
                <w:szCs w:val="22"/>
              </w:rPr>
            </w:pPr>
            <w:r w:rsidRPr="00696632">
              <w:rPr>
                <w:color w:val="000000"/>
                <w:sz w:val="22"/>
                <w:szCs w:val="22"/>
              </w:rPr>
              <w:t xml:space="preserve">3 </w:t>
            </w:r>
            <w:r w:rsidR="00CA74C6">
              <w:rPr>
                <w:color w:val="000000"/>
                <w:sz w:val="22"/>
                <w:szCs w:val="22"/>
              </w:rPr>
              <w:t>993</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noWrap/>
            <w:vAlign w:val="bottom"/>
            <w:hideMark/>
          </w:tcPr>
          <w:p w:rsidR="00696632" w:rsidRPr="00CA74C6" w:rsidRDefault="00696632" w:rsidP="00CA74C6">
            <w:pPr>
              <w:rPr>
                <w:b/>
                <w:bCs/>
                <w:color w:val="000000"/>
                <w:sz w:val="12"/>
                <w:szCs w:val="22"/>
              </w:rPr>
            </w:pPr>
            <w:r w:rsidRPr="00696632">
              <w:rPr>
                <w:b/>
                <w:bCs/>
                <w:color w:val="000000"/>
                <w:sz w:val="22"/>
                <w:szCs w:val="22"/>
              </w:rPr>
              <w:t>Měsíční záloha na služby s</w:t>
            </w:r>
            <w:r w:rsidR="00CA74C6">
              <w:rPr>
                <w:b/>
                <w:bCs/>
                <w:color w:val="000000"/>
                <w:sz w:val="22"/>
                <w:szCs w:val="22"/>
              </w:rPr>
              <w:t> </w:t>
            </w:r>
            <w:r w:rsidRPr="00696632">
              <w:rPr>
                <w:b/>
                <w:bCs/>
                <w:color w:val="000000"/>
                <w:sz w:val="22"/>
                <w:szCs w:val="22"/>
              </w:rPr>
              <w:t>DPH</w:t>
            </w:r>
            <w:r w:rsidR="00CA74C6">
              <w:rPr>
                <w:b/>
                <w:bCs/>
                <w:color w:val="000000"/>
                <w:sz w:val="22"/>
                <w:szCs w:val="22"/>
              </w:rPr>
              <w:t xml:space="preserve"> </w:t>
            </w:r>
            <w:r w:rsidR="00CA74C6">
              <w:rPr>
                <w:color w:val="000000"/>
                <w:sz w:val="14"/>
                <w:szCs w:val="22"/>
              </w:rPr>
              <w:t>po zaokrouhlení</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CA74C6" w:rsidP="00696632">
            <w:pPr>
              <w:jc w:val="right"/>
              <w:rPr>
                <w:b/>
                <w:bCs/>
                <w:color w:val="000000"/>
                <w:sz w:val="22"/>
                <w:szCs w:val="22"/>
              </w:rPr>
            </w:pPr>
            <w:r>
              <w:rPr>
                <w:b/>
                <w:bCs/>
                <w:color w:val="000000"/>
                <w:sz w:val="22"/>
                <w:szCs w:val="22"/>
              </w:rPr>
              <w:t>333</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vAlign w:val="bottom"/>
            <w:hideMark/>
          </w:tcPr>
          <w:p w:rsidR="00696632" w:rsidRPr="00CA74C6" w:rsidRDefault="00696632" w:rsidP="00696632">
            <w:pPr>
              <w:rPr>
                <w:color w:val="000000"/>
                <w:sz w:val="14"/>
                <w:szCs w:val="22"/>
              </w:rPr>
            </w:pPr>
            <w:r w:rsidRPr="00696632">
              <w:rPr>
                <w:color w:val="000000"/>
                <w:sz w:val="22"/>
                <w:szCs w:val="22"/>
              </w:rPr>
              <w:t xml:space="preserve">osvětlení společných prostor </w:t>
            </w:r>
            <w:r w:rsidR="00CA74C6">
              <w:rPr>
                <w:color w:val="000000"/>
                <w:sz w:val="22"/>
                <w:szCs w:val="22"/>
              </w:rPr>
              <w:t>–</w:t>
            </w:r>
            <w:r w:rsidRPr="00696632">
              <w:rPr>
                <w:color w:val="000000"/>
                <w:sz w:val="22"/>
                <w:szCs w:val="22"/>
              </w:rPr>
              <w:t xml:space="preserve"> paušál</w:t>
            </w:r>
            <w:r w:rsidR="00CA74C6">
              <w:rPr>
                <w:color w:val="000000"/>
                <w:sz w:val="22"/>
                <w:szCs w:val="22"/>
              </w:rPr>
              <w:t xml:space="preserve"> </w:t>
            </w:r>
            <w:r w:rsidR="00CA74C6">
              <w:rPr>
                <w:color w:val="000000"/>
                <w:sz w:val="14"/>
                <w:szCs w:val="22"/>
              </w:rPr>
              <w:t>po zaokrouhlení</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CA74C6" w:rsidP="00696632">
            <w:pPr>
              <w:jc w:val="right"/>
              <w:rPr>
                <w:color w:val="000000"/>
                <w:sz w:val="22"/>
                <w:szCs w:val="22"/>
              </w:rPr>
            </w:pPr>
            <w:r>
              <w:rPr>
                <w:color w:val="000000"/>
                <w:sz w:val="22"/>
                <w:szCs w:val="22"/>
              </w:rPr>
              <w:t>333</w:t>
            </w:r>
          </w:p>
        </w:tc>
      </w:tr>
      <w:tr w:rsidR="00696632" w:rsidRPr="00696632" w:rsidTr="00696632">
        <w:trPr>
          <w:trHeight w:val="402"/>
        </w:trPr>
        <w:tc>
          <w:tcPr>
            <w:tcW w:w="72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96632" w:rsidRPr="00696632" w:rsidRDefault="00696632" w:rsidP="00696632">
            <w:pPr>
              <w:jc w:val="center"/>
              <w:rPr>
                <w:b/>
                <w:bCs/>
                <w:color w:val="000000"/>
                <w:sz w:val="22"/>
                <w:szCs w:val="22"/>
              </w:rPr>
            </w:pPr>
            <w:r w:rsidRPr="00696632">
              <w:rPr>
                <w:b/>
                <w:bCs/>
                <w:color w:val="000000"/>
                <w:sz w:val="22"/>
                <w:szCs w:val="22"/>
              </w:rPr>
              <w:t>CELKEM = NÁJEMNÉ + SLUŽBY</w:t>
            </w:r>
          </w:p>
        </w:tc>
      </w:tr>
      <w:tr w:rsidR="00696632" w:rsidRPr="00696632" w:rsidTr="00696632">
        <w:trPr>
          <w:trHeight w:val="300"/>
        </w:trPr>
        <w:tc>
          <w:tcPr>
            <w:tcW w:w="3980" w:type="dxa"/>
            <w:gridSpan w:val="3"/>
            <w:tcBorders>
              <w:top w:val="single" w:sz="8" w:space="0" w:color="auto"/>
              <w:left w:val="single" w:sz="8" w:space="0" w:color="auto"/>
              <w:bottom w:val="single" w:sz="4" w:space="0" w:color="auto"/>
              <w:right w:val="nil"/>
            </w:tcBorders>
            <w:shd w:val="clear" w:color="auto" w:fill="auto"/>
            <w:noWrap/>
            <w:vAlign w:val="bottom"/>
            <w:hideMark/>
          </w:tcPr>
          <w:p w:rsidR="00696632" w:rsidRPr="00696632" w:rsidRDefault="00696632" w:rsidP="00696632">
            <w:pPr>
              <w:rPr>
                <w:color w:val="000000"/>
                <w:sz w:val="20"/>
                <w:szCs w:val="20"/>
              </w:rPr>
            </w:pPr>
            <w:r w:rsidRPr="00696632">
              <w:rPr>
                <w:color w:val="000000"/>
                <w:sz w:val="20"/>
                <w:szCs w:val="20"/>
              </w:rPr>
              <w:t>Roční nájemné s DPH + služby s DPH</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696632" w:rsidP="00CA74C6">
            <w:pPr>
              <w:jc w:val="right"/>
              <w:rPr>
                <w:color w:val="000000"/>
                <w:sz w:val="22"/>
                <w:szCs w:val="22"/>
              </w:rPr>
            </w:pPr>
            <w:r w:rsidRPr="00696632">
              <w:rPr>
                <w:color w:val="000000"/>
                <w:sz w:val="22"/>
                <w:szCs w:val="22"/>
              </w:rPr>
              <w:t xml:space="preserve">138 384 + 3 </w:t>
            </w:r>
            <w:r w:rsidR="00CA74C6">
              <w:rPr>
                <w:color w:val="000000"/>
                <w:sz w:val="22"/>
                <w:szCs w:val="22"/>
              </w:rPr>
              <w:t>993</w:t>
            </w:r>
          </w:p>
        </w:tc>
      </w:tr>
      <w:tr w:rsidR="00696632" w:rsidRPr="00696632" w:rsidTr="00696632">
        <w:trPr>
          <w:trHeight w:val="300"/>
        </w:trPr>
        <w:tc>
          <w:tcPr>
            <w:tcW w:w="3980" w:type="dxa"/>
            <w:gridSpan w:val="3"/>
            <w:tcBorders>
              <w:top w:val="single" w:sz="4" w:space="0" w:color="auto"/>
              <w:left w:val="single" w:sz="8" w:space="0" w:color="auto"/>
              <w:bottom w:val="single" w:sz="4" w:space="0" w:color="auto"/>
              <w:right w:val="nil"/>
            </w:tcBorders>
            <w:shd w:val="clear" w:color="auto" w:fill="auto"/>
            <w:noWrap/>
            <w:vAlign w:val="bottom"/>
            <w:hideMark/>
          </w:tcPr>
          <w:p w:rsidR="00696632" w:rsidRPr="00696632" w:rsidRDefault="00696632" w:rsidP="00696632">
            <w:pPr>
              <w:rPr>
                <w:color w:val="000000"/>
                <w:sz w:val="20"/>
                <w:szCs w:val="20"/>
              </w:rPr>
            </w:pPr>
            <w:r w:rsidRPr="00696632">
              <w:rPr>
                <w:color w:val="000000"/>
                <w:sz w:val="20"/>
                <w:szCs w:val="20"/>
              </w:rPr>
              <w:t xml:space="preserve">Celkem    </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CA74C6" w:rsidP="00696632">
            <w:pPr>
              <w:jc w:val="right"/>
              <w:rPr>
                <w:color w:val="000000"/>
                <w:sz w:val="22"/>
                <w:szCs w:val="22"/>
              </w:rPr>
            </w:pPr>
            <w:r>
              <w:rPr>
                <w:color w:val="000000"/>
                <w:sz w:val="22"/>
                <w:szCs w:val="22"/>
              </w:rPr>
              <w:t>142 377</w:t>
            </w:r>
          </w:p>
        </w:tc>
      </w:tr>
      <w:tr w:rsidR="00696632" w:rsidRPr="00696632" w:rsidTr="00696632">
        <w:trPr>
          <w:trHeight w:val="300"/>
        </w:trPr>
        <w:tc>
          <w:tcPr>
            <w:tcW w:w="3980" w:type="dxa"/>
            <w:gridSpan w:val="3"/>
            <w:tcBorders>
              <w:top w:val="single" w:sz="4" w:space="0" w:color="auto"/>
              <w:left w:val="single" w:sz="8" w:space="0" w:color="auto"/>
              <w:bottom w:val="single" w:sz="4" w:space="0" w:color="auto"/>
              <w:right w:val="nil"/>
            </w:tcBorders>
            <w:shd w:val="clear" w:color="auto" w:fill="auto"/>
            <w:noWrap/>
            <w:vAlign w:val="bottom"/>
            <w:hideMark/>
          </w:tcPr>
          <w:p w:rsidR="00696632" w:rsidRPr="00696632" w:rsidRDefault="00696632" w:rsidP="00696632">
            <w:pPr>
              <w:rPr>
                <w:color w:val="000000"/>
                <w:sz w:val="20"/>
                <w:szCs w:val="20"/>
              </w:rPr>
            </w:pPr>
            <w:r w:rsidRPr="00696632">
              <w:rPr>
                <w:color w:val="000000"/>
                <w:sz w:val="20"/>
                <w:szCs w:val="20"/>
              </w:rPr>
              <w:t>Měsíční nájemné bez DPH + služby s DPH</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696632" w:rsidP="00CA74C6">
            <w:pPr>
              <w:jc w:val="right"/>
              <w:rPr>
                <w:color w:val="000000"/>
                <w:sz w:val="22"/>
                <w:szCs w:val="22"/>
              </w:rPr>
            </w:pPr>
            <w:r w:rsidRPr="00696632">
              <w:rPr>
                <w:color w:val="000000"/>
                <w:sz w:val="22"/>
                <w:szCs w:val="22"/>
              </w:rPr>
              <w:t xml:space="preserve">11 532 + </w:t>
            </w:r>
            <w:r w:rsidR="00CA74C6">
              <w:rPr>
                <w:color w:val="000000"/>
                <w:sz w:val="22"/>
                <w:szCs w:val="22"/>
              </w:rPr>
              <w:t>333</w:t>
            </w:r>
          </w:p>
        </w:tc>
      </w:tr>
      <w:tr w:rsidR="00696632" w:rsidRPr="00696632" w:rsidTr="00696632">
        <w:trPr>
          <w:trHeight w:val="300"/>
        </w:trPr>
        <w:tc>
          <w:tcPr>
            <w:tcW w:w="39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96632" w:rsidRPr="00696632" w:rsidRDefault="00696632" w:rsidP="00696632">
            <w:pPr>
              <w:rPr>
                <w:color w:val="000000"/>
                <w:sz w:val="20"/>
                <w:szCs w:val="20"/>
              </w:rPr>
            </w:pPr>
            <w:r w:rsidRPr="00696632">
              <w:rPr>
                <w:color w:val="000000"/>
                <w:sz w:val="20"/>
                <w:szCs w:val="20"/>
              </w:rPr>
              <w:t>Celkem</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696632" w:rsidP="00CA74C6">
            <w:pPr>
              <w:jc w:val="right"/>
              <w:rPr>
                <w:b/>
                <w:bCs/>
                <w:color w:val="000000"/>
                <w:sz w:val="22"/>
                <w:szCs w:val="22"/>
              </w:rPr>
            </w:pPr>
            <w:r w:rsidRPr="00696632">
              <w:rPr>
                <w:b/>
                <w:bCs/>
                <w:color w:val="000000"/>
                <w:sz w:val="22"/>
                <w:szCs w:val="22"/>
              </w:rPr>
              <w:t>11 8</w:t>
            </w:r>
            <w:r w:rsidR="00CA74C6">
              <w:rPr>
                <w:b/>
                <w:bCs/>
                <w:color w:val="000000"/>
                <w:sz w:val="22"/>
                <w:szCs w:val="22"/>
              </w:rPr>
              <w:t>65</w:t>
            </w:r>
          </w:p>
        </w:tc>
      </w:tr>
    </w:tbl>
    <w:p w:rsidR="00696632" w:rsidRDefault="00696632" w:rsidP="00696632">
      <w:pPr>
        <w:autoSpaceDE w:val="0"/>
        <w:autoSpaceDN w:val="0"/>
        <w:adjustRightInd w:val="0"/>
        <w:rPr>
          <w:b/>
        </w:rPr>
      </w:pPr>
    </w:p>
    <w:p w:rsidR="00696632" w:rsidRDefault="00696632" w:rsidP="00696632">
      <w:pPr>
        <w:autoSpaceDE w:val="0"/>
        <w:autoSpaceDN w:val="0"/>
        <w:adjustRightInd w:val="0"/>
        <w:rPr>
          <w:b/>
        </w:rPr>
      </w:pPr>
    </w:p>
    <w:p w:rsidR="00696632" w:rsidRDefault="00696632" w:rsidP="00696632">
      <w:pPr>
        <w:autoSpaceDE w:val="0"/>
        <w:autoSpaceDN w:val="0"/>
        <w:adjustRightInd w:val="0"/>
        <w:rPr>
          <w:b/>
        </w:rPr>
      </w:pPr>
    </w:p>
    <w:p w:rsidR="00696632" w:rsidRDefault="00696632" w:rsidP="00696632">
      <w:pPr>
        <w:autoSpaceDE w:val="0"/>
        <w:autoSpaceDN w:val="0"/>
        <w:adjustRightInd w:val="0"/>
        <w:spacing w:before="120"/>
      </w:pPr>
      <w:r>
        <w:t>Ve Frýdku-Místku dne:</w:t>
      </w:r>
      <w:r>
        <w:tab/>
      </w:r>
      <w:r>
        <w:tab/>
      </w:r>
      <w:r>
        <w:tab/>
      </w:r>
      <w:r>
        <w:tab/>
        <w:t>Ve Frýdku-Místku dne:</w:t>
      </w:r>
    </w:p>
    <w:p w:rsidR="00696632" w:rsidRDefault="00696632" w:rsidP="00696632">
      <w:pPr>
        <w:autoSpaceDE w:val="0"/>
        <w:autoSpaceDN w:val="0"/>
        <w:adjustRightInd w:val="0"/>
        <w:spacing w:before="120"/>
      </w:pPr>
    </w:p>
    <w:p w:rsidR="00696632" w:rsidRDefault="00696632" w:rsidP="00696632">
      <w:pPr>
        <w:autoSpaceDE w:val="0"/>
        <w:autoSpaceDN w:val="0"/>
        <w:adjustRightInd w:val="0"/>
        <w:spacing w:before="120"/>
      </w:pPr>
      <w:r>
        <w:t xml:space="preserve">Za pronajímatele: </w:t>
      </w:r>
      <w:r>
        <w:tab/>
      </w:r>
      <w:r>
        <w:tab/>
      </w:r>
      <w:r>
        <w:tab/>
      </w:r>
      <w:r>
        <w:tab/>
        <w:t xml:space="preserve">           Za nájemce:</w:t>
      </w:r>
    </w:p>
    <w:p w:rsidR="00696632" w:rsidRDefault="00696632" w:rsidP="00696632">
      <w:pPr>
        <w:autoSpaceDE w:val="0"/>
        <w:autoSpaceDN w:val="0"/>
        <w:adjustRightInd w:val="0"/>
        <w:spacing w:before="120"/>
      </w:pPr>
    </w:p>
    <w:p w:rsidR="00696632" w:rsidRDefault="00696632" w:rsidP="00696632">
      <w:pPr>
        <w:autoSpaceDE w:val="0"/>
        <w:autoSpaceDN w:val="0"/>
        <w:adjustRightInd w:val="0"/>
        <w:spacing w:before="120"/>
        <w:rPr>
          <w:b/>
        </w:rPr>
      </w:pPr>
    </w:p>
    <w:p w:rsidR="00696632" w:rsidRDefault="00696632" w:rsidP="00696632">
      <w:pPr>
        <w:autoSpaceDE w:val="0"/>
        <w:autoSpaceDN w:val="0"/>
        <w:adjustRightInd w:val="0"/>
        <w:spacing w:before="120"/>
        <w:rPr>
          <w:b/>
        </w:rPr>
      </w:pPr>
    </w:p>
    <w:p w:rsidR="00696632" w:rsidRDefault="00696632" w:rsidP="00696632">
      <w:pPr>
        <w:autoSpaceDE w:val="0"/>
        <w:autoSpaceDN w:val="0"/>
        <w:adjustRightInd w:val="0"/>
        <w:spacing w:before="120"/>
        <w:rPr>
          <w:b/>
        </w:rPr>
      </w:pPr>
      <w:r>
        <w:rPr>
          <w:b/>
        </w:rPr>
        <w:t xml:space="preserve">statutární město Frýdek-Místek </w:t>
      </w:r>
      <w:r>
        <w:rPr>
          <w:b/>
        </w:rPr>
        <w:tab/>
      </w:r>
      <w:r>
        <w:rPr>
          <w:b/>
        </w:rPr>
        <w:tab/>
      </w:r>
      <w:r>
        <w:rPr>
          <w:b/>
        </w:rPr>
        <w:tab/>
      </w:r>
      <w:proofErr w:type="gramStart"/>
      <w:r>
        <w:rPr>
          <w:b/>
        </w:rPr>
        <w:t>H.A.</w:t>
      </w:r>
      <w:proofErr w:type="gramEnd"/>
      <w:r>
        <w:rPr>
          <w:b/>
        </w:rPr>
        <w:t>S. spol. s.r.o.</w:t>
      </w:r>
    </w:p>
    <w:p w:rsidR="00696632" w:rsidRPr="00696632" w:rsidRDefault="00696632" w:rsidP="00696632">
      <w:pPr>
        <w:autoSpaceDE w:val="0"/>
        <w:autoSpaceDN w:val="0"/>
        <w:adjustRightInd w:val="0"/>
        <w:spacing w:before="120"/>
        <w:rPr>
          <w:b/>
        </w:rPr>
      </w:pPr>
      <w:r>
        <w:t>Ing. Bc. Hana Kalužová</w:t>
      </w:r>
      <w:r>
        <w:tab/>
        <w:t xml:space="preserve">                                    Ing. Jan </w:t>
      </w:r>
      <w:proofErr w:type="spellStart"/>
      <w:r>
        <w:t>Heidrich</w:t>
      </w:r>
      <w:proofErr w:type="spellEnd"/>
    </w:p>
    <w:sectPr w:rsidR="00696632" w:rsidRPr="00696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10DCE"/>
    <w:multiLevelType w:val="hybridMultilevel"/>
    <w:tmpl w:val="6EA2DD68"/>
    <w:lvl w:ilvl="0" w:tplc="63EA6C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6C18F2"/>
    <w:multiLevelType w:val="hybridMultilevel"/>
    <w:tmpl w:val="6A3E4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755B00"/>
    <w:multiLevelType w:val="hybridMultilevel"/>
    <w:tmpl w:val="B7524B2C"/>
    <w:lvl w:ilvl="0" w:tplc="34F28A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610AB0"/>
    <w:multiLevelType w:val="hybridMultilevel"/>
    <w:tmpl w:val="215C2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457BEF"/>
    <w:multiLevelType w:val="hybridMultilevel"/>
    <w:tmpl w:val="AB86C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7D34DE"/>
    <w:multiLevelType w:val="hybridMultilevel"/>
    <w:tmpl w:val="4FDC31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935FC3"/>
    <w:multiLevelType w:val="hybridMultilevel"/>
    <w:tmpl w:val="045CBA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236241"/>
    <w:multiLevelType w:val="hybridMultilevel"/>
    <w:tmpl w:val="4F66768C"/>
    <w:lvl w:ilvl="0" w:tplc="BDE6CDB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674709"/>
    <w:multiLevelType w:val="hybridMultilevel"/>
    <w:tmpl w:val="2328FA2A"/>
    <w:lvl w:ilvl="0" w:tplc="5680E426">
      <w:start w:val="2"/>
      <w:numFmt w:val="bullet"/>
      <w:lvlText w:val="-"/>
      <w:lvlJc w:val="left"/>
      <w:pPr>
        <w:ind w:left="720" w:hanging="360"/>
      </w:pPr>
      <w:rPr>
        <w:rFonts w:asciiTheme="minorHAnsi" w:eastAsiaTheme="minorHAnsi" w:hAnsiTheme="minorHAnsi" w:cstheme="minorBid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4A5ABF"/>
    <w:multiLevelType w:val="hybridMultilevel"/>
    <w:tmpl w:val="468CF9A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C907311"/>
    <w:multiLevelType w:val="hybridMultilevel"/>
    <w:tmpl w:val="328A5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1A35E1"/>
    <w:multiLevelType w:val="hybridMultilevel"/>
    <w:tmpl w:val="F1FA875C"/>
    <w:lvl w:ilvl="0" w:tplc="0405000F">
      <w:start w:val="1"/>
      <w:numFmt w:val="decimal"/>
      <w:lvlText w:val="%1."/>
      <w:lvlJc w:val="left"/>
      <w:pPr>
        <w:ind w:left="720" w:hanging="360"/>
      </w:pPr>
    </w:lvl>
    <w:lvl w:ilvl="1" w:tplc="538C9D6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C62F0E"/>
    <w:multiLevelType w:val="hybridMultilevel"/>
    <w:tmpl w:val="15D031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64193B"/>
    <w:multiLevelType w:val="singleLevel"/>
    <w:tmpl w:val="442252B6"/>
    <w:lvl w:ilvl="0">
      <w:start w:val="1"/>
      <w:numFmt w:val="bullet"/>
      <w:lvlText w:val="-"/>
      <w:lvlJc w:val="left"/>
      <w:pPr>
        <w:tabs>
          <w:tab w:val="num" w:pos="720"/>
        </w:tabs>
        <w:ind w:left="720" w:hanging="360"/>
      </w:pPr>
    </w:lvl>
  </w:abstractNum>
  <w:abstractNum w:abstractNumId="14" w15:restartNumberingAfterBreak="0">
    <w:nsid w:val="58CB3B55"/>
    <w:multiLevelType w:val="hybridMultilevel"/>
    <w:tmpl w:val="AB54611A"/>
    <w:lvl w:ilvl="0" w:tplc="51C8FB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312A4D"/>
    <w:multiLevelType w:val="hybridMultilevel"/>
    <w:tmpl w:val="962829E4"/>
    <w:lvl w:ilvl="0" w:tplc="0405000F">
      <w:start w:val="3"/>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C2B0BB4"/>
    <w:multiLevelType w:val="hybridMultilevel"/>
    <w:tmpl w:val="EFB0D392"/>
    <w:lvl w:ilvl="0" w:tplc="209EB1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424538"/>
    <w:multiLevelType w:val="hybridMultilevel"/>
    <w:tmpl w:val="FD5C7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6D45B6"/>
    <w:multiLevelType w:val="hybridMultilevel"/>
    <w:tmpl w:val="21D65270"/>
    <w:lvl w:ilvl="0" w:tplc="0405000F">
      <w:start w:val="1"/>
      <w:numFmt w:val="decimal"/>
      <w:lvlText w:val="%1."/>
      <w:lvlJc w:val="left"/>
      <w:pPr>
        <w:ind w:left="720" w:hanging="360"/>
      </w:pPr>
    </w:lvl>
    <w:lvl w:ilvl="1" w:tplc="2C787B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5B4BF8"/>
    <w:multiLevelType w:val="hybridMultilevel"/>
    <w:tmpl w:val="4F3E4E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54090A"/>
    <w:multiLevelType w:val="hybridMultilevel"/>
    <w:tmpl w:val="ABA204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6E1CDC"/>
    <w:multiLevelType w:val="hybridMultilevel"/>
    <w:tmpl w:val="C85AA9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23391E"/>
    <w:multiLevelType w:val="hybridMultilevel"/>
    <w:tmpl w:val="063441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3"/>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0"/>
  </w:num>
  <w:num w:numId="6">
    <w:abstractNumId w:val="5"/>
  </w:num>
  <w:num w:numId="7">
    <w:abstractNumId w:val="3"/>
  </w:num>
  <w:num w:numId="8">
    <w:abstractNumId w:val="16"/>
  </w:num>
  <w:num w:numId="9">
    <w:abstractNumId w:val="14"/>
  </w:num>
  <w:num w:numId="10">
    <w:abstractNumId w:val="7"/>
  </w:num>
  <w:num w:numId="11">
    <w:abstractNumId w:val="1"/>
  </w:num>
  <w:num w:numId="12">
    <w:abstractNumId w:val="19"/>
  </w:num>
  <w:num w:numId="13">
    <w:abstractNumId w:val="22"/>
  </w:num>
  <w:num w:numId="14">
    <w:abstractNumId w:val="17"/>
  </w:num>
  <w:num w:numId="15">
    <w:abstractNumId w:val="4"/>
  </w:num>
  <w:num w:numId="16">
    <w:abstractNumId w:val="6"/>
  </w:num>
  <w:num w:numId="17">
    <w:abstractNumId w:val="12"/>
  </w:num>
  <w:num w:numId="18">
    <w:abstractNumId w:val="0"/>
  </w:num>
  <w:num w:numId="19">
    <w:abstractNumId w:val="11"/>
  </w:num>
  <w:num w:numId="20">
    <w:abstractNumId w:val="18"/>
  </w:num>
  <w:num w:numId="21">
    <w:abstractNumId w:val="10"/>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4A"/>
    <w:rsid w:val="0008320D"/>
    <w:rsid w:val="000A0999"/>
    <w:rsid w:val="000B4FE9"/>
    <w:rsid w:val="000C028E"/>
    <w:rsid w:val="000F37AA"/>
    <w:rsid w:val="00114B4C"/>
    <w:rsid w:val="0014338B"/>
    <w:rsid w:val="00163F0D"/>
    <w:rsid w:val="00224EA6"/>
    <w:rsid w:val="00255724"/>
    <w:rsid w:val="00267353"/>
    <w:rsid w:val="00274876"/>
    <w:rsid w:val="00424F98"/>
    <w:rsid w:val="00436E2A"/>
    <w:rsid w:val="00464436"/>
    <w:rsid w:val="004B306F"/>
    <w:rsid w:val="004E3D82"/>
    <w:rsid w:val="004F374A"/>
    <w:rsid w:val="0050367D"/>
    <w:rsid w:val="00574372"/>
    <w:rsid w:val="005B4CE3"/>
    <w:rsid w:val="006313D7"/>
    <w:rsid w:val="006657C4"/>
    <w:rsid w:val="00696632"/>
    <w:rsid w:val="006B5819"/>
    <w:rsid w:val="006B5920"/>
    <w:rsid w:val="006E1C28"/>
    <w:rsid w:val="006E6207"/>
    <w:rsid w:val="0071294A"/>
    <w:rsid w:val="00756E3B"/>
    <w:rsid w:val="00762292"/>
    <w:rsid w:val="00775F43"/>
    <w:rsid w:val="00797D9F"/>
    <w:rsid w:val="008578DC"/>
    <w:rsid w:val="008A622D"/>
    <w:rsid w:val="009B4D17"/>
    <w:rsid w:val="00A011CF"/>
    <w:rsid w:val="00A74F2D"/>
    <w:rsid w:val="00AA3B59"/>
    <w:rsid w:val="00B32408"/>
    <w:rsid w:val="00B35C35"/>
    <w:rsid w:val="00C218CF"/>
    <w:rsid w:val="00CA2C6D"/>
    <w:rsid w:val="00CA74C6"/>
    <w:rsid w:val="00CB1723"/>
    <w:rsid w:val="00D274B0"/>
    <w:rsid w:val="00D832B5"/>
    <w:rsid w:val="00DA76C4"/>
    <w:rsid w:val="00E14B16"/>
    <w:rsid w:val="00E4405A"/>
    <w:rsid w:val="00EB605B"/>
    <w:rsid w:val="00FE1275"/>
    <w:rsid w:val="00FF51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F5848DA-B3DF-44B2-B37B-A02095F0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7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F374A"/>
    <w:pPr>
      <w:keepNext/>
      <w:autoSpaceDE w:val="0"/>
      <w:autoSpaceDN w:val="0"/>
      <w:adjustRightInd w:val="0"/>
      <w:spacing w:before="12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F374A"/>
    <w:rPr>
      <w:rFonts w:ascii="Times New Roman" w:eastAsia="Times New Roman" w:hAnsi="Times New Roman" w:cs="Times New Roman"/>
      <w:b/>
      <w:bCs/>
      <w:sz w:val="24"/>
      <w:szCs w:val="24"/>
      <w:lang w:eastAsia="cs-CZ"/>
    </w:rPr>
  </w:style>
  <w:style w:type="paragraph" w:styleId="Nzev">
    <w:name w:val="Title"/>
    <w:basedOn w:val="Normln"/>
    <w:link w:val="NzevChar"/>
    <w:qFormat/>
    <w:rsid w:val="004F374A"/>
    <w:pPr>
      <w:autoSpaceDE w:val="0"/>
      <w:autoSpaceDN w:val="0"/>
      <w:adjustRightInd w:val="0"/>
      <w:spacing w:before="120"/>
      <w:jc w:val="center"/>
    </w:pPr>
    <w:rPr>
      <w:sz w:val="36"/>
      <w:szCs w:val="36"/>
    </w:rPr>
  </w:style>
  <w:style w:type="character" w:customStyle="1" w:styleId="NzevChar">
    <w:name w:val="Název Char"/>
    <w:basedOn w:val="Standardnpsmoodstavce"/>
    <w:link w:val="Nzev"/>
    <w:rsid w:val="004F374A"/>
    <w:rPr>
      <w:rFonts w:ascii="Times New Roman" w:eastAsia="Times New Roman" w:hAnsi="Times New Roman" w:cs="Times New Roman"/>
      <w:sz w:val="36"/>
      <w:szCs w:val="36"/>
      <w:lang w:eastAsia="cs-CZ"/>
    </w:rPr>
  </w:style>
  <w:style w:type="paragraph" w:styleId="Zkladntext">
    <w:name w:val="Body Text"/>
    <w:basedOn w:val="Normln"/>
    <w:link w:val="ZkladntextChar"/>
    <w:semiHidden/>
    <w:unhideWhenUsed/>
    <w:rsid w:val="004F374A"/>
    <w:pPr>
      <w:autoSpaceDE w:val="0"/>
      <w:autoSpaceDN w:val="0"/>
      <w:adjustRightInd w:val="0"/>
      <w:spacing w:before="120"/>
      <w:jc w:val="both"/>
    </w:pPr>
  </w:style>
  <w:style w:type="character" w:customStyle="1" w:styleId="ZkladntextChar">
    <w:name w:val="Základní text Char"/>
    <w:basedOn w:val="Standardnpsmoodstavce"/>
    <w:link w:val="Zkladntext"/>
    <w:semiHidden/>
    <w:rsid w:val="004F374A"/>
    <w:rPr>
      <w:rFonts w:ascii="Times New Roman" w:eastAsia="Times New Roman" w:hAnsi="Times New Roman" w:cs="Times New Roman"/>
      <w:sz w:val="24"/>
      <w:szCs w:val="24"/>
      <w:lang w:eastAsia="cs-CZ"/>
    </w:rPr>
  </w:style>
  <w:style w:type="paragraph" w:styleId="Zkladntext2">
    <w:name w:val="Body Text 2"/>
    <w:basedOn w:val="Normln"/>
    <w:link w:val="Zkladntext2Char"/>
    <w:unhideWhenUsed/>
    <w:rsid w:val="004F374A"/>
    <w:pPr>
      <w:spacing w:after="120" w:line="480" w:lineRule="auto"/>
    </w:pPr>
  </w:style>
  <w:style w:type="character" w:customStyle="1" w:styleId="Zkladntext2Char">
    <w:name w:val="Základní text 2 Char"/>
    <w:basedOn w:val="Standardnpsmoodstavce"/>
    <w:link w:val="Zkladntext2"/>
    <w:rsid w:val="004F374A"/>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4F374A"/>
    <w:pPr>
      <w:ind w:left="284" w:hanging="284"/>
      <w:jc w:val="both"/>
    </w:pPr>
  </w:style>
  <w:style w:type="character" w:customStyle="1" w:styleId="Zkladntextodsazen2Char">
    <w:name w:val="Základní text odsazený 2 Char"/>
    <w:basedOn w:val="Standardnpsmoodstavce"/>
    <w:link w:val="Zkladntextodsazen2"/>
    <w:semiHidden/>
    <w:rsid w:val="004F374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011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1CF"/>
    <w:rPr>
      <w:rFonts w:ascii="Segoe UI" w:eastAsia="Times New Roman" w:hAnsi="Segoe UI" w:cs="Segoe UI"/>
      <w:sz w:val="18"/>
      <w:szCs w:val="18"/>
      <w:lang w:eastAsia="cs-CZ"/>
    </w:rPr>
  </w:style>
  <w:style w:type="paragraph" w:styleId="Odstavecseseznamem">
    <w:name w:val="List Paragraph"/>
    <w:basedOn w:val="Normln"/>
    <w:uiPriority w:val="34"/>
    <w:qFormat/>
    <w:rsid w:val="00CB1723"/>
    <w:pPr>
      <w:ind w:left="720"/>
      <w:contextualSpacing/>
    </w:pPr>
  </w:style>
  <w:style w:type="paragraph" w:styleId="Bezmezer">
    <w:name w:val="No Spacing"/>
    <w:uiPriority w:val="1"/>
    <w:qFormat/>
    <w:rsid w:val="00797D9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0F37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98445">
      <w:bodyDiv w:val="1"/>
      <w:marLeft w:val="0"/>
      <w:marRight w:val="0"/>
      <w:marTop w:val="0"/>
      <w:marBottom w:val="0"/>
      <w:divBdr>
        <w:top w:val="none" w:sz="0" w:space="0" w:color="auto"/>
        <w:left w:val="none" w:sz="0" w:space="0" w:color="auto"/>
        <w:bottom w:val="none" w:sz="0" w:space="0" w:color="auto"/>
        <w:right w:val="none" w:sz="0" w:space="0" w:color="auto"/>
      </w:divBdr>
    </w:div>
    <w:div w:id="317925988">
      <w:bodyDiv w:val="1"/>
      <w:marLeft w:val="0"/>
      <w:marRight w:val="0"/>
      <w:marTop w:val="0"/>
      <w:marBottom w:val="0"/>
      <w:divBdr>
        <w:top w:val="none" w:sz="0" w:space="0" w:color="auto"/>
        <w:left w:val="none" w:sz="0" w:space="0" w:color="auto"/>
        <w:bottom w:val="none" w:sz="0" w:space="0" w:color="auto"/>
        <w:right w:val="none" w:sz="0" w:space="0" w:color="auto"/>
      </w:divBdr>
    </w:div>
    <w:div w:id="975253858">
      <w:bodyDiv w:val="1"/>
      <w:marLeft w:val="0"/>
      <w:marRight w:val="0"/>
      <w:marTop w:val="0"/>
      <w:marBottom w:val="0"/>
      <w:divBdr>
        <w:top w:val="none" w:sz="0" w:space="0" w:color="auto"/>
        <w:left w:val="none" w:sz="0" w:space="0" w:color="auto"/>
        <w:bottom w:val="none" w:sz="0" w:space="0" w:color="auto"/>
        <w:right w:val="none" w:sz="0" w:space="0" w:color="auto"/>
      </w:divBdr>
    </w:div>
    <w:div w:id="1180849146">
      <w:bodyDiv w:val="1"/>
      <w:marLeft w:val="0"/>
      <w:marRight w:val="0"/>
      <w:marTop w:val="0"/>
      <w:marBottom w:val="0"/>
      <w:divBdr>
        <w:top w:val="none" w:sz="0" w:space="0" w:color="auto"/>
        <w:left w:val="none" w:sz="0" w:space="0" w:color="auto"/>
        <w:bottom w:val="none" w:sz="0" w:space="0" w:color="auto"/>
        <w:right w:val="none" w:sz="0" w:space="0" w:color="auto"/>
      </w:divBdr>
    </w:div>
    <w:div w:id="1675834698">
      <w:bodyDiv w:val="1"/>
      <w:marLeft w:val="0"/>
      <w:marRight w:val="0"/>
      <w:marTop w:val="0"/>
      <w:marBottom w:val="0"/>
      <w:divBdr>
        <w:top w:val="none" w:sz="0" w:space="0" w:color="auto"/>
        <w:left w:val="none" w:sz="0" w:space="0" w:color="auto"/>
        <w:bottom w:val="none" w:sz="0" w:space="0" w:color="auto"/>
        <w:right w:val="none" w:sz="0" w:space="0" w:color="auto"/>
      </w:divBdr>
    </w:div>
    <w:div w:id="214534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7857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kristkova</dc:creator>
  <cp:keywords/>
  <dc:description/>
  <cp:lastModifiedBy>rasovska</cp:lastModifiedBy>
  <cp:revision>2</cp:revision>
  <cp:lastPrinted>2017-12-12T06:51:00Z</cp:lastPrinted>
  <dcterms:created xsi:type="dcterms:W3CDTF">2018-01-10T14:31:00Z</dcterms:created>
  <dcterms:modified xsi:type="dcterms:W3CDTF">2018-01-10T14:31:00Z</dcterms:modified>
</cp:coreProperties>
</file>